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szCs w:val="28"/>
        </w:rPr>
      </w:pPr>
      <w:r>
        <w:rPr>
          <w:rFonts w:hint="eastAsia"/>
          <w:b/>
          <w:sz w:val="28"/>
          <w:szCs w:val="28"/>
        </w:rPr>
        <w:t>南宁经济技术开发区管理委员会食品药品行政处罚信息公开表</w:t>
      </w:r>
    </w:p>
    <w:p>
      <w:pPr>
        <w:jc w:val="center"/>
        <w:rPr>
          <w:b/>
          <w:sz w:val="28"/>
          <w:szCs w:val="28"/>
        </w:rPr>
      </w:pPr>
      <w:r>
        <w:rPr>
          <w:rFonts w:hint="eastAsia"/>
          <w:b/>
          <w:sz w:val="28"/>
          <w:szCs w:val="28"/>
        </w:rPr>
        <w:t>（20</w:t>
      </w:r>
      <w:r>
        <w:rPr>
          <w:rFonts w:hint="eastAsia"/>
          <w:b/>
          <w:sz w:val="28"/>
          <w:szCs w:val="28"/>
          <w:lang w:val="en-US" w:eastAsia="zh-CN"/>
        </w:rPr>
        <w:t>20</w:t>
      </w:r>
      <w:r>
        <w:rPr>
          <w:rFonts w:hint="eastAsia"/>
          <w:b/>
          <w:sz w:val="28"/>
          <w:szCs w:val="28"/>
        </w:rPr>
        <w:t>年第</w:t>
      </w:r>
      <w:r>
        <w:rPr>
          <w:rFonts w:hint="eastAsia"/>
          <w:b/>
          <w:sz w:val="28"/>
          <w:szCs w:val="28"/>
          <w:lang w:val="en-US" w:eastAsia="zh-CN"/>
        </w:rPr>
        <w:t>1</w:t>
      </w:r>
      <w:r>
        <w:rPr>
          <w:rFonts w:hint="eastAsia"/>
          <w:b/>
          <w:sz w:val="28"/>
          <w:szCs w:val="28"/>
        </w:rPr>
        <w:t>期）</w:t>
      </w:r>
    </w:p>
    <w:tbl>
      <w:tblPr>
        <w:tblStyle w:val="5"/>
        <w:tblW w:w="14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624"/>
        <w:gridCol w:w="1705"/>
        <w:gridCol w:w="1136"/>
        <w:gridCol w:w="852"/>
        <w:gridCol w:w="853"/>
        <w:gridCol w:w="2414"/>
        <w:gridCol w:w="2131"/>
        <w:gridCol w:w="1136"/>
        <w:gridCol w:w="1274"/>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615" w:type="dxa"/>
            <w:vAlign w:val="center"/>
          </w:tcPr>
          <w:p>
            <w:pPr>
              <w:jc w:val="center"/>
              <w:rPr>
                <w:b/>
              </w:rPr>
            </w:pPr>
            <w:r>
              <w:rPr>
                <w:rFonts w:hint="eastAsia"/>
                <w:b/>
              </w:rPr>
              <w:t>序号</w:t>
            </w:r>
          </w:p>
        </w:tc>
        <w:tc>
          <w:tcPr>
            <w:tcW w:w="1624" w:type="dxa"/>
            <w:vAlign w:val="center"/>
          </w:tcPr>
          <w:p>
            <w:pPr>
              <w:jc w:val="center"/>
              <w:rPr>
                <w:b/>
              </w:rPr>
            </w:pPr>
            <w:r>
              <w:rPr>
                <w:rFonts w:hint="eastAsia"/>
                <w:b/>
              </w:rPr>
              <w:t>行政处罚决定书文号</w:t>
            </w:r>
          </w:p>
        </w:tc>
        <w:tc>
          <w:tcPr>
            <w:tcW w:w="1705" w:type="dxa"/>
            <w:vAlign w:val="center"/>
          </w:tcPr>
          <w:p>
            <w:pPr>
              <w:jc w:val="center"/>
              <w:rPr>
                <w:b/>
              </w:rPr>
            </w:pPr>
            <w:r>
              <w:rPr>
                <w:rFonts w:hint="eastAsia"/>
                <w:b/>
              </w:rPr>
              <w:t>案件名称</w:t>
            </w:r>
          </w:p>
        </w:tc>
        <w:tc>
          <w:tcPr>
            <w:tcW w:w="1136" w:type="dxa"/>
            <w:vAlign w:val="center"/>
          </w:tcPr>
          <w:p>
            <w:pPr>
              <w:jc w:val="center"/>
              <w:rPr>
                <w:b/>
              </w:rPr>
            </w:pPr>
            <w:r>
              <w:rPr>
                <w:rFonts w:hint="eastAsia"/>
                <w:b/>
              </w:rPr>
              <w:t>违法企业名称或违法自然人姓名</w:t>
            </w:r>
          </w:p>
        </w:tc>
        <w:tc>
          <w:tcPr>
            <w:tcW w:w="852" w:type="dxa"/>
            <w:vAlign w:val="center"/>
          </w:tcPr>
          <w:p>
            <w:pPr>
              <w:jc w:val="center"/>
              <w:rPr>
                <w:b/>
              </w:rPr>
            </w:pPr>
            <w:r>
              <w:rPr>
                <w:rFonts w:hint="eastAsia"/>
                <w:b/>
              </w:rPr>
              <w:t>违法企业组织机构代码</w:t>
            </w:r>
          </w:p>
        </w:tc>
        <w:tc>
          <w:tcPr>
            <w:tcW w:w="853" w:type="dxa"/>
            <w:vAlign w:val="center"/>
          </w:tcPr>
          <w:p>
            <w:pPr>
              <w:jc w:val="center"/>
              <w:rPr>
                <w:b/>
              </w:rPr>
            </w:pPr>
            <w:r>
              <w:rPr>
                <w:rFonts w:hint="eastAsia"/>
                <w:b/>
              </w:rPr>
              <w:t>法定代表人姓名</w:t>
            </w:r>
          </w:p>
        </w:tc>
        <w:tc>
          <w:tcPr>
            <w:tcW w:w="2414" w:type="dxa"/>
            <w:vAlign w:val="center"/>
          </w:tcPr>
          <w:p>
            <w:pPr>
              <w:jc w:val="center"/>
              <w:rPr>
                <w:b/>
              </w:rPr>
            </w:pPr>
            <w:r>
              <w:rPr>
                <w:rFonts w:hint="eastAsia"/>
                <w:b/>
              </w:rPr>
              <w:t>主要违法事实</w:t>
            </w:r>
          </w:p>
        </w:tc>
        <w:tc>
          <w:tcPr>
            <w:tcW w:w="2131" w:type="dxa"/>
            <w:vAlign w:val="center"/>
          </w:tcPr>
          <w:p>
            <w:pPr>
              <w:jc w:val="center"/>
              <w:rPr>
                <w:b/>
              </w:rPr>
            </w:pPr>
            <w:r>
              <w:rPr>
                <w:rFonts w:hint="eastAsia"/>
                <w:b/>
              </w:rPr>
              <w:t>行政处罚的种类和依据</w:t>
            </w:r>
          </w:p>
        </w:tc>
        <w:tc>
          <w:tcPr>
            <w:tcW w:w="1136" w:type="dxa"/>
            <w:vAlign w:val="center"/>
          </w:tcPr>
          <w:p>
            <w:pPr>
              <w:jc w:val="center"/>
              <w:rPr>
                <w:b/>
              </w:rPr>
            </w:pPr>
            <w:r>
              <w:rPr>
                <w:rFonts w:hint="eastAsia"/>
                <w:b/>
              </w:rPr>
              <w:t>行政处罚的履行方式和期限</w:t>
            </w:r>
            <w:bookmarkStart w:id="0" w:name="_GoBack"/>
            <w:bookmarkEnd w:id="0"/>
          </w:p>
        </w:tc>
        <w:tc>
          <w:tcPr>
            <w:tcW w:w="1274" w:type="dxa"/>
            <w:vAlign w:val="center"/>
          </w:tcPr>
          <w:p>
            <w:pPr>
              <w:jc w:val="center"/>
              <w:rPr>
                <w:b/>
              </w:rPr>
            </w:pPr>
            <w:r>
              <w:rPr>
                <w:rFonts w:hint="eastAsia"/>
                <w:b/>
              </w:rPr>
              <w:t>做出处罚的机关名称和日期</w:t>
            </w:r>
          </w:p>
        </w:tc>
        <w:tc>
          <w:tcPr>
            <w:tcW w:w="536" w:type="dxa"/>
            <w:vAlign w:val="center"/>
          </w:tcPr>
          <w:p>
            <w:pPr>
              <w:jc w:val="center"/>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61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1</w:t>
            </w:r>
          </w:p>
        </w:tc>
        <w:tc>
          <w:tcPr>
            <w:tcW w:w="16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kern w:val="0"/>
              </w:rPr>
            </w:pPr>
            <w:r>
              <w:rPr>
                <w:rFonts w:hint="eastAsia" w:asciiTheme="minorEastAsia" w:hAnsiTheme="minorEastAsia" w:eastAsiaTheme="minorEastAsia"/>
                <w:color w:val="000000"/>
                <w:kern w:val="0"/>
              </w:rPr>
              <w:t>南经食药监食罚〔2019〕28号</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邓建南生产超过食品安全标准限量的食品案</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邓建南</w:t>
            </w:r>
          </w:p>
        </w:tc>
        <w:tc>
          <w:tcPr>
            <w:tcW w:w="8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pPr>
            <w:r>
              <w:rPr>
                <w:rFonts w:hint="eastAsia"/>
              </w:rPr>
              <w:t>统一社会信用代码：</w:t>
            </w:r>
            <w:r>
              <w:rPr>
                <w:rFonts w:asciiTheme="minorEastAsia" w:hAnsiTheme="minorEastAsia" w:eastAsiaTheme="minorEastAsia"/>
                <w:color w:val="000000"/>
                <w:kern w:val="0"/>
              </w:rPr>
              <w:t>92450100MA5LB8G5XK</w:t>
            </w:r>
          </w:p>
        </w:tc>
        <w:tc>
          <w:tcPr>
            <w:tcW w:w="85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邓建南</w:t>
            </w:r>
          </w:p>
        </w:tc>
        <w:tc>
          <w:tcPr>
            <w:tcW w:w="241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olor w:val="000000" w:themeColor="text1"/>
              </w:rPr>
              <w:t>经查，当事人生产的食品（食品名称：花生油；商标：/，规格型号：/，生产日期：2019年08月20日，质量等级:/，标称生产者名称：/）过氧化值项目不符合GB 2716-2018《食品安全国家标准 植物油》要求。</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依据《中华人民共和国行政处罚法》第二十七条第一款第（四）项、《广西壮族自治区食品小作坊小餐饮和食品摊贩管理条例》第三十八条，处以罚款。</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接到决定书之日起15日内履行。</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南宁经济技术开发区管理委员会，</w:t>
            </w:r>
            <w:r>
              <w:rPr>
                <w:rFonts w:asciiTheme="minorEastAsia" w:hAnsiTheme="minorEastAsia" w:eastAsiaTheme="minorEastAsia"/>
                <w:color w:val="000000"/>
              </w:rPr>
              <w:t>201</w:t>
            </w:r>
            <w:r>
              <w:rPr>
                <w:rFonts w:hint="eastAsia" w:asciiTheme="minorEastAsia" w:hAnsiTheme="minorEastAsia" w:eastAsiaTheme="minorEastAsia"/>
                <w:color w:val="000000"/>
              </w:rPr>
              <w:t>9年12月23日。</w:t>
            </w:r>
          </w:p>
        </w:tc>
        <w:tc>
          <w:tcPr>
            <w:tcW w:w="5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61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2</w:t>
            </w:r>
          </w:p>
        </w:tc>
        <w:tc>
          <w:tcPr>
            <w:tcW w:w="16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kern w:val="0"/>
              </w:rPr>
            </w:pPr>
            <w:r>
              <w:rPr>
                <w:rFonts w:hint="eastAsia" w:asciiTheme="minorEastAsia" w:hAnsiTheme="minorEastAsia" w:eastAsiaTheme="minorEastAsia"/>
                <w:color w:val="000000"/>
                <w:kern w:val="0"/>
              </w:rPr>
              <w:t>南经食药监食罚〔2019〕30号</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广西南宁市利满昌米业有限公司生产重金属含量超过食品安全标准限量的食品案</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广西南宁市利满昌米业有限公司</w:t>
            </w:r>
          </w:p>
        </w:tc>
        <w:tc>
          <w:tcPr>
            <w:tcW w:w="8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pPr>
            <w:r>
              <w:rPr>
                <w:rFonts w:hint="eastAsia"/>
              </w:rPr>
              <w:t>统一社会信用代码：</w:t>
            </w:r>
            <w:r>
              <w:rPr>
                <w:rFonts w:asciiTheme="minorEastAsia" w:hAnsiTheme="minorEastAsia" w:eastAsiaTheme="minorEastAsia"/>
                <w:color w:val="000000"/>
                <w:kern w:val="0"/>
              </w:rPr>
              <w:t>914501000527457338</w:t>
            </w:r>
          </w:p>
        </w:tc>
        <w:tc>
          <w:tcPr>
            <w:tcW w:w="85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黄凤林</w:t>
            </w:r>
          </w:p>
        </w:tc>
        <w:tc>
          <w:tcPr>
            <w:tcW w:w="241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olor w:val="000000" w:themeColor="text1"/>
              </w:rPr>
              <w:t>经查，当事人生产经营的食品[食品名称：上林油粘米(分装)，商标：利满昌，规格型号：2.5kg，生产日期：2019-09-25，质量等级：一级]</w:t>
            </w:r>
            <w:r>
              <w:rPr>
                <w:rFonts w:hint="eastAsia"/>
              </w:rPr>
              <w:t xml:space="preserve"> </w:t>
            </w:r>
            <w:r>
              <w:rPr>
                <w:rFonts w:hint="eastAsia"/>
                <w:color w:val="000000" w:themeColor="text1"/>
              </w:rPr>
              <w:t>镉(以Cd计)项目不符合GB 2762-2017《食品安全国家标准 食品中污染物限量》要求。</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依据《中华人民共和国食品安全法》第一百二十四条第一款第（一）项、《中华人民共和国食品安全法》第一百二十六条第一款第（一）、（三）项、《中华人民共和国行政处罚法》第二十七条第一款第(四)项，处以没收违法所得、罚款。</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接到决定书之日起15日内履行。</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南宁经济技术开发区管理委员会，</w:t>
            </w:r>
            <w:r>
              <w:rPr>
                <w:rFonts w:asciiTheme="minorEastAsia" w:hAnsiTheme="minorEastAsia" w:eastAsiaTheme="minorEastAsia"/>
                <w:color w:val="000000"/>
              </w:rPr>
              <w:t>201</w:t>
            </w:r>
            <w:r>
              <w:rPr>
                <w:rFonts w:hint="eastAsia" w:asciiTheme="minorEastAsia" w:hAnsiTheme="minorEastAsia" w:eastAsiaTheme="minorEastAsia"/>
                <w:color w:val="000000"/>
              </w:rPr>
              <w:t>9年12月27日。</w:t>
            </w:r>
          </w:p>
        </w:tc>
        <w:tc>
          <w:tcPr>
            <w:tcW w:w="5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61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w:t>
            </w:r>
          </w:p>
        </w:tc>
        <w:tc>
          <w:tcPr>
            <w:tcW w:w="162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kern w:val="0"/>
              </w:rPr>
            </w:pPr>
            <w:r>
              <w:rPr>
                <w:rFonts w:hint="eastAsia" w:asciiTheme="minorEastAsia" w:hAnsiTheme="minorEastAsia" w:eastAsiaTheme="minorEastAsia"/>
                <w:color w:val="000000"/>
                <w:kern w:val="0"/>
              </w:rPr>
              <w:t>南经食药监食罚〔2019〕29号</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南宁市聚银食品有限公司生产经营标签不符合《食品安全法》规定的食品案</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南宁市聚银食品有限公司</w:t>
            </w:r>
          </w:p>
        </w:tc>
        <w:tc>
          <w:tcPr>
            <w:tcW w:w="8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pPr>
            <w:r>
              <w:rPr>
                <w:rFonts w:hint="eastAsia"/>
              </w:rPr>
              <w:t>统一社会信用代码：</w:t>
            </w:r>
            <w:r>
              <w:rPr>
                <w:rFonts w:asciiTheme="minorEastAsia" w:hAnsiTheme="minorEastAsia" w:eastAsiaTheme="minorEastAsia"/>
                <w:color w:val="000000"/>
                <w:kern w:val="0"/>
              </w:rPr>
              <w:t>91450100</w:t>
            </w:r>
            <w:r>
              <w:rPr>
                <w:rFonts w:hint="eastAsia" w:asciiTheme="minorEastAsia" w:hAnsiTheme="minorEastAsia" w:eastAsiaTheme="minorEastAsia"/>
                <w:color w:val="000000"/>
                <w:kern w:val="0"/>
              </w:rPr>
              <w:t>579400483R</w:t>
            </w:r>
          </w:p>
        </w:tc>
        <w:tc>
          <w:tcPr>
            <w:tcW w:w="853"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heme="minorEastAsia" w:hAnsiTheme="minorEastAsia" w:eastAsiaTheme="minorEastAsia"/>
                <w:color w:val="000000"/>
                <w:kern w:val="0"/>
              </w:rPr>
              <w:t xml:space="preserve">余悦 </w:t>
            </w:r>
          </w:p>
        </w:tc>
        <w:tc>
          <w:tcPr>
            <w:tcW w:w="241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color w:val="000000" w:themeColor="text1"/>
              </w:rPr>
              <w:t>经查，当事人生产经营的食品（食品名称：金腿五仁月饼；净含量；500克；生产日期：2019.09.02）标注的名称——“金腿五仁”</w:t>
            </w:r>
            <w:r>
              <w:rPr>
                <w:rFonts w:hint="eastAsia" w:asciiTheme="minorEastAsia" w:hAnsiTheme="minorEastAsia" w:eastAsiaTheme="minorEastAsia"/>
                <w:color w:val="000000"/>
                <w:kern w:val="0"/>
              </w:rPr>
              <w:t xml:space="preserve"> 标签不符合《食品安全法》规定</w:t>
            </w:r>
            <w:r>
              <w:rPr>
                <w:rFonts w:hint="eastAsia"/>
                <w:color w:val="000000" w:themeColor="text1"/>
              </w:rPr>
              <w:t>。</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依据《中华人民共和国行政处罚法》第二十七条第一款第（四）项、《中华人民共和国食品安全法》第一百二十五条第一款第（二）项，处以没收违法所得、罚款。</w:t>
            </w:r>
          </w:p>
        </w:tc>
        <w:tc>
          <w:tcPr>
            <w:tcW w:w="11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接到决定书之日起15日内履行。</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olor w:val="000000"/>
              </w:rPr>
            </w:pPr>
            <w:r>
              <w:rPr>
                <w:rFonts w:hint="eastAsia" w:asciiTheme="minorEastAsia" w:hAnsiTheme="minorEastAsia" w:eastAsiaTheme="minorEastAsia"/>
                <w:color w:val="000000"/>
              </w:rPr>
              <w:t>南宁经济技术开发区管理委员会，</w:t>
            </w:r>
            <w:r>
              <w:rPr>
                <w:rFonts w:asciiTheme="minorEastAsia" w:hAnsiTheme="minorEastAsia" w:eastAsiaTheme="minorEastAsia"/>
                <w:color w:val="000000"/>
              </w:rPr>
              <w:t>20</w:t>
            </w:r>
            <w:r>
              <w:rPr>
                <w:rFonts w:hint="eastAsia" w:asciiTheme="minorEastAsia" w:hAnsiTheme="minorEastAsia" w:eastAsiaTheme="minorEastAsia"/>
                <w:color w:val="000000"/>
              </w:rPr>
              <w:t>20年1月7日。</w:t>
            </w:r>
          </w:p>
        </w:tc>
        <w:tc>
          <w:tcPr>
            <w:tcW w:w="5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Cs w:val="21"/>
              </w:rPr>
            </w:pPr>
          </w:p>
        </w:tc>
      </w:tr>
    </w:tbl>
    <w:p>
      <w:r>
        <w:drawing>
          <wp:inline distT="0" distB="0" distL="0" distR="0">
            <wp:extent cx="3726815" cy="5271770"/>
            <wp:effectExtent l="19050" t="0" r="68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3726980" cy="5271873"/>
                    </a:xfrm>
                    <a:prstGeom prst="rect">
                      <a:avLst/>
                    </a:prstGeom>
                  </pic:spPr>
                </pic:pic>
              </a:graphicData>
            </a:graphic>
          </wp:inline>
        </w:drawing>
      </w:r>
      <w:r>
        <w:drawing>
          <wp:inline distT="0" distB="0" distL="0" distR="0">
            <wp:extent cx="3704590" cy="524002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3704663" cy="5240305"/>
                    </a:xfrm>
                    <a:prstGeom prst="rect">
                      <a:avLst/>
                    </a:prstGeom>
                  </pic:spPr>
                </pic:pic>
              </a:graphicData>
            </a:graphic>
          </wp:inline>
        </w:drawing>
      </w:r>
      <w:r>
        <w:drawing>
          <wp:inline distT="0" distB="0" distL="0" distR="0">
            <wp:extent cx="3727450" cy="5272405"/>
            <wp:effectExtent l="19050" t="0" r="6082"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3727718" cy="5272918"/>
                    </a:xfrm>
                    <a:prstGeom prst="rect">
                      <a:avLst/>
                    </a:prstGeom>
                  </pic:spPr>
                </pic:pic>
              </a:graphicData>
            </a:graphic>
          </wp:inline>
        </w:drawing>
      </w:r>
    </w:p>
    <w:p>
      <w:r>
        <w:drawing>
          <wp:anchor distT="0" distB="0" distL="114300" distR="114300" simplePos="0" relativeHeight="251658240" behindDoc="1" locked="0" layoutInCell="1" allowOverlap="1">
            <wp:simplePos x="0" y="0"/>
            <wp:positionH relativeFrom="column">
              <wp:posOffset>4973320</wp:posOffset>
            </wp:positionH>
            <wp:positionV relativeFrom="paragraph">
              <wp:posOffset>38100</wp:posOffset>
            </wp:positionV>
            <wp:extent cx="3726180" cy="5267325"/>
            <wp:effectExtent l="19050" t="0" r="7767"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stretch>
                      <a:fillRect/>
                    </a:stretch>
                  </pic:blipFill>
                  <pic:spPr>
                    <a:xfrm>
                      <a:off x="0" y="0"/>
                      <a:ext cx="3726033" cy="5267325"/>
                    </a:xfrm>
                    <a:prstGeom prst="rect">
                      <a:avLst/>
                    </a:prstGeom>
                    <a:noFill/>
                  </pic:spPr>
                </pic:pic>
              </a:graphicData>
            </a:graphic>
          </wp:anchor>
        </w:drawing>
      </w:r>
      <w:r>
        <w:drawing>
          <wp:inline distT="0" distB="0" distL="0" distR="0">
            <wp:extent cx="3717290" cy="525335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tretch>
                      <a:fillRect/>
                    </a:stretch>
                  </pic:blipFill>
                  <pic:spPr>
                    <a:xfrm>
                      <a:off x="0" y="0"/>
                      <a:ext cx="3717673" cy="5253717"/>
                    </a:xfrm>
                    <a:prstGeom prst="rect">
                      <a:avLst/>
                    </a:prstGeom>
                    <a:noFill/>
                  </pic:spPr>
                </pic:pic>
              </a:graphicData>
            </a:graphic>
          </wp:inline>
        </w:drawing>
      </w:r>
    </w:p>
    <w:p>
      <w:r>
        <w:drawing>
          <wp:inline distT="0" distB="0" distL="0" distR="0">
            <wp:extent cx="3714115" cy="5241925"/>
            <wp:effectExtent l="19050" t="0" r="1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stretch>
                      <a:fillRect/>
                    </a:stretch>
                  </pic:blipFill>
                  <pic:spPr>
                    <a:xfrm>
                      <a:off x="0" y="0"/>
                      <a:ext cx="3714615" cy="5241981"/>
                    </a:xfrm>
                    <a:prstGeom prst="rect">
                      <a:avLst/>
                    </a:prstGeom>
                    <a:noFill/>
                  </pic:spPr>
                </pic:pic>
              </a:graphicData>
            </a:graphic>
          </wp:inline>
        </w:drawing>
      </w:r>
      <w:r>
        <w:drawing>
          <wp:inline distT="0" distB="0" distL="0" distR="0">
            <wp:extent cx="3728085" cy="5267325"/>
            <wp:effectExtent l="19050" t="0" r="5581"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1"/>
                    <a:stretch>
                      <a:fillRect/>
                    </a:stretch>
                  </pic:blipFill>
                  <pic:spPr>
                    <a:xfrm>
                      <a:off x="0" y="0"/>
                      <a:ext cx="3728219" cy="5267325"/>
                    </a:xfrm>
                    <a:prstGeom prst="rect">
                      <a:avLst/>
                    </a:prstGeom>
                    <a:noFill/>
                  </pic:spPr>
                </pic:pic>
              </a:graphicData>
            </a:graphic>
          </wp:inline>
        </w:drawing>
      </w:r>
      <w:r>
        <w:drawing>
          <wp:inline distT="0" distB="0" distL="0" distR="0">
            <wp:extent cx="3712210" cy="5173345"/>
            <wp:effectExtent l="19050" t="0" r="2328"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noChangeArrowheads="1"/>
                    </pic:cNvPicPr>
                  </pic:nvPicPr>
                  <pic:blipFill>
                    <a:blip r:embed="rId12"/>
                    <a:stretch>
                      <a:fillRect/>
                    </a:stretch>
                  </pic:blipFill>
                  <pic:spPr>
                    <a:xfrm>
                      <a:off x="0" y="0"/>
                      <a:ext cx="3712422" cy="5173772"/>
                    </a:xfrm>
                    <a:prstGeom prst="rect">
                      <a:avLst/>
                    </a:prstGeom>
                    <a:noFill/>
                  </pic:spPr>
                </pic:pic>
              </a:graphicData>
            </a:graphic>
          </wp:inline>
        </w:drawing>
      </w:r>
      <w:r>
        <w:drawing>
          <wp:inline distT="0" distB="0" distL="0" distR="0">
            <wp:extent cx="3732530" cy="5248910"/>
            <wp:effectExtent l="19050" t="0" r="1226"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13"/>
                    <a:stretch>
                      <a:fillRect/>
                    </a:stretch>
                  </pic:blipFill>
                  <pic:spPr>
                    <a:xfrm>
                      <a:off x="0" y="0"/>
                      <a:ext cx="3732574" cy="5249396"/>
                    </a:xfrm>
                    <a:prstGeom prst="rect">
                      <a:avLst/>
                    </a:prstGeom>
                    <a:noFill/>
                  </pic:spPr>
                </pic:pic>
              </a:graphicData>
            </a:graphic>
          </wp:inline>
        </w:drawing>
      </w:r>
      <w:r>
        <w:drawing>
          <wp:anchor distT="0" distB="0" distL="114300" distR="114300" simplePos="0" relativeHeight="251659264" behindDoc="0" locked="0" layoutInCell="1" allowOverlap="1">
            <wp:simplePos x="0" y="0"/>
            <wp:positionH relativeFrom="column">
              <wp:posOffset>5038725</wp:posOffset>
            </wp:positionH>
            <wp:positionV relativeFrom="paragraph">
              <wp:posOffset>52705</wp:posOffset>
            </wp:positionV>
            <wp:extent cx="3733800" cy="5237480"/>
            <wp:effectExtent l="1905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stretch>
                      <a:fillRect/>
                    </a:stretch>
                  </pic:blipFill>
                  <pic:spPr>
                    <a:xfrm>
                      <a:off x="0" y="0"/>
                      <a:ext cx="3733800" cy="5237691"/>
                    </a:xfrm>
                    <a:prstGeom prst="rect">
                      <a:avLst/>
                    </a:prstGeom>
                    <a:noFill/>
                  </pic:spPr>
                </pic:pic>
              </a:graphicData>
            </a:graphic>
          </wp:anchor>
        </w:drawing>
      </w:r>
      <w:r>
        <w:drawing>
          <wp:inline distT="0" distB="0" distL="0" distR="0">
            <wp:extent cx="3732530" cy="5267325"/>
            <wp:effectExtent l="19050" t="0" r="1227"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5"/>
                    <a:stretch>
                      <a:fillRect/>
                    </a:stretch>
                  </pic:blipFill>
                  <pic:spPr>
                    <a:xfrm>
                      <a:off x="0" y="0"/>
                      <a:ext cx="3732573" cy="5267325"/>
                    </a:xfrm>
                    <a:prstGeom prst="rect">
                      <a:avLst/>
                    </a:prstGeom>
                    <a:noFill/>
                  </pic:spPr>
                </pic:pic>
              </a:graphicData>
            </a:graphic>
          </wp:inline>
        </w:drawing>
      </w:r>
    </w:p>
    <w:p>
      <w:r>
        <w:drawing>
          <wp:anchor distT="0" distB="0" distL="114300" distR="114300" simplePos="0" relativeHeight="251660288" behindDoc="0" locked="0" layoutInCell="1" allowOverlap="1">
            <wp:simplePos x="0" y="0"/>
            <wp:positionH relativeFrom="column">
              <wp:posOffset>5133975</wp:posOffset>
            </wp:positionH>
            <wp:positionV relativeFrom="paragraph">
              <wp:posOffset>66675</wp:posOffset>
            </wp:positionV>
            <wp:extent cx="3711575" cy="5229225"/>
            <wp:effectExtent l="19050" t="0" r="3175"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16"/>
                    <a:stretch>
                      <a:fillRect/>
                    </a:stretch>
                  </pic:blipFill>
                  <pic:spPr>
                    <a:xfrm>
                      <a:off x="0" y="0"/>
                      <a:ext cx="3711575" cy="5229225"/>
                    </a:xfrm>
                    <a:prstGeom prst="rect">
                      <a:avLst/>
                    </a:prstGeom>
                    <a:noFill/>
                  </pic:spPr>
                </pic:pic>
              </a:graphicData>
            </a:graphic>
          </wp:anchor>
        </w:drawing>
      </w:r>
      <w:r>
        <w:drawing>
          <wp:inline distT="0" distB="0" distL="0" distR="0">
            <wp:extent cx="3710940" cy="5219065"/>
            <wp:effectExtent l="19050" t="0" r="368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17"/>
                    <a:stretch>
                      <a:fillRect/>
                    </a:stretch>
                  </pic:blipFill>
                  <pic:spPr>
                    <a:xfrm>
                      <a:off x="0" y="0"/>
                      <a:ext cx="3711070" cy="5219154"/>
                    </a:xfrm>
                    <a:prstGeom prst="rect">
                      <a:avLst/>
                    </a:prstGeom>
                    <a:noFill/>
                  </pic:spPr>
                </pic:pic>
              </a:graphicData>
            </a:graphic>
          </wp:inline>
        </w:drawing>
      </w:r>
    </w:p>
    <w:sectPr>
      <w:footerReference r:id="rId3"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180139"/>
    </w:sdtPr>
    <w:sdtContent>
      <w:p>
        <w:pPr>
          <w:pStyle w:val="3"/>
          <w:jc w:val="center"/>
          <w:rPr>
            <w:rFonts w:hint="eastAsia"/>
          </w:rPr>
        </w:pPr>
        <w:r>
          <w:fldChar w:fldCharType="begin"/>
        </w:r>
        <w:r>
          <w:instrText xml:space="preserve"> PAGE   \* MERGEFORMAT </w:instrText>
        </w:r>
        <w:r>
          <w:fldChar w:fldCharType="separate"/>
        </w:r>
        <w:r>
          <w:rPr>
            <w:rFonts w:hint="eastAsia"/>
            <w:lang w:val="zh-CN"/>
          </w:rPr>
          <w:t>9</w:t>
        </w:r>
        <w:r>
          <w:rPr>
            <w:lang w:val="zh-CN"/>
          </w:rPr>
          <w:fldChar w:fldCharType="end"/>
        </w:r>
      </w:p>
    </w:sdtContent>
  </w:sdt>
  <w:p>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487EF8"/>
    <w:rsid w:val="000069C5"/>
    <w:rsid w:val="00010421"/>
    <w:rsid w:val="000122A8"/>
    <w:rsid w:val="00012CDF"/>
    <w:rsid w:val="00013447"/>
    <w:rsid w:val="00015F34"/>
    <w:rsid w:val="000211C5"/>
    <w:rsid w:val="00023C3C"/>
    <w:rsid w:val="00024114"/>
    <w:rsid w:val="0002569B"/>
    <w:rsid w:val="00030259"/>
    <w:rsid w:val="000446AD"/>
    <w:rsid w:val="00057407"/>
    <w:rsid w:val="000578ED"/>
    <w:rsid w:val="00063322"/>
    <w:rsid w:val="000717A3"/>
    <w:rsid w:val="00080395"/>
    <w:rsid w:val="00093967"/>
    <w:rsid w:val="00097FFA"/>
    <w:rsid w:val="000A4EEB"/>
    <w:rsid w:val="000A5BD4"/>
    <w:rsid w:val="000A73AB"/>
    <w:rsid w:val="000B50E4"/>
    <w:rsid w:val="000B67F7"/>
    <w:rsid w:val="000C3DBC"/>
    <w:rsid w:val="000D5BBA"/>
    <w:rsid w:val="000D5DF3"/>
    <w:rsid w:val="000E102F"/>
    <w:rsid w:val="000F20C2"/>
    <w:rsid w:val="000F5029"/>
    <w:rsid w:val="000F7386"/>
    <w:rsid w:val="00101B47"/>
    <w:rsid w:val="001023DD"/>
    <w:rsid w:val="0011044C"/>
    <w:rsid w:val="0011269F"/>
    <w:rsid w:val="00116158"/>
    <w:rsid w:val="00121EDB"/>
    <w:rsid w:val="001252D1"/>
    <w:rsid w:val="00131735"/>
    <w:rsid w:val="0014607B"/>
    <w:rsid w:val="00152407"/>
    <w:rsid w:val="0015552E"/>
    <w:rsid w:val="001607F2"/>
    <w:rsid w:val="00166DB1"/>
    <w:rsid w:val="00171F70"/>
    <w:rsid w:val="001748FF"/>
    <w:rsid w:val="0017754B"/>
    <w:rsid w:val="001777D8"/>
    <w:rsid w:val="0017796E"/>
    <w:rsid w:val="00186C7C"/>
    <w:rsid w:val="0018702B"/>
    <w:rsid w:val="001945AA"/>
    <w:rsid w:val="00196B5F"/>
    <w:rsid w:val="001A17F6"/>
    <w:rsid w:val="001A436F"/>
    <w:rsid w:val="001C04B6"/>
    <w:rsid w:val="001C22EA"/>
    <w:rsid w:val="001C47CB"/>
    <w:rsid w:val="001D2614"/>
    <w:rsid w:val="001D5129"/>
    <w:rsid w:val="001D6A32"/>
    <w:rsid w:val="001D7E00"/>
    <w:rsid w:val="001E038E"/>
    <w:rsid w:val="001E1746"/>
    <w:rsid w:val="001E60EC"/>
    <w:rsid w:val="001F15FF"/>
    <w:rsid w:val="00204BA5"/>
    <w:rsid w:val="00204DC7"/>
    <w:rsid w:val="00205259"/>
    <w:rsid w:val="00215EB1"/>
    <w:rsid w:val="002242C6"/>
    <w:rsid w:val="0024099F"/>
    <w:rsid w:val="00241631"/>
    <w:rsid w:val="00250590"/>
    <w:rsid w:val="002527FF"/>
    <w:rsid w:val="00253279"/>
    <w:rsid w:val="002548C5"/>
    <w:rsid w:val="0026442B"/>
    <w:rsid w:val="00264C00"/>
    <w:rsid w:val="00265301"/>
    <w:rsid w:val="00265A22"/>
    <w:rsid w:val="00265CA1"/>
    <w:rsid w:val="0026633C"/>
    <w:rsid w:val="00267B0B"/>
    <w:rsid w:val="0028227B"/>
    <w:rsid w:val="00282AD6"/>
    <w:rsid w:val="00283192"/>
    <w:rsid w:val="00286188"/>
    <w:rsid w:val="0029377B"/>
    <w:rsid w:val="002A24D1"/>
    <w:rsid w:val="002A31F9"/>
    <w:rsid w:val="002B0224"/>
    <w:rsid w:val="002B3210"/>
    <w:rsid w:val="002B36C1"/>
    <w:rsid w:val="002B387B"/>
    <w:rsid w:val="002C0E90"/>
    <w:rsid w:val="002C1530"/>
    <w:rsid w:val="002C4743"/>
    <w:rsid w:val="002C4962"/>
    <w:rsid w:val="002D68EC"/>
    <w:rsid w:val="002D7E08"/>
    <w:rsid w:val="002E10E6"/>
    <w:rsid w:val="002E4287"/>
    <w:rsid w:val="002E541C"/>
    <w:rsid w:val="002E65C9"/>
    <w:rsid w:val="002E78FD"/>
    <w:rsid w:val="002F46B6"/>
    <w:rsid w:val="003012B9"/>
    <w:rsid w:val="003045D8"/>
    <w:rsid w:val="00304B8F"/>
    <w:rsid w:val="00304D4F"/>
    <w:rsid w:val="003141CF"/>
    <w:rsid w:val="003317D5"/>
    <w:rsid w:val="00331D60"/>
    <w:rsid w:val="00337093"/>
    <w:rsid w:val="003441C0"/>
    <w:rsid w:val="00352197"/>
    <w:rsid w:val="0035424D"/>
    <w:rsid w:val="00355140"/>
    <w:rsid w:val="003552D3"/>
    <w:rsid w:val="00363DCB"/>
    <w:rsid w:val="003643DD"/>
    <w:rsid w:val="00370359"/>
    <w:rsid w:val="003742D6"/>
    <w:rsid w:val="00376305"/>
    <w:rsid w:val="003826A8"/>
    <w:rsid w:val="003966DB"/>
    <w:rsid w:val="00397028"/>
    <w:rsid w:val="003A313C"/>
    <w:rsid w:val="003A5179"/>
    <w:rsid w:val="003B63EF"/>
    <w:rsid w:val="003C056B"/>
    <w:rsid w:val="003C6368"/>
    <w:rsid w:val="003D4D67"/>
    <w:rsid w:val="003D54D1"/>
    <w:rsid w:val="003D5E49"/>
    <w:rsid w:val="003D6344"/>
    <w:rsid w:val="003E1213"/>
    <w:rsid w:val="003E2EC1"/>
    <w:rsid w:val="003E53DA"/>
    <w:rsid w:val="003E7660"/>
    <w:rsid w:val="003F07CC"/>
    <w:rsid w:val="00400A98"/>
    <w:rsid w:val="0041663F"/>
    <w:rsid w:val="00420EA9"/>
    <w:rsid w:val="004214B7"/>
    <w:rsid w:val="00425944"/>
    <w:rsid w:val="00430BAB"/>
    <w:rsid w:val="004442B2"/>
    <w:rsid w:val="004453E6"/>
    <w:rsid w:val="00445888"/>
    <w:rsid w:val="004500C4"/>
    <w:rsid w:val="0046127D"/>
    <w:rsid w:val="00463CAA"/>
    <w:rsid w:val="00464B25"/>
    <w:rsid w:val="00474EA1"/>
    <w:rsid w:val="00475BF7"/>
    <w:rsid w:val="00481E08"/>
    <w:rsid w:val="00487EF8"/>
    <w:rsid w:val="004924FA"/>
    <w:rsid w:val="004928F8"/>
    <w:rsid w:val="004A1F41"/>
    <w:rsid w:val="004A3DEC"/>
    <w:rsid w:val="004A7CDB"/>
    <w:rsid w:val="004B717C"/>
    <w:rsid w:val="004B7A59"/>
    <w:rsid w:val="004C1E9D"/>
    <w:rsid w:val="004C5681"/>
    <w:rsid w:val="004D40FB"/>
    <w:rsid w:val="004D52AB"/>
    <w:rsid w:val="004E5850"/>
    <w:rsid w:val="004F2F4F"/>
    <w:rsid w:val="004F4815"/>
    <w:rsid w:val="004F63AF"/>
    <w:rsid w:val="00500FA9"/>
    <w:rsid w:val="00502336"/>
    <w:rsid w:val="00515C0A"/>
    <w:rsid w:val="005165EB"/>
    <w:rsid w:val="00531602"/>
    <w:rsid w:val="00543D4E"/>
    <w:rsid w:val="0054703E"/>
    <w:rsid w:val="005471A9"/>
    <w:rsid w:val="005508F1"/>
    <w:rsid w:val="00550BA6"/>
    <w:rsid w:val="005541E7"/>
    <w:rsid w:val="00554DA4"/>
    <w:rsid w:val="00565D4C"/>
    <w:rsid w:val="00571DB8"/>
    <w:rsid w:val="00572B8D"/>
    <w:rsid w:val="00573EE5"/>
    <w:rsid w:val="00585A76"/>
    <w:rsid w:val="005A075F"/>
    <w:rsid w:val="005B0BA5"/>
    <w:rsid w:val="005B2F38"/>
    <w:rsid w:val="005C2CBB"/>
    <w:rsid w:val="005D1A2F"/>
    <w:rsid w:val="005D2FFC"/>
    <w:rsid w:val="005D5D3B"/>
    <w:rsid w:val="005E212A"/>
    <w:rsid w:val="005E2BE8"/>
    <w:rsid w:val="005E3FBD"/>
    <w:rsid w:val="005E62D7"/>
    <w:rsid w:val="005F6BC9"/>
    <w:rsid w:val="00605BA3"/>
    <w:rsid w:val="006119C0"/>
    <w:rsid w:val="006124E4"/>
    <w:rsid w:val="00614750"/>
    <w:rsid w:val="00623350"/>
    <w:rsid w:val="00627DC0"/>
    <w:rsid w:val="006306D2"/>
    <w:rsid w:val="00634505"/>
    <w:rsid w:val="00636C14"/>
    <w:rsid w:val="006402AB"/>
    <w:rsid w:val="006424C3"/>
    <w:rsid w:val="00647AAB"/>
    <w:rsid w:val="006560AE"/>
    <w:rsid w:val="00657E89"/>
    <w:rsid w:val="00660604"/>
    <w:rsid w:val="006623D4"/>
    <w:rsid w:val="006631EE"/>
    <w:rsid w:val="0066452E"/>
    <w:rsid w:val="006672F6"/>
    <w:rsid w:val="006743DB"/>
    <w:rsid w:val="00676594"/>
    <w:rsid w:val="00686535"/>
    <w:rsid w:val="00695CE8"/>
    <w:rsid w:val="00696D96"/>
    <w:rsid w:val="00696FB4"/>
    <w:rsid w:val="006A37D7"/>
    <w:rsid w:val="006A45CE"/>
    <w:rsid w:val="006A6102"/>
    <w:rsid w:val="006A73DB"/>
    <w:rsid w:val="006A7C1F"/>
    <w:rsid w:val="006B268D"/>
    <w:rsid w:val="006C353F"/>
    <w:rsid w:val="006E206B"/>
    <w:rsid w:val="006E302B"/>
    <w:rsid w:val="006E3B00"/>
    <w:rsid w:val="006E5B1A"/>
    <w:rsid w:val="006F2566"/>
    <w:rsid w:val="006F3572"/>
    <w:rsid w:val="006F4979"/>
    <w:rsid w:val="006F7C66"/>
    <w:rsid w:val="0071151F"/>
    <w:rsid w:val="00721073"/>
    <w:rsid w:val="00722BCA"/>
    <w:rsid w:val="00723C7C"/>
    <w:rsid w:val="00727B75"/>
    <w:rsid w:val="00730E42"/>
    <w:rsid w:val="00731880"/>
    <w:rsid w:val="007406CC"/>
    <w:rsid w:val="007420A6"/>
    <w:rsid w:val="00750F71"/>
    <w:rsid w:val="00751290"/>
    <w:rsid w:val="00755DE8"/>
    <w:rsid w:val="00756C37"/>
    <w:rsid w:val="00756C76"/>
    <w:rsid w:val="00762876"/>
    <w:rsid w:val="0077570E"/>
    <w:rsid w:val="00776A6B"/>
    <w:rsid w:val="007873B6"/>
    <w:rsid w:val="00791229"/>
    <w:rsid w:val="0079377D"/>
    <w:rsid w:val="00793EAD"/>
    <w:rsid w:val="00795C53"/>
    <w:rsid w:val="0079780C"/>
    <w:rsid w:val="007A07C3"/>
    <w:rsid w:val="007A34E8"/>
    <w:rsid w:val="007A3789"/>
    <w:rsid w:val="007A4232"/>
    <w:rsid w:val="007A523F"/>
    <w:rsid w:val="007C3512"/>
    <w:rsid w:val="007D3FEB"/>
    <w:rsid w:val="007D70F5"/>
    <w:rsid w:val="007E5FAF"/>
    <w:rsid w:val="007E6D1B"/>
    <w:rsid w:val="007E7992"/>
    <w:rsid w:val="007F03E7"/>
    <w:rsid w:val="007F1CA0"/>
    <w:rsid w:val="008024FB"/>
    <w:rsid w:val="00804C2F"/>
    <w:rsid w:val="00810326"/>
    <w:rsid w:val="008143BF"/>
    <w:rsid w:val="00816E2E"/>
    <w:rsid w:val="008209C9"/>
    <w:rsid w:val="008314D6"/>
    <w:rsid w:val="008336D3"/>
    <w:rsid w:val="008434B6"/>
    <w:rsid w:val="008470BF"/>
    <w:rsid w:val="00847E68"/>
    <w:rsid w:val="00855667"/>
    <w:rsid w:val="008718CC"/>
    <w:rsid w:val="00883056"/>
    <w:rsid w:val="00884E71"/>
    <w:rsid w:val="0088685B"/>
    <w:rsid w:val="00891D7E"/>
    <w:rsid w:val="00895064"/>
    <w:rsid w:val="00895F48"/>
    <w:rsid w:val="008967C0"/>
    <w:rsid w:val="008A1A0E"/>
    <w:rsid w:val="008A2902"/>
    <w:rsid w:val="008C05F7"/>
    <w:rsid w:val="008C77D7"/>
    <w:rsid w:val="008D3EA6"/>
    <w:rsid w:val="008D4D30"/>
    <w:rsid w:val="008D52C9"/>
    <w:rsid w:val="008E2942"/>
    <w:rsid w:val="008F3655"/>
    <w:rsid w:val="008F4641"/>
    <w:rsid w:val="00900DC9"/>
    <w:rsid w:val="00904E0C"/>
    <w:rsid w:val="00906451"/>
    <w:rsid w:val="0090667D"/>
    <w:rsid w:val="00910191"/>
    <w:rsid w:val="00915B48"/>
    <w:rsid w:val="009161ED"/>
    <w:rsid w:val="009164F6"/>
    <w:rsid w:val="00921CDC"/>
    <w:rsid w:val="00923364"/>
    <w:rsid w:val="00926601"/>
    <w:rsid w:val="00934BD5"/>
    <w:rsid w:val="00941DB6"/>
    <w:rsid w:val="00963DCE"/>
    <w:rsid w:val="0096589F"/>
    <w:rsid w:val="00967F74"/>
    <w:rsid w:val="00983A50"/>
    <w:rsid w:val="00986A21"/>
    <w:rsid w:val="00987D98"/>
    <w:rsid w:val="0099218F"/>
    <w:rsid w:val="009A06AA"/>
    <w:rsid w:val="009A17F8"/>
    <w:rsid w:val="009A7456"/>
    <w:rsid w:val="009B503F"/>
    <w:rsid w:val="009B5FCB"/>
    <w:rsid w:val="009C27BD"/>
    <w:rsid w:val="009C539B"/>
    <w:rsid w:val="009C7CC3"/>
    <w:rsid w:val="009D1B11"/>
    <w:rsid w:val="009D7AED"/>
    <w:rsid w:val="009E7205"/>
    <w:rsid w:val="009E7FCE"/>
    <w:rsid w:val="009F733D"/>
    <w:rsid w:val="00A02F03"/>
    <w:rsid w:val="00A15201"/>
    <w:rsid w:val="00A20B3C"/>
    <w:rsid w:val="00A20FA2"/>
    <w:rsid w:val="00A22AAE"/>
    <w:rsid w:val="00A22CC9"/>
    <w:rsid w:val="00A23034"/>
    <w:rsid w:val="00A24715"/>
    <w:rsid w:val="00A266A4"/>
    <w:rsid w:val="00A27086"/>
    <w:rsid w:val="00A34245"/>
    <w:rsid w:val="00A34FA6"/>
    <w:rsid w:val="00A36F13"/>
    <w:rsid w:val="00A42125"/>
    <w:rsid w:val="00A437B3"/>
    <w:rsid w:val="00A446D6"/>
    <w:rsid w:val="00A510CF"/>
    <w:rsid w:val="00A53D8D"/>
    <w:rsid w:val="00A56F83"/>
    <w:rsid w:val="00A64CC9"/>
    <w:rsid w:val="00A6597A"/>
    <w:rsid w:val="00A66E52"/>
    <w:rsid w:val="00A67770"/>
    <w:rsid w:val="00A67D90"/>
    <w:rsid w:val="00A72300"/>
    <w:rsid w:val="00A727CA"/>
    <w:rsid w:val="00A76C0E"/>
    <w:rsid w:val="00A92342"/>
    <w:rsid w:val="00A92B78"/>
    <w:rsid w:val="00A97760"/>
    <w:rsid w:val="00AA1976"/>
    <w:rsid w:val="00AA392A"/>
    <w:rsid w:val="00AA5C41"/>
    <w:rsid w:val="00AA6357"/>
    <w:rsid w:val="00AB2845"/>
    <w:rsid w:val="00AB3E67"/>
    <w:rsid w:val="00AC227F"/>
    <w:rsid w:val="00AC3E1D"/>
    <w:rsid w:val="00AD38D3"/>
    <w:rsid w:val="00AE3C1A"/>
    <w:rsid w:val="00AE5920"/>
    <w:rsid w:val="00AF3639"/>
    <w:rsid w:val="00B02434"/>
    <w:rsid w:val="00B13540"/>
    <w:rsid w:val="00B20038"/>
    <w:rsid w:val="00B20A65"/>
    <w:rsid w:val="00B20FDE"/>
    <w:rsid w:val="00B22314"/>
    <w:rsid w:val="00B22875"/>
    <w:rsid w:val="00B2354C"/>
    <w:rsid w:val="00B33A80"/>
    <w:rsid w:val="00B3402B"/>
    <w:rsid w:val="00B3528B"/>
    <w:rsid w:val="00B41B8C"/>
    <w:rsid w:val="00B439EE"/>
    <w:rsid w:val="00B44EF1"/>
    <w:rsid w:val="00B45465"/>
    <w:rsid w:val="00B623A1"/>
    <w:rsid w:val="00B64F20"/>
    <w:rsid w:val="00B67807"/>
    <w:rsid w:val="00B8449A"/>
    <w:rsid w:val="00B87C18"/>
    <w:rsid w:val="00BA1B70"/>
    <w:rsid w:val="00BB0384"/>
    <w:rsid w:val="00BB0D53"/>
    <w:rsid w:val="00BB55E8"/>
    <w:rsid w:val="00BB6C21"/>
    <w:rsid w:val="00BC227B"/>
    <w:rsid w:val="00BC660C"/>
    <w:rsid w:val="00BD05CF"/>
    <w:rsid w:val="00BD0768"/>
    <w:rsid w:val="00BD5562"/>
    <w:rsid w:val="00BD560E"/>
    <w:rsid w:val="00BE338C"/>
    <w:rsid w:val="00BE486E"/>
    <w:rsid w:val="00BE6462"/>
    <w:rsid w:val="00BF2008"/>
    <w:rsid w:val="00C03469"/>
    <w:rsid w:val="00C07F94"/>
    <w:rsid w:val="00C12365"/>
    <w:rsid w:val="00C24CC1"/>
    <w:rsid w:val="00C27C8E"/>
    <w:rsid w:val="00C30198"/>
    <w:rsid w:val="00C3306E"/>
    <w:rsid w:val="00C3455A"/>
    <w:rsid w:val="00C34789"/>
    <w:rsid w:val="00C3609F"/>
    <w:rsid w:val="00C42D85"/>
    <w:rsid w:val="00C53D48"/>
    <w:rsid w:val="00C700CE"/>
    <w:rsid w:val="00C80049"/>
    <w:rsid w:val="00C80F44"/>
    <w:rsid w:val="00C834A1"/>
    <w:rsid w:val="00C83AB2"/>
    <w:rsid w:val="00C90CC9"/>
    <w:rsid w:val="00C92C8B"/>
    <w:rsid w:val="00C92CB5"/>
    <w:rsid w:val="00C9350F"/>
    <w:rsid w:val="00CA0A36"/>
    <w:rsid w:val="00CA1271"/>
    <w:rsid w:val="00CB0889"/>
    <w:rsid w:val="00CB1A7D"/>
    <w:rsid w:val="00CB65CB"/>
    <w:rsid w:val="00CB677D"/>
    <w:rsid w:val="00CC6CD2"/>
    <w:rsid w:val="00CD2262"/>
    <w:rsid w:val="00CD2CD8"/>
    <w:rsid w:val="00CD4318"/>
    <w:rsid w:val="00CF49CC"/>
    <w:rsid w:val="00CF5F7E"/>
    <w:rsid w:val="00CF6E68"/>
    <w:rsid w:val="00D01A1D"/>
    <w:rsid w:val="00D06005"/>
    <w:rsid w:val="00D07446"/>
    <w:rsid w:val="00D14553"/>
    <w:rsid w:val="00D1557A"/>
    <w:rsid w:val="00D21B69"/>
    <w:rsid w:val="00D25299"/>
    <w:rsid w:val="00D32882"/>
    <w:rsid w:val="00D34B5F"/>
    <w:rsid w:val="00D35493"/>
    <w:rsid w:val="00D36C27"/>
    <w:rsid w:val="00D51CAB"/>
    <w:rsid w:val="00D52C1A"/>
    <w:rsid w:val="00D6038E"/>
    <w:rsid w:val="00D65D25"/>
    <w:rsid w:val="00D667A1"/>
    <w:rsid w:val="00D70E01"/>
    <w:rsid w:val="00D72EB2"/>
    <w:rsid w:val="00D73B47"/>
    <w:rsid w:val="00D76168"/>
    <w:rsid w:val="00D844B9"/>
    <w:rsid w:val="00D8732D"/>
    <w:rsid w:val="00D87963"/>
    <w:rsid w:val="00D87A0F"/>
    <w:rsid w:val="00D965A8"/>
    <w:rsid w:val="00D96D6F"/>
    <w:rsid w:val="00DA177A"/>
    <w:rsid w:val="00DB0895"/>
    <w:rsid w:val="00DB7335"/>
    <w:rsid w:val="00DB75A6"/>
    <w:rsid w:val="00DD09B5"/>
    <w:rsid w:val="00DD32ED"/>
    <w:rsid w:val="00DE36AC"/>
    <w:rsid w:val="00DF1DA0"/>
    <w:rsid w:val="00DF692A"/>
    <w:rsid w:val="00DF7784"/>
    <w:rsid w:val="00DF7942"/>
    <w:rsid w:val="00E07932"/>
    <w:rsid w:val="00E1242C"/>
    <w:rsid w:val="00E12A74"/>
    <w:rsid w:val="00E15924"/>
    <w:rsid w:val="00E200DD"/>
    <w:rsid w:val="00E212AD"/>
    <w:rsid w:val="00E229A1"/>
    <w:rsid w:val="00E33F26"/>
    <w:rsid w:val="00E429B4"/>
    <w:rsid w:val="00E43C9C"/>
    <w:rsid w:val="00E467FD"/>
    <w:rsid w:val="00E51460"/>
    <w:rsid w:val="00E53EED"/>
    <w:rsid w:val="00E540FF"/>
    <w:rsid w:val="00E72CA2"/>
    <w:rsid w:val="00E72D4D"/>
    <w:rsid w:val="00E72F44"/>
    <w:rsid w:val="00E73C5C"/>
    <w:rsid w:val="00E87E60"/>
    <w:rsid w:val="00E97406"/>
    <w:rsid w:val="00EA0BBB"/>
    <w:rsid w:val="00EB62FF"/>
    <w:rsid w:val="00EB6434"/>
    <w:rsid w:val="00EC4989"/>
    <w:rsid w:val="00ED4E11"/>
    <w:rsid w:val="00ED7BC8"/>
    <w:rsid w:val="00EE1261"/>
    <w:rsid w:val="00EE169A"/>
    <w:rsid w:val="00EE5173"/>
    <w:rsid w:val="00EE658E"/>
    <w:rsid w:val="00EF0BF4"/>
    <w:rsid w:val="00EF33DC"/>
    <w:rsid w:val="00EF4DFC"/>
    <w:rsid w:val="00EF72F0"/>
    <w:rsid w:val="00F01388"/>
    <w:rsid w:val="00F02FB1"/>
    <w:rsid w:val="00F03491"/>
    <w:rsid w:val="00F06248"/>
    <w:rsid w:val="00F065FC"/>
    <w:rsid w:val="00F160FC"/>
    <w:rsid w:val="00F26996"/>
    <w:rsid w:val="00F27AB1"/>
    <w:rsid w:val="00F27AF0"/>
    <w:rsid w:val="00F33FCB"/>
    <w:rsid w:val="00F443B1"/>
    <w:rsid w:val="00F47F11"/>
    <w:rsid w:val="00F56C26"/>
    <w:rsid w:val="00F572EB"/>
    <w:rsid w:val="00F60332"/>
    <w:rsid w:val="00F611BC"/>
    <w:rsid w:val="00F720C6"/>
    <w:rsid w:val="00F750C0"/>
    <w:rsid w:val="00F75C51"/>
    <w:rsid w:val="00F80D77"/>
    <w:rsid w:val="00F84D77"/>
    <w:rsid w:val="00F850CE"/>
    <w:rsid w:val="00F85F1C"/>
    <w:rsid w:val="00F878CA"/>
    <w:rsid w:val="00F97FB9"/>
    <w:rsid w:val="00FA3347"/>
    <w:rsid w:val="00FA4939"/>
    <w:rsid w:val="00FA5EA7"/>
    <w:rsid w:val="00FA7E97"/>
    <w:rsid w:val="00FB2C89"/>
    <w:rsid w:val="00FB3247"/>
    <w:rsid w:val="00FC48B5"/>
    <w:rsid w:val="00FC7D77"/>
    <w:rsid w:val="00FD54A1"/>
    <w:rsid w:val="00FE1845"/>
    <w:rsid w:val="00FE50E9"/>
    <w:rsid w:val="00FF28DD"/>
    <w:rsid w:val="00FF3469"/>
    <w:rsid w:val="00FF600D"/>
    <w:rsid w:val="25882240"/>
    <w:rsid w:val="2C00515B"/>
    <w:rsid w:val="357E5D7B"/>
    <w:rsid w:val="510D0C4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rFonts w:ascii="Calibri" w:hAnsi="Calibri"/>
      <w:sz w:val="18"/>
      <w:szCs w:val="18"/>
    </w:rPr>
  </w:style>
  <w:style w:type="paragraph" w:styleId="4">
    <w:name w:val="header"/>
    <w:basedOn w:val="1"/>
    <w:link w:val="7"/>
    <w:qFormat/>
    <w:uiPriority w:val="99"/>
    <w:pPr>
      <w:pBdr>
        <w:bottom w:val="single" w:color="auto" w:sz="6" w:space="1"/>
      </w:pBdr>
      <w:tabs>
        <w:tab w:val="center" w:pos="4153"/>
        <w:tab w:val="right" w:pos="8306"/>
      </w:tabs>
      <w:snapToGrid w:val="0"/>
      <w:jc w:val="center"/>
    </w:pPr>
    <w:rPr>
      <w:rFonts w:ascii="Calibri" w:hAnsi="Calibri"/>
      <w:sz w:val="18"/>
      <w:szCs w:val="18"/>
    </w:rPr>
  </w:style>
  <w:style w:type="character" w:customStyle="1" w:styleId="7">
    <w:name w:val="页眉 Char"/>
    <w:basedOn w:val="6"/>
    <w:link w:val="4"/>
    <w:qFormat/>
    <w:locked/>
    <w:uiPriority w:val="99"/>
    <w:rPr>
      <w:rFonts w:cs="Times New Roman"/>
      <w:sz w:val="18"/>
      <w:szCs w:val="18"/>
    </w:rPr>
  </w:style>
  <w:style w:type="character" w:customStyle="1" w:styleId="8">
    <w:name w:val="页脚 Char"/>
    <w:basedOn w:val="6"/>
    <w:link w:val="3"/>
    <w:qFormat/>
    <w:locked/>
    <w:uiPriority w:val="99"/>
    <w:rPr>
      <w:rFonts w:cs="Times New Roman"/>
      <w:sz w:val="18"/>
      <w:szCs w:val="18"/>
    </w:rPr>
  </w:style>
  <w:style w:type="paragraph" w:styleId="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0">
    <w:name w:val="批注框文本 Char"/>
    <w:basedOn w:val="6"/>
    <w:link w:val="2"/>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F60788-0B6D-4B9C-80F0-39260C5CE0C9}">
  <ds:schemaRefs/>
</ds:datastoreItem>
</file>

<file path=docProps/app.xml><?xml version="1.0" encoding="utf-8"?>
<Properties xmlns="http://schemas.openxmlformats.org/officeDocument/2006/extended-properties" xmlns:vt="http://schemas.openxmlformats.org/officeDocument/2006/docPropsVTypes">
  <Template>Normal.dotm</Template>
  <Company>PCOS</Company>
  <Pages>9</Pages>
  <Words>167</Words>
  <Characters>954</Characters>
  <Lines>7</Lines>
  <Paragraphs>2</Paragraphs>
  <TotalTime>768</TotalTime>
  <ScaleCrop>false</ScaleCrop>
  <LinksUpToDate>false</LinksUpToDate>
  <CharactersWithSpaces>1119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2015-09-09T07:46:00Z</dcterms:created>
  <dc:creator>尚延恒/稽查二处/稽查局/国家局/sda</dc:creator>
  <cp:lastModifiedBy>john</cp:lastModifiedBy>
  <cp:lastPrinted>2018-10-22T11:08:00Z</cp:lastPrinted>
  <dcterms:modified xsi:type="dcterms:W3CDTF">2020-02-18T06:51:58Z</dcterms:modified>
  <cp:revision>449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