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96162F">
      <w:pPr>
        <w:ind w:firstLine="720"/>
        <w:rPr>
          <w:rFonts w:eastAsia="仿宋_GB2312"/>
          <w:color w:val="auto"/>
          <w:sz w:val="36"/>
          <w:szCs w:val="36"/>
        </w:rPr>
      </w:pPr>
    </w:p>
    <w:p w14:paraId="6727EB77">
      <w:pPr>
        <w:ind w:firstLine="720"/>
        <w:rPr>
          <w:rFonts w:eastAsia="仿宋_GB2312"/>
          <w:color w:val="auto"/>
          <w:sz w:val="36"/>
          <w:szCs w:val="36"/>
        </w:rPr>
      </w:pPr>
    </w:p>
    <w:p w14:paraId="34F19079">
      <w:pPr>
        <w:ind w:firstLine="720"/>
        <w:rPr>
          <w:rFonts w:eastAsia="仿宋_GB2312"/>
          <w:color w:val="auto"/>
          <w:sz w:val="36"/>
          <w:szCs w:val="36"/>
        </w:rPr>
      </w:pPr>
    </w:p>
    <w:p w14:paraId="545004F9">
      <w:pPr>
        <w:adjustRightInd w:val="0"/>
        <w:snapToGrid w:val="0"/>
        <w:ind w:firstLine="0" w:firstLineChars="0"/>
        <w:jc w:val="center"/>
        <w:outlineLvl w:val="0"/>
        <w:rPr>
          <w:rFonts w:eastAsia="方正小标宋_GBK"/>
          <w:bCs/>
          <w:color w:val="auto"/>
          <w:sz w:val="72"/>
          <w:szCs w:val="72"/>
        </w:rPr>
      </w:pPr>
      <w:bookmarkStart w:id="0" w:name="_Toc128130725"/>
      <w:bookmarkStart w:id="1" w:name="_Toc127979620"/>
      <w:r>
        <w:rPr>
          <w:rFonts w:eastAsia="方正小标宋_GBK"/>
          <w:bCs/>
          <w:color w:val="auto"/>
          <w:sz w:val="72"/>
          <w:szCs w:val="72"/>
        </w:rPr>
        <w:t>建设项目环境影响报告表</w:t>
      </w:r>
      <w:bookmarkEnd w:id="0"/>
      <w:bookmarkEnd w:id="1"/>
    </w:p>
    <w:p w14:paraId="3F5209E0">
      <w:pPr>
        <w:adjustRightInd w:val="0"/>
        <w:snapToGrid w:val="0"/>
        <w:spacing w:before="192" w:beforeLines="80"/>
        <w:ind w:firstLine="0" w:firstLineChars="0"/>
        <w:jc w:val="center"/>
        <w:rPr>
          <w:rFonts w:eastAsia="楷体_GB2312"/>
          <w:bCs/>
          <w:color w:val="auto"/>
          <w:sz w:val="48"/>
          <w:szCs w:val="48"/>
        </w:rPr>
      </w:pPr>
      <w:r>
        <w:rPr>
          <w:rFonts w:eastAsia="楷体_GB2312"/>
          <w:bCs/>
          <w:color w:val="auto"/>
          <w:sz w:val="48"/>
          <w:szCs w:val="48"/>
        </w:rPr>
        <w:t>（污染影响类）</w:t>
      </w:r>
    </w:p>
    <w:p w14:paraId="62836E80">
      <w:pPr>
        <w:pStyle w:val="29"/>
        <w:jc w:val="center"/>
        <w:rPr>
          <w:rFonts w:hint="eastAsia" w:eastAsia="楷体_GB2312"/>
          <w:color w:val="auto"/>
          <w:lang w:eastAsia="zh-CN"/>
        </w:rPr>
      </w:pPr>
      <w:r>
        <w:rPr>
          <w:rFonts w:hint="eastAsia" w:eastAsia="楷体_GB2312"/>
          <w:bCs/>
          <w:color w:val="auto"/>
          <w:sz w:val="48"/>
          <w:szCs w:val="48"/>
          <w:lang w:eastAsia="zh-CN"/>
        </w:rPr>
        <w:t>（</w:t>
      </w:r>
      <w:r>
        <w:rPr>
          <w:rFonts w:hint="eastAsia" w:eastAsia="楷体_GB2312"/>
          <w:bCs/>
          <w:color w:val="auto"/>
          <w:sz w:val="48"/>
          <w:szCs w:val="48"/>
          <w:lang w:val="en-US" w:eastAsia="zh-CN"/>
        </w:rPr>
        <w:t>公示稿</w:t>
      </w:r>
      <w:r>
        <w:rPr>
          <w:rFonts w:hint="eastAsia" w:eastAsia="楷体_GB2312"/>
          <w:bCs/>
          <w:color w:val="auto"/>
          <w:sz w:val="48"/>
          <w:szCs w:val="48"/>
          <w:lang w:eastAsia="zh-CN"/>
        </w:rPr>
        <w:t>）</w:t>
      </w:r>
    </w:p>
    <w:p w14:paraId="324BCCF5">
      <w:pPr>
        <w:ind w:firstLine="480"/>
        <w:rPr>
          <w:color w:val="auto"/>
        </w:rPr>
      </w:pPr>
    </w:p>
    <w:p w14:paraId="23BE9563">
      <w:pPr>
        <w:ind w:firstLine="0" w:firstLineChars="0"/>
        <w:rPr>
          <w:rFonts w:eastAsia="仿宋"/>
          <w:color w:val="auto"/>
          <w:sz w:val="44"/>
          <w:szCs w:val="44"/>
        </w:rPr>
      </w:pPr>
    </w:p>
    <w:p w14:paraId="1D9CC830">
      <w:pPr>
        <w:ind w:firstLine="0" w:firstLineChars="0"/>
        <w:rPr>
          <w:rFonts w:eastAsia="仿宋"/>
          <w:color w:val="auto"/>
          <w:sz w:val="44"/>
          <w:szCs w:val="44"/>
        </w:rPr>
      </w:pPr>
      <w:bookmarkStart w:id="35" w:name="_GoBack"/>
      <w:bookmarkEnd w:id="35"/>
    </w:p>
    <w:p w14:paraId="76A3140E">
      <w:pPr>
        <w:adjustRightInd w:val="0"/>
        <w:snapToGrid w:val="0"/>
        <w:spacing w:line="288" w:lineRule="auto"/>
        <w:ind w:firstLine="720"/>
        <w:jc w:val="left"/>
        <w:rPr>
          <w:rFonts w:hint="default" w:eastAsia="仿宋_GB2312"/>
          <w:color w:val="auto"/>
          <w:sz w:val="36"/>
          <w:szCs w:val="36"/>
          <w:u w:val="single"/>
          <w:lang w:val="en-US" w:eastAsia="zh-CN"/>
        </w:rPr>
      </w:pPr>
      <w:r>
        <w:rPr>
          <w:rFonts w:eastAsia="仿宋_GB2312"/>
          <w:color w:val="auto"/>
          <w:sz w:val="36"/>
          <w:szCs w:val="36"/>
        </w:rPr>
        <w:t>项目名称：</w:t>
      </w:r>
      <w:r>
        <w:rPr>
          <w:rFonts w:hint="eastAsia" w:eastAsia="仿宋_GB2312"/>
          <w:color w:val="auto"/>
          <w:sz w:val="36"/>
          <w:szCs w:val="36"/>
          <w:u w:val="single"/>
          <w:lang w:eastAsia="zh-CN"/>
        </w:rPr>
        <w:t>南宁市健宁精神病医院建设项目</w:t>
      </w:r>
      <w:r>
        <w:rPr>
          <w:rFonts w:eastAsia="仿宋_GB2312"/>
          <w:color w:val="auto"/>
          <w:sz w:val="36"/>
          <w:szCs w:val="36"/>
          <w:u w:val="single"/>
        </w:rPr>
        <w:t xml:space="preserve"> </w:t>
      </w:r>
      <w:r>
        <w:rPr>
          <w:rFonts w:hint="eastAsia" w:eastAsia="仿宋_GB2312"/>
          <w:color w:val="auto"/>
          <w:sz w:val="36"/>
          <w:szCs w:val="36"/>
          <w:u w:val="single"/>
          <w:lang w:val="en-US" w:eastAsia="zh-CN"/>
        </w:rPr>
        <w:t xml:space="preserve">           </w:t>
      </w:r>
    </w:p>
    <w:p w14:paraId="069ACF19">
      <w:pPr>
        <w:adjustRightInd w:val="0"/>
        <w:snapToGrid w:val="0"/>
        <w:spacing w:line="288" w:lineRule="auto"/>
        <w:ind w:firstLine="720"/>
        <w:jc w:val="left"/>
        <w:rPr>
          <w:rFonts w:eastAsia="仿宋_GB2312"/>
          <w:color w:val="auto"/>
          <w:sz w:val="36"/>
          <w:szCs w:val="36"/>
          <w:u w:val="single"/>
        </w:rPr>
      </w:pPr>
      <w:r>
        <w:rPr>
          <w:rFonts w:eastAsia="仿宋_GB2312"/>
          <w:color w:val="auto"/>
          <w:sz w:val="36"/>
          <w:szCs w:val="36"/>
        </w:rPr>
        <w:t>建设单位（盖章）：</w:t>
      </w:r>
      <w:r>
        <w:rPr>
          <w:rFonts w:hint="eastAsia" w:eastAsia="仿宋_GB2312"/>
          <w:color w:val="auto"/>
          <w:sz w:val="36"/>
          <w:szCs w:val="36"/>
          <w:u w:val="single"/>
          <w:lang w:eastAsia="zh-CN"/>
        </w:rPr>
        <w:t>南宁市健宁精神病医院有限公司</w:t>
      </w:r>
      <w:r>
        <w:rPr>
          <w:rFonts w:eastAsia="仿宋_GB2312"/>
          <w:color w:val="auto"/>
          <w:sz w:val="36"/>
          <w:szCs w:val="36"/>
          <w:u w:val="single"/>
        </w:rPr>
        <w:t xml:space="preserve">   </w:t>
      </w:r>
    </w:p>
    <w:p w14:paraId="76E60573">
      <w:pPr>
        <w:adjustRightInd w:val="0"/>
        <w:snapToGrid w:val="0"/>
        <w:spacing w:line="288" w:lineRule="auto"/>
        <w:ind w:firstLine="720"/>
        <w:rPr>
          <w:rFonts w:eastAsia="仿宋_GB2312"/>
          <w:color w:val="auto"/>
          <w:sz w:val="36"/>
          <w:szCs w:val="36"/>
          <w:u w:val="single"/>
        </w:rPr>
      </w:pPr>
      <w:r>
        <w:rPr>
          <w:rFonts w:eastAsia="仿宋_GB2312"/>
          <w:color w:val="auto"/>
          <w:sz w:val="36"/>
          <w:szCs w:val="36"/>
        </w:rPr>
        <w:t>编制日期：</w:t>
      </w:r>
      <w:r>
        <w:rPr>
          <w:rFonts w:hint="eastAsia" w:eastAsia="仿宋_GB2312"/>
          <w:color w:val="auto"/>
          <w:sz w:val="36"/>
          <w:szCs w:val="36"/>
          <w:u w:val="single"/>
          <w:lang w:val="en-US" w:eastAsia="zh-CN"/>
        </w:rPr>
        <w:t>二〇二五年九月</w:t>
      </w:r>
      <w:r>
        <w:rPr>
          <w:rFonts w:eastAsia="仿宋_GB2312"/>
          <w:color w:val="auto"/>
          <w:sz w:val="36"/>
          <w:szCs w:val="36"/>
          <w:u w:val="single"/>
        </w:rPr>
        <w:t xml:space="preserve">                     </w:t>
      </w:r>
    </w:p>
    <w:p w14:paraId="7A80A90C">
      <w:pPr>
        <w:adjustRightInd w:val="0"/>
        <w:snapToGrid w:val="0"/>
        <w:spacing w:line="288" w:lineRule="auto"/>
        <w:ind w:firstLine="720"/>
        <w:rPr>
          <w:rFonts w:eastAsia="仿宋_GB2312"/>
          <w:color w:val="auto"/>
          <w:sz w:val="36"/>
          <w:szCs w:val="36"/>
          <w:u w:val="single"/>
        </w:rPr>
      </w:pPr>
      <w:bookmarkStart w:id="2" w:name="_Hlk57884087"/>
    </w:p>
    <w:bookmarkEnd w:id="2"/>
    <w:p w14:paraId="5BBE8BE5">
      <w:pPr>
        <w:adjustRightInd w:val="0"/>
        <w:snapToGrid w:val="0"/>
        <w:spacing w:line="288" w:lineRule="auto"/>
        <w:ind w:firstLine="0" w:firstLineChars="0"/>
        <w:jc w:val="center"/>
        <w:rPr>
          <w:rFonts w:eastAsia="楷体_GB2312"/>
          <w:color w:val="auto"/>
          <w:sz w:val="36"/>
          <w:szCs w:val="36"/>
        </w:rPr>
      </w:pPr>
    </w:p>
    <w:p w14:paraId="13CCBC1D">
      <w:pPr>
        <w:adjustRightInd w:val="0"/>
        <w:snapToGrid w:val="0"/>
        <w:spacing w:line="288" w:lineRule="auto"/>
        <w:ind w:firstLine="0" w:firstLineChars="0"/>
        <w:jc w:val="center"/>
        <w:rPr>
          <w:rFonts w:eastAsia="楷体_GB2312"/>
          <w:color w:val="auto"/>
          <w:sz w:val="36"/>
          <w:szCs w:val="36"/>
        </w:rPr>
      </w:pPr>
    </w:p>
    <w:p w14:paraId="7AC94359">
      <w:pPr>
        <w:adjustRightInd w:val="0"/>
        <w:snapToGrid w:val="0"/>
        <w:spacing w:line="288" w:lineRule="auto"/>
        <w:ind w:firstLine="0" w:firstLineChars="0"/>
        <w:jc w:val="center"/>
        <w:rPr>
          <w:rFonts w:eastAsia="楷体_GB2312"/>
          <w:color w:val="auto"/>
          <w:sz w:val="36"/>
          <w:szCs w:val="36"/>
        </w:rPr>
      </w:pPr>
    </w:p>
    <w:p w14:paraId="71FED1B0">
      <w:pPr>
        <w:adjustRightInd w:val="0"/>
        <w:snapToGrid w:val="0"/>
        <w:spacing w:line="288" w:lineRule="auto"/>
        <w:ind w:firstLine="0" w:firstLineChars="0"/>
        <w:jc w:val="center"/>
        <w:rPr>
          <w:rFonts w:eastAsia="楷体_GB2312"/>
          <w:color w:val="auto"/>
          <w:sz w:val="36"/>
          <w:szCs w:val="36"/>
        </w:rPr>
      </w:pPr>
    </w:p>
    <w:p w14:paraId="63382929">
      <w:pPr>
        <w:adjustRightInd w:val="0"/>
        <w:snapToGrid w:val="0"/>
        <w:spacing w:line="288" w:lineRule="auto"/>
        <w:ind w:firstLine="0" w:firstLineChars="0"/>
        <w:jc w:val="center"/>
        <w:rPr>
          <w:rFonts w:eastAsia="楷体_GB2312"/>
          <w:color w:val="auto"/>
          <w:sz w:val="36"/>
          <w:szCs w:val="36"/>
        </w:rPr>
      </w:pPr>
    </w:p>
    <w:p w14:paraId="0D49EAD0">
      <w:pPr>
        <w:adjustRightInd w:val="0"/>
        <w:snapToGrid w:val="0"/>
        <w:spacing w:line="288" w:lineRule="auto"/>
        <w:ind w:firstLine="0" w:firstLineChars="0"/>
        <w:jc w:val="center"/>
        <w:rPr>
          <w:rFonts w:eastAsia="楷体_GB2312"/>
          <w:color w:val="auto"/>
          <w:sz w:val="36"/>
          <w:szCs w:val="36"/>
        </w:rPr>
      </w:pPr>
    </w:p>
    <w:p w14:paraId="44AE5F58">
      <w:pPr>
        <w:adjustRightInd w:val="0"/>
        <w:snapToGrid w:val="0"/>
        <w:spacing w:line="288" w:lineRule="auto"/>
        <w:ind w:firstLine="0" w:firstLineChars="0"/>
        <w:jc w:val="center"/>
        <w:rPr>
          <w:rFonts w:eastAsia="楷体_GB2312"/>
          <w:color w:val="auto"/>
          <w:sz w:val="36"/>
          <w:szCs w:val="36"/>
        </w:rPr>
      </w:pPr>
    </w:p>
    <w:p w14:paraId="61788230">
      <w:pPr>
        <w:adjustRightInd w:val="0"/>
        <w:snapToGrid w:val="0"/>
        <w:spacing w:line="288" w:lineRule="auto"/>
        <w:ind w:firstLine="0" w:firstLineChars="0"/>
        <w:jc w:val="center"/>
        <w:rPr>
          <w:rFonts w:eastAsia="楷体_GB2312"/>
          <w:color w:val="auto"/>
          <w:sz w:val="36"/>
          <w:szCs w:val="36"/>
        </w:rPr>
        <w:sectPr>
          <w:headerReference r:id="rId5" w:type="default"/>
          <w:footerReference r:id="rId6" w:type="default"/>
          <w:pgSz w:w="11906" w:h="16838"/>
          <w:pgMar w:top="1531" w:right="1531" w:bottom="153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eastAsia="楷体_GB2312"/>
          <w:color w:val="auto"/>
          <w:sz w:val="36"/>
          <w:szCs w:val="36"/>
        </w:rPr>
        <w:t>中华人民共和国生态环境部制</w:t>
      </w:r>
    </w:p>
    <w:p w14:paraId="6C0E742F">
      <w:pPr>
        <w:pStyle w:val="29"/>
        <w:rPr>
          <w:color w:val="auto"/>
        </w:rPr>
      </w:pPr>
      <w:r>
        <w:rPr>
          <w:rFonts w:hint="eastAsia" w:eastAsia="仿宋_GB2312"/>
          <w:color w:val="auto"/>
          <w:sz w:val="36"/>
          <w:szCs w:val="36"/>
          <w:lang w:eastAsia="zh-CN"/>
        </w:rPr>
        <w:drawing>
          <wp:anchor distT="0" distB="0" distL="114300" distR="114300" simplePos="0" relativeHeight="251661312" behindDoc="1" locked="0" layoutInCell="1" allowOverlap="1">
            <wp:simplePos x="0" y="0"/>
            <wp:positionH relativeFrom="column">
              <wp:posOffset>2824480</wp:posOffset>
            </wp:positionH>
            <wp:positionV relativeFrom="paragraph">
              <wp:posOffset>10160</wp:posOffset>
            </wp:positionV>
            <wp:extent cx="2787650" cy="2160270"/>
            <wp:effectExtent l="9525" t="9525" r="22225" b="20955"/>
            <wp:wrapNone/>
            <wp:docPr id="7" name="图片 7" descr="二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二楼"/>
                    <pic:cNvPicPr>
                      <a:picLocks noChangeAspect="1"/>
                    </pic:cNvPicPr>
                  </pic:nvPicPr>
                  <pic:blipFill>
                    <a:blip r:embed="rId9"/>
                    <a:srcRect l="8902" t="24988" b="22006"/>
                    <a:stretch>
                      <a:fillRect/>
                    </a:stretch>
                  </pic:blipFill>
                  <pic:spPr>
                    <a:xfrm>
                      <a:off x="0" y="0"/>
                      <a:ext cx="2787650" cy="2160270"/>
                    </a:xfrm>
                    <a:prstGeom prst="rect">
                      <a:avLst/>
                    </a:prstGeom>
                    <a:ln>
                      <a:solidFill>
                        <a:schemeClr val="tx1"/>
                      </a:solidFill>
                    </a:ln>
                  </pic:spPr>
                </pic:pic>
              </a:graphicData>
            </a:graphic>
          </wp:anchor>
        </w:drawing>
      </w:r>
      <w:r>
        <w:rPr>
          <w:rFonts w:eastAsia="仿宋_GB2312"/>
          <w:color w:val="auto"/>
          <w:sz w:val="36"/>
          <w:szCs w:val="36"/>
        </w:rPr>
        <w:drawing>
          <wp:anchor distT="0" distB="0" distL="114300" distR="114300" simplePos="0" relativeHeight="251661312" behindDoc="1" locked="0" layoutInCell="1" allowOverlap="1">
            <wp:simplePos x="0" y="0"/>
            <wp:positionH relativeFrom="column">
              <wp:posOffset>-104140</wp:posOffset>
            </wp:positionH>
            <wp:positionV relativeFrom="paragraph">
              <wp:posOffset>6985</wp:posOffset>
            </wp:positionV>
            <wp:extent cx="2878455" cy="2160270"/>
            <wp:effectExtent l="9525" t="9525" r="26670" b="20955"/>
            <wp:wrapNone/>
            <wp:docPr id="1" name="图片 1" descr="一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一楼"/>
                    <pic:cNvPicPr>
                      <a:picLocks noChangeAspect="1"/>
                    </pic:cNvPicPr>
                  </pic:nvPicPr>
                  <pic:blipFill>
                    <a:blip r:embed="rId10"/>
                    <a:stretch>
                      <a:fillRect/>
                    </a:stretch>
                  </pic:blipFill>
                  <pic:spPr>
                    <a:xfrm>
                      <a:off x="0" y="0"/>
                      <a:ext cx="2878455" cy="2160270"/>
                    </a:xfrm>
                    <a:prstGeom prst="rect">
                      <a:avLst/>
                    </a:prstGeom>
                    <a:ln>
                      <a:solidFill>
                        <a:schemeClr val="tx1"/>
                      </a:solidFill>
                    </a:ln>
                  </pic:spPr>
                </pic:pic>
              </a:graphicData>
            </a:graphic>
          </wp:anchor>
        </w:drawing>
      </w:r>
    </w:p>
    <w:p w14:paraId="235AF925">
      <w:pPr>
        <w:adjustRightInd w:val="0"/>
        <w:snapToGrid w:val="0"/>
        <w:spacing w:line="288" w:lineRule="auto"/>
        <w:ind w:firstLine="720"/>
        <w:rPr>
          <w:rFonts w:hint="eastAsia" w:eastAsia="仿宋_GB2312"/>
          <w:color w:val="auto"/>
          <w:sz w:val="36"/>
          <w:szCs w:val="36"/>
          <w:lang w:eastAsia="zh-CN"/>
        </w:rPr>
      </w:pPr>
      <w:r>
        <w:rPr>
          <w:color w:val="auto"/>
          <w:sz w:val="36"/>
        </w:rPr>
        <mc:AlternateContent>
          <mc:Choice Requires="wps">
            <w:drawing>
              <wp:anchor distT="0" distB="0" distL="114300" distR="114300" simplePos="0" relativeHeight="251670528" behindDoc="0" locked="0" layoutInCell="1" allowOverlap="1">
                <wp:simplePos x="0" y="0"/>
                <wp:positionH relativeFrom="column">
                  <wp:posOffset>2817495</wp:posOffset>
                </wp:positionH>
                <wp:positionV relativeFrom="paragraph">
                  <wp:posOffset>7816215</wp:posOffset>
                </wp:positionV>
                <wp:extent cx="3004185" cy="34925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004185" cy="349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D8F36F">
                            <w:pPr>
                              <w:ind w:left="0" w:leftChars="0" w:firstLine="0" w:firstLineChars="0"/>
                              <w:jc w:val="center"/>
                              <w:rPr>
                                <w:rFonts w:hint="default" w:eastAsia="宋体"/>
                                <w:b/>
                                <w:bCs/>
                                <w:lang w:val="en-US" w:eastAsia="zh-CN"/>
                              </w:rPr>
                            </w:pPr>
                            <w:r>
                              <w:rPr>
                                <w:rFonts w:hint="eastAsia"/>
                                <w:b/>
                                <w:bCs/>
                                <w:lang w:val="en-US" w:eastAsia="zh-CN"/>
                              </w:rPr>
                              <w:t>项目南侧6m的</w:t>
                            </w:r>
                            <w:bookmarkStart w:id="34" w:name="OLE_LINK1"/>
                            <w:r>
                              <w:rPr>
                                <w:rFonts w:hint="eastAsia"/>
                                <w:b/>
                                <w:bCs/>
                                <w:lang w:val="en-US" w:eastAsia="zh-CN"/>
                              </w:rPr>
                              <w:t>三玖脑科医院</w:t>
                            </w:r>
                            <w:bookmarkEnd w:id="34"/>
                            <w:r>
                              <w:rPr>
                                <w:rFonts w:hint="eastAsia"/>
                                <w:b/>
                                <w:bCs/>
                                <w:lang w:val="en-US" w:eastAsia="zh-CN"/>
                              </w:rPr>
                              <w:t>（拟建）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85pt;margin-top:615.45pt;height:27.5pt;width:236.55pt;z-index:251670528;mso-width-relative:page;mso-height-relative:page;" filled="f" stroked="f" coordsize="21600,21600" o:gfxdata="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DGBdX3QAAAA0BAAAPAAAAAAAAAAEAIAAAACIA&#10;AABkcnMvZG93bnJldi54bWxQSwECFAAUAAAACACHTuJAzAwtsj0CAABoBAAADgAAAAAAAAABACAA&#10;AAAsAQAAZHJzL2Uyb0RvYy54bWxQSwUGAAAAAAYABgBZAQAA2wUAAAAA&#10;">
                <v:fill on="f" focussize="0,0"/>
                <v:stroke on="f" weight="0.5pt"/>
                <v:imagedata o:title=""/>
                <o:lock v:ext="edit" aspectratio="f"/>
                <v:textbox>
                  <w:txbxContent>
                    <w:p w14:paraId="67D8F36F">
                      <w:pPr>
                        <w:ind w:left="0" w:leftChars="0" w:firstLine="0" w:firstLineChars="0"/>
                        <w:jc w:val="center"/>
                        <w:rPr>
                          <w:rFonts w:hint="default" w:eastAsia="宋体"/>
                          <w:b/>
                          <w:bCs/>
                          <w:lang w:val="en-US" w:eastAsia="zh-CN"/>
                        </w:rPr>
                      </w:pPr>
                      <w:r>
                        <w:rPr>
                          <w:rFonts w:hint="eastAsia"/>
                          <w:b/>
                          <w:bCs/>
                          <w:lang w:val="en-US" w:eastAsia="zh-CN"/>
                        </w:rPr>
                        <w:t>项目南侧6m的</w:t>
                      </w:r>
                      <w:bookmarkStart w:id="34" w:name="OLE_LINK1"/>
                      <w:r>
                        <w:rPr>
                          <w:rFonts w:hint="eastAsia"/>
                          <w:b/>
                          <w:bCs/>
                          <w:lang w:val="en-US" w:eastAsia="zh-CN"/>
                        </w:rPr>
                        <w:t>三玖脑科医院</w:t>
                      </w:r>
                      <w:bookmarkEnd w:id="34"/>
                      <w:r>
                        <w:rPr>
                          <w:rFonts w:hint="eastAsia"/>
                          <w:b/>
                          <w:bCs/>
                          <w:lang w:val="en-US" w:eastAsia="zh-CN"/>
                        </w:rPr>
                        <w:t>（拟建）</w:t>
                      </w:r>
                    </w:p>
                  </w:txbxContent>
                </v:textbox>
              </v:shape>
            </w:pict>
          </mc:Fallback>
        </mc:AlternateContent>
      </w:r>
      <w:r>
        <w:rPr>
          <w:rFonts w:hint="eastAsia" w:eastAsia="仿宋_GB2312"/>
          <w:color w:val="auto"/>
          <w:sz w:val="36"/>
          <w:szCs w:val="36"/>
          <w:lang w:eastAsia="zh-CN"/>
        </w:rPr>
        <w:drawing>
          <wp:anchor distT="0" distB="0" distL="114300" distR="114300" simplePos="0" relativeHeight="251669504" behindDoc="1" locked="0" layoutInCell="1" allowOverlap="1">
            <wp:simplePos x="0" y="0"/>
            <wp:positionH relativeFrom="column">
              <wp:posOffset>2859405</wp:posOffset>
            </wp:positionH>
            <wp:positionV relativeFrom="paragraph">
              <wp:posOffset>5485765</wp:posOffset>
            </wp:positionV>
            <wp:extent cx="2869565" cy="2160270"/>
            <wp:effectExtent l="9525" t="9525" r="16510" b="20955"/>
            <wp:wrapNone/>
            <wp:docPr id="16" name="图片 16" descr="174321011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43210116694"/>
                    <pic:cNvPicPr>
                      <a:picLocks noChangeAspect="1"/>
                    </pic:cNvPicPr>
                  </pic:nvPicPr>
                  <pic:blipFill>
                    <a:blip r:embed="rId11"/>
                    <a:stretch>
                      <a:fillRect/>
                    </a:stretch>
                  </pic:blipFill>
                  <pic:spPr>
                    <a:xfrm>
                      <a:off x="0" y="0"/>
                      <a:ext cx="2869565" cy="2160270"/>
                    </a:xfrm>
                    <a:prstGeom prst="rect">
                      <a:avLst/>
                    </a:prstGeom>
                    <a:ln>
                      <a:solidFill>
                        <a:schemeClr val="tx1"/>
                      </a:solidFill>
                    </a:ln>
                  </pic:spPr>
                </pic:pic>
              </a:graphicData>
            </a:graphic>
          </wp:anchor>
        </w:drawing>
      </w:r>
      <w:r>
        <w:rPr>
          <w:color w:val="auto"/>
          <w:sz w:val="36"/>
        </w:rPr>
        <mc:AlternateContent>
          <mc:Choice Requires="wps">
            <w:drawing>
              <wp:anchor distT="0" distB="0" distL="114300" distR="114300" simplePos="0" relativeHeight="251668480" behindDoc="0" locked="0" layoutInCell="1" allowOverlap="1">
                <wp:simplePos x="0" y="0"/>
                <wp:positionH relativeFrom="column">
                  <wp:posOffset>-130175</wp:posOffset>
                </wp:positionH>
                <wp:positionV relativeFrom="paragraph">
                  <wp:posOffset>7811770</wp:posOffset>
                </wp:positionV>
                <wp:extent cx="2613660" cy="34925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2613660" cy="349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7EEA5B">
                            <w:pPr>
                              <w:jc w:val="center"/>
                              <w:rPr>
                                <w:rFonts w:hint="default" w:eastAsia="宋体"/>
                                <w:b/>
                                <w:bCs/>
                                <w:lang w:val="en-US" w:eastAsia="zh-CN"/>
                              </w:rPr>
                            </w:pPr>
                            <w:r>
                              <w:rPr>
                                <w:rFonts w:hint="eastAsia"/>
                                <w:b/>
                                <w:bCs/>
                                <w:lang w:val="en-US" w:eastAsia="zh-CN"/>
                              </w:rPr>
                              <w:t>项目西侧约10m的九斗坡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5pt;margin-top:615.1pt;height:27.5pt;width:205.8pt;z-index:251668480;mso-width-relative:page;mso-height-relative:page;" filled="f" stroked="f" coordsize="21600,21600" o:gfxdata="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0NEh03AAAAA0BAAAPAAAAAAAAAAEAIAAAACIAAABk&#10;cnMvZG93bnJldi54bWxQSwECFAAUAAAACACHTuJAJqzoxDsCAABoBAAADgAAAAAAAAABACAAAAAr&#10;AQAAZHJzL2Uyb0RvYy54bWxQSwUGAAAAAAYABgBZAQAA2AUAAAAA&#10;">
                <v:fill on="f" focussize="0,0"/>
                <v:stroke on="f" weight="0.5pt"/>
                <v:imagedata o:title=""/>
                <o:lock v:ext="edit" aspectratio="f"/>
                <v:textbox>
                  <w:txbxContent>
                    <w:p w14:paraId="037EEA5B">
                      <w:pPr>
                        <w:jc w:val="center"/>
                        <w:rPr>
                          <w:rFonts w:hint="default" w:eastAsia="宋体"/>
                          <w:b/>
                          <w:bCs/>
                          <w:lang w:val="en-US" w:eastAsia="zh-CN"/>
                        </w:rPr>
                      </w:pPr>
                      <w:r>
                        <w:rPr>
                          <w:rFonts w:hint="eastAsia"/>
                          <w:b/>
                          <w:bCs/>
                          <w:lang w:val="en-US" w:eastAsia="zh-CN"/>
                        </w:rPr>
                        <w:t>项目西侧约10m的九斗坡</w:t>
                      </w:r>
                    </w:p>
                  </w:txbxContent>
                </v:textbox>
              </v:shape>
            </w:pict>
          </mc:Fallback>
        </mc:AlternateContent>
      </w:r>
      <w:r>
        <w:rPr>
          <w:rFonts w:hint="eastAsia" w:eastAsia="仿宋_GB2312"/>
          <w:color w:val="auto"/>
          <w:sz w:val="36"/>
          <w:szCs w:val="36"/>
          <w:lang w:eastAsia="zh-CN"/>
        </w:rPr>
        <w:drawing>
          <wp:anchor distT="0" distB="0" distL="114300" distR="114300" simplePos="0" relativeHeight="251665408" behindDoc="1" locked="0" layoutInCell="1" allowOverlap="1">
            <wp:simplePos x="0" y="0"/>
            <wp:positionH relativeFrom="column">
              <wp:posOffset>2797175</wp:posOffset>
            </wp:positionH>
            <wp:positionV relativeFrom="paragraph">
              <wp:posOffset>2616835</wp:posOffset>
            </wp:positionV>
            <wp:extent cx="2880360" cy="2160270"/>
            <wp:effectExtent l="9525" t="9525" r="24765" b="20955"/>
            <wp:wrapNone/>
            <wp:docPr id="12" name="图片 12" descr="大雷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大雷坪"/>
                    <pic:cNvPicPr>
                      <a:picLocks noChangeAspect="1"/>
                    </pic:cNvPicPr>
                  </pic:nvPicPr>
                  <pic:blipFill>
                    <a:blip r:embed="rId12"/>
                    <a:stretch>
                      <a:fillRect/>
                    </a:stretch>
                  </pic:blipFill>
                  <pic:spPr>
                    <a:xfrm>
                      <a:off x="0" y="0"/>
                      <a:ext cx="2880360" cy="2160270"/>
                    </a:xfrm>
                    <a:prstGeom prst="rect">
                      <a:avLst/>
                    </a:prstGeom>
                    <a:ln>
                      <a:solidFill>
                        <a:schemeClr val="tx1"/>
                      </a:solidFill>
                    </a:ln>
                  </pic:spPr>
                </pic:pic>
              </a:graphicData>
            </a:graphic>
          </wp:anchor>
        </w:drawing>
      </w:r>
      <w:r>
        <w:rPr>
          <w:color w:val="auto"/>
          <w:sz w:val="36"/>
        </w:rPr>
        <mc:AlternateContent>
          <mc:Choice Requires="wps">
            <w:drawing>
              <wp:anchor distT="0" distB="0" distL="114300" distR="114300" simplePos="0" relativeHeight="251664384" behindDoc="0" locked="0" layoutInCell="1" allowOverlap="1">
                <wp:simplePos x="0" y="0"/>
                <wp:positionH relativeFrom="column">
                  <wp:posOffset>-29210</wp:posOffset>
                </wp:positionH>
                <wp:positionV relativeFrom="paragraph">
                  <wp:posOffset>4812030</wp:posOffset>
                </wp:positionV>
                <wp:extent cx="2613660" cy="34925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613660" cy="349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4C04BB">
                            <w:pPr>
                              <w:jc w:val="center"/>
                              <w:rPr>
                                <w:rFonts w:hint="default" w:eastAsia="宋体"/>
                                <w:b/>
                                <w:bCs/>
                                <w:lang w:val="en-US" w:eastAsia="zh-CN"/>
                              </w:rPr>
                            </w:pPr>
                            <w:r>
                              <w:rPr>
                                <w:rFonts w:hint="eastAsia"/>
                                <w:b/>
                                <w:bCs/>
                                <w:lang w:val="en-US" w:eastAsia="zh-CN"/>
                              </w:rPr>
                              <w:t xml:space="preserve">  项目东侧33m的友谊路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pt;margin-top:378.9pt;height:27.5pt;width:205.8pt;z-index:251664384;mso-width-relative:page;mso-height-relative:page;" filled="f" stroked="f" coordsize="21600,21600" o:gfxdata="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OSIQvbAAAACgEAAA8AAAAAAAAAAQAgAAAAIgAAAGRy&#10;cy9kb3ducmV2LnhtbFBLAQIUABQAAAAIAIdO4kCxSCKEOwIAAGgEAAAOAAAAAAAAAAEAIAAAACoB&#10;AABkcnMvZTJvRG9jLnhtbFBLBQYAAAAABgAGAFkBAADXBQAAAAA=&#10;">
                <v:fill on="f" focussize="0,0"/>
                <v:stroke on="f" weight="0.5pt"/>
                <v:imagedata o:title=""/>
                <o:lock v:ext="edit" aspectratio="f"/>
                <v:textbox>
                  <w:txbxContent>
                    <w:p w14:paraId="5D4C04BB">
                      <w:pPr>
                        <w:jc w:val="center"/>
                        <w:rPr>
                          <w:rFonts w:hint="default" w:eastAsia="宋体"/>
                          <w:b/>
                          <w:bCs/>
                          <w:lang w:val="en-US" w:eastAsia="zh-CN"/>
                        </w:rPr>
                      </w:pPr>
                      <w:r>
                        <w:rPr>
                          <w:rFonts w:hint="eastAsia"/>
                          <w:b/>
                          <w:bCs/>
                          <w:lang w:val="en-US" w:eastAsia="zh-CN"/>
                        </w:rPr>
                        <w:t xml:space="preserve">  项目东侧33m的友谊路</w:t>
                      </w:r>
                    </w:p>
                  </w:txbxContent>
                </v:textbox>
              </v:shape>
            </w:pict>
          </mc:Fallback>
        </mc:AlternateContent>
      </w:r>
      <w:r>
        <w:rPr>
          <w:rFonts w:hint="eastAsia" w:eastAsia="仿宋_GB2312"/>
          <w:color w:val="auto"/>
          <w:sz w:val="36"/>
          <w:szCs w:val="36"/>
          <w:lang w:eastAsia="zh-CN"/>
        </w:rPr>
        <w:drawing>
          <wp:anchor distT="0" distB="0" distL="114300" distR="114300" simplePos="0" relativeHeight="251663360" behindDoc="1" locked="0" layoutInCell="1" allowOverlap="1">
            <wp:simplePos x="0" y="0"/>
            <wp:positionH relativeFrom="column">
              <wp:posOffset>-146685</wp:posOffset>
            </wp:positionH>
            <wp:positionV relativeFrom="paragraph">
              <wp:posOffset>2606675</wp:posOffset>
            </wp:positionV>
            <wp:extent cx="2880360" cy="2160270"/>
            <wp:effectExtent l="9525" t="9525" r="24765" b="20955"/>
            <wp:wrapNone/>
            <wp:docPr id="10" name="图片 10" descr="友谊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友谊路"/>
                    <pic:cNvPicPr>
                      <a:picLocks noChangeAspect="1"/>
                    </pic:cNvPicPr>
                  </pic:nvPicPr>
                  <pic:blipFill>
                    <a:blip r:embed="rId13"/>
                    <a:stretch>
                      <a:fillRect/>
                    </a:stretch>
                  </pic:blipFill>
                  <pic:spPr>
                    <a:xfrm>
                      <a:off x="0" y="0"/>
                      <a:ext cx="2880360" cy="2160270"/>
                    </a:xfrm>
                    <a:prstGeom prst="rect">
                      <a:avLst/>
                    </a:prstGeom>
                    <a:ln>
                      <a:solidFill>
                        <a:schemeClr val="tx1"/>
                      </a:solidFill>
                    </a:ln>
                  </pic:spPr>
                </pic:pic>
              </a:graphicData>
            </a:graphic>
          </wp:anchor>
        </w:drawing>
      </w:r>
      <w:r>
        <w:rPr>
          <w:color w:val="auto"/>
          <w:sz w:val="36"/>
        </w:rPr>
        <mc:AlternateContent>
          <mc:Choice Requires="wps">
            <w:drawing>
              <wp:anchor distT="0" distB="0" distL="114300" distR="114300" simplePos="0" relativeHeight="251666432" behindDoc="0" locked="0" layoutInCell="1" allowOverlap="1">
                <wp:simplePos x="0" y="0"/>
                <wp:positionH relativeFrom="column">
                  <wp:posOffset>2906395</wp:posOffset>
                </wp:positionH>
                <wp:positionV relativeFrom="paragraph">
                  <wp:posOffset>4837430</wp:posOffset>
                </wp:positionV>
                <wp:extent cx="2613660" cy="34925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613660" cy="349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198CB1">
                            <w:pPr>
                              <w:jc w:val="center"/>
                              <w:rPr>
                                <w:rFonts w:hint="default" w:eastAsia="宋体"/>
                                <w:b/>
                                <w:bCs/>
                                <w:lang w:val="en-US" w:eastAsia="zh-CN"/>
                              </w:rPr>
                            </w:pPr>
                            <w:r>
                              <w:rPr>
                                <w:rFonts w:hint="eastAsia"/>
                                <w:b/>
                                <w:bCs/>
                                <w:lang w:val="en-US" w:eastAsia="zh-CN"/>
                              </w:rPr>
                              <w:t>项目南侧210m的大雷坪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85pt;margin-top:380.9pt;height:27.5pt;width:205.8pt;z-index:251666432;mso-width-relative:page;mso-height-relative:page;" filled="f" stroked="f" coordsize="21600,21600" o:gfxdata="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&#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ewece3AAAAAsBAAAPAAAAAAAAAAEAIAAAACIAAABk&#10;cnMvZG93bnJldi54bWxQSwECFAAUAAAACACHTuJA2rn/STsCAABoBAAADgAAAAAAAAABACAAAAAr&#10;AQAAZHJzL2Uyb0RvYy54bWxQSwUGAAAAAAYABgBZAQAA2AUAAAAA&#10;">
                <v:fill on="f" focussize="0,0"/>
                <v:stroke on="f" weight="0.5pt"/>
                <v:imagedata o:title=""/>
                <o:lock v:ext="edit" aspectratio="f"/>
                <v:textbox>
                  <w:txbxContent>
                    <w:p w14:paraId="56198CB1">
                      <w:pPr>
                        <w:jc w:val="center"/>
                        <w:rPr>
                          <w:rFonts w:hint="default" w:eastAsia="宋体"/>
                          <w:b/>
                          <w:bCs/>
                          <w:lang w:val="en-US" w:eastAsia="zh-CN"/>
                        </w:rPr>
                      </w:pPr>
                      <w:r>
                        <w:rPr>
                          <w:rFonts w:hint="eastAsia"/>
                          <w:b/>
                          <w:bCs/>
                          <w:lang w:val="en-US" w:eastAsia="zh-CN"/>
                        </w:rPr>
                        <w:t>项目南侧210m的大雷坪</w:t>
                      </w:r>
                    </w:p>
                  </w:txbxContent>
                </v:textbox>
              </v:shape>
            </w:pict>
          </mc:Fallback>
        </mc:AlternateContent>
      </w:r>
      <w:r>
        <w:rPr>
          <w:color w:val="auto"/>
          <w:sz w:val="36"/>
        </w:rPr>
        <w:drawing>
          <wp:anchor distT="0" distB="0" distL="114300" distR="114300" simplePos="0" relativeHeight="251667456" behindDoc="1" locked="0" layoutInCell="1" allowOverlap="1">
            <wp:simplePos x="0" y="0"/>
            <wp:positionH relativeFrom="column">
              <wp:posOffset>-167005</wp:posOffset>
            </wp:positionH>
            <wp:positionV relativeFrom="paragraph">
              <wp:posOffset>5471795</wp:posOffset>
            </wp:positionV>
            <wp:extent cx="2880360" cy="2160270"/>
            <wp:effectExtent l="9525" t="9525" r="24765" b="20955"/>
            <wp:wrapNone/>
            <wp:docPr id="14" name="图片 14" descr="九斗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九斗坡"/>
                    <pic:cNvPicPr>
                      <a:picLocks noChangeAspect="1"/>
                    </pic:cNvPicPr>
                  </pic:nvPicPr>
                  <pic:blipFill>
                    <a:blip r:embed="rId14"/>
                    <a:stretch>
                      <a:fillRect/>
                    </a:stretch>
                  </pic:blipFill>
                  <pic:spPr>
                    <a:xfrm>
                      <a:off x="0" y="0"/>
                      <a:ext cx="2880360" cy="2160270"/>
                    </a:xfrm>
                    <a:prstGeom prst="rect">
                      <a:avLst/>
                    </a:prstGeom>
                    <a:ln>
                      <a:solidFill>
                        <a:schemeClr val="tx1"/>
                      </a:solidFill>
                    </a:ln>
                  </pic:spPr>
                </pic:pic>
              </a:graphicData>
            </a:graphic>
          </wp:anchor>
        </w:drawing>
      </w:r>
      <w:r>
        <w:rPr>
          <w:color w:val="auto"/>
          <w:sz w:val="36"/>
        </w:rPr>
        <mc:AlternateContent>
          <mc:Choice Requires="wps">
            <w:drawing>
              <wp:anchor distT="0" distB="0" distL="114300" distR="114300" simplePos="0" relativeHeight="251662336" behindDoc="0" locked="0" layoutInCell="1" allowOverlap="1">
                <wp:simplePos x="0" y="0"/>
                <wp:positionH relativeFrom="column">
                  <wp:posOffset>2913380</wp:posOffset>
                </wp:positionH>
                <wp:positionV relativeFrom="paragraph">
                  <wp:posOffset>2038350</wp:posOffset>
                </wp:positionV>
                <wp:extent cx="2613660" cy="34925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613660" cy="349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E9CB07">
                            <w:pPr>
                              <w:jc w:val="center"/>
                              <w:rPr>
                                <w:rFonts w:hint="default" w:eastAsia="宋体"/>
                                <w:b/>
                                <w:bCs/>
                                <w:lang w:val="en-US" w:eastAsia="zh-CN"/>
                              </w:rPr>
                            </w:pPr>
                            <w:r>
                              <w:rPr>
                                <w:rFonts w:hint="eastAsia"/>
                                <w:b/>
                                <w:bCs/>
                                <w:lang w:val="en-US" w:eastAsia="zh-CN"/>
                              </w:rPr>
                              <w:t>项目三楼现状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4pt;margin-top:160.5pt;height:27.5pt;width:205.8pt;z-index:251662336;mso-width-relative:page;mso-height-relative:page;" filled="f" stroked="f" coordsize="21600,21600" o:gfxdata="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&#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27Ret3AAAAAsBAAAPAAAAAAAAAAEAIAAAACIAAABk&#10;cnMvZG93bnJldi54bWxQSwECFAAUAAAACACHTuJAhLtNnDsCAABmBAAADgAAAAAAAAABACAAAAAr&#10;AQAAZHJzL2Uyb0RvYy54bWxQSwUGAAAAAAYABgBZAQAA2AUAAAAA&#10;">
                <v:fill on="f" focussize="0,0"/>
                <v:stroke on="f" weight="0.5pt"/>
                <v:imagedata o:title=""/>
                <o:lock v:ext="edit" aspectratio="f"/>
                <v:textbox>
                  <w:txbxContent>
                    <w:p w14:paraId="1FE9CB07">
                      <w:pPr>
                        <w:jc w:val="center"/>
                        <w:rPr>
                          <w:rFonts w:hint="default" w:eastAsia="宋体"/>
                          <w:b/>
                          <w:bCs/>
                          <w:lang w:val="en-US" w:eastAsia="zh-CN"/>
                        </w:rPr>
                      </w:pPr>
                      <w:r>
                        <w:rPr>
                          <w:rFonts w:hint="eastAsia"/>
                          <w:b/>
                          <w:bCs/>
                          <w:lang w:val="en-US" w:eastAsia="zh-CN"/>
                        </w:rPr>
                        <w:t>项目三楼现状</w:t>
                      </w:r>
                    </w:p>
                  </w:txbxContent>
                </v:textbox>
              </v:shape>
            </w:pict>
          </mc:Fallback>
        </mc:AlternateContent>
      </w:r>
      <w:r>
        <w:rPr>
          <w:color w:val="auto"/>
          <w:sz w:val="36"/>
        </w:rPr>
        <mc:AlternateContent>
          <mc:Choice Requires="wps">
            <w:drawing>
              <wp:anchor distT="0" distB="0" distL="114300" distR="114300" simplePos="0" relativeHeight="251661312" behindDoc="0" locked="0" layoutInCell="1" allowOverlap="1">
                <wp:simplePos x="0" y="0"/>
                <wp:positionH relativeFrom="column">
                  <wp:posOffset>19685</wp:posOffset>
                </wp:positionH>
                <wp:positionV relativeFrom="paragraph">
                  <wp:posOffset>2034540</wp:posOffset>
                </wp:positionV>
                <wp:extent cx="2613660" cy="349250"/>
                <wp:effectExtent l="0" t="0" r="15240" b="12700"/>
                <wp:wrapNone/>
                <wp:docPr id="8" name="文本框 8"/>
                <wp:cNvGraphicFramePr/>
                <a:graphic xmlns:a="http://schemas.openxmlformats.org/drawingml/2006/main">
                  <a:graphicData uri="http://schemas.microsoft.com/office/word/2010/wordprocessingShape">
                    <wps:wsp>
                      <wps:cNvSpPr txBox="1"/>
                      <wps:spPr>
                        <a:xfrm>
                          <a:off x="991870" y="3204210"/>
                          <a:ext cx="2613660" cy="349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07F015">
                            <w:pPr>
                              <w:jc w:val="center"/>
                              <w:rPr>
                                <w:rFonts w:hint="default" w:eastAsia="宋体"/>
                                <w:b/>
                                <w:bCs/>
                                <w:lang w:val="en-US" w:eastAsia="zh-CN"/>
                              </w:rPr>
                            </w:pPr>
                            <w:r>
                              <w:rPr>
                                <w:rFonts w:hint="eastAsia"/>
                                <w:b/>
                                <w:bCs/>
                                <w:lang w:val="en-US" w:eastAsia="zh-CN"/>
                              </w:rPr>
                              <w:t>项目一楼现状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160.2pt;height:27.5pt;width:205.8pt;z-index:251661312;mso-width-relative:page;mso-height-relative:page;" filled="f" stroked="f" coordsize="21600,21600" o:gfxdata="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kO2Ww2wAAAAkBAAAPAAAAAAAAAAEA&#10;IAAAACIAAABkcnMvZG93bnJldi54bWxQSwECFAAUAAAACACHTuJAWfP9i0UCAABxBAAADgAAAAAA&#10;AAABACAAAAAqAQAAZHJzL2Uyb0RvYy54bWxQSwUGAAAAAAYABgBZAQAA4QUAAAAA&#10;">
                <v:fill on="f" focussize="0,0"/>
                <v:stroke on="f" weight="0.5pt"/>
                <v:imagedata o:title=""/>
                <o:lock v:ext="edit" aspectratio="f"/>
                <v:textbox>
                  <w:txbxContent>
                    <w:p w14:paraId="2507F015">
                      <w:pPr>
                        <w:jc w:val="center"/>
                        <w:rPr>
                          <w:rFonts w:hint="default" w:eastAsia="宋体"/>
                          <w:b/>
                          <w:bCs/>
                          <w:lang w:val="en-US" w:eastAsia="zh-CN"/>
                        </w:rPr>
                      </w:pPr>
                      <w:r>
                        <w:rPr>
                          <w:rFonts w:hint="eastAsia"/>
                          <w:b/>
                          <w:bCs/>
                          <w:lang w:val="en-US" w:eastAsia="zh-CN"/>
                        </w:rPr>
                        <w:t>项目一楼现状</w:t>
                      </w:r>
                    </w:p>
                  </w:txbxContent>
                </v:textbox>
              </v:shape>
            </w:pict>
          </mc:Fallback>
        </mc:AlternateContent>
      </w:r>
      <w:r>
        <w:rPr>
          <w:rFonts w:eastAsia="仿宋_GB2312"/>
          <w:color w:val="auto"/>
          <w:sz w:val="36"/>
          <w:szCs w:val="36"/>
        </w:rPr>
        <w:br w:type="page"/>
      </w:r>
    </w:p>
    <w:p w14:paraId="715254C4">
      <w:pPr>
        <w:pStyle w:val="41"/>
        <w:ind w:firstLine="480"/>
        <w:jc w:val="center"/>
        <w:rPr>
          <w:rFonts w:ascii="Times New Roman" w:hAnsi="Times New Roman" w:eastAsia="黑体" w:cs="Times New Roman"/>
          <w:color w:val="auto"/>
          <w:lang w:val="zh-CN"/>
        </w:rPr>
      </w:pPr>
      <w:r>
        <w:rPr>
          <w:rFonts w:ascii="Times New Roman" w:hAnsi="Times New Roman" w:eastAsia="黑体" w:cs="Times New Roman"/>
          <w:color w:val="auto"/>
          <w:lang w:val="zh-CN"/>
        </w:rPr>
        <w:t>目  录</w:t>
      </w:r>
    </w:p>
    <w:p w14:paraId="4346C10D">
      <w:pPr>
        <w:ind w:firstLine="480"/>
        <w:rPr>
          <w:color w:val="auto"/>
          <w:lang w:val="zh-CN"/>
        </w:rPr>
      </w:pPr>
    </w:p>
    <w:p w14:paraId="4B60FFB7">
      <w:pPr>
        <w:pStyle w:val="17"/>
        <w:tabs>
          <w:tab w:val="right" w:leader="dot" w:pos="8834"/>
        </w:tabs>
        <w:ind w:firstLine="480"/>
        <w:rPr>
          <w:rFonts w:eastAsiaTheme="majorEastAsia"/>
          <w:color w:val="auto"/>
          <w:sz w:val="21"/>
          <w:szCs w:val="22"/>
        </w:rPr>
      </w:pPr>
      <w:r>
        <w:rPr>
          <w:color w:val="auto"/>
        </w:rPr>
        <w:fldChar w:fldCharType="begin"/>
      </w:r>
      <w:r>
        <w:rPr>
          <w:color w:val="auto"/>
        </w:rPr>
        <w:instrText xml:space="preserve"> TOC \o "1-3" \h \z \u </w:instrText>
      </w:r>
      <w:r>
        <w:rPr>
          <w:color w:val="auto"/>
        </w:rPr>
        <w:fldChar w:fldCharType="separate"/>
      </w:r>
      <w:r>
        <w:rPr>
          <w:color w:val="auto"/>
        </w:rPr>
        <w:fldChar w:fldCharType="begin"/>
      </w:r>
      <w:r>
        <w:rPr>
          <w:color w:val="auto"/>
        </w:rPr>
        <w:instrText xml:space="preserve"> HYPERLINK \l "_Toc128130726" </w:instrText>
      </w:r>
      <w:r>
        <w:rPr>
          <w:color w:val="auto"/>
        </w:rPr>
        <w:fldChar w:fldCharType="separate"/>
      </w:r>
      <w:r>
        <w:rPr>
          <w:rStyle w:val="28"/>
          <w:rFonts w:eastAsiaTheme="majorEastAsia"/>
          <w:snapToGrid w:val="0"/>
          <w:color w:val="auto"/>
        </w:rPr>
        <w:t>一、建设项目基本情况</w:t>
      </w:r>
      <w:r>
        <w:rPr>
          <w:rFonts w:eastAsiaTheme="majorEastAsia"/>
          <w:color w:val="auto"/>
        </w:rPr>
        <w:tab/>
      </w:r>
      <w:r>
        <w:rPr>
          <w:rFonts w:eastAsiaTheme="majorEastAsia"/>
          <w:color w:val="auto"/>
        </w:rPr>
        <w:fldChar w:fldCharType="begin"/>
      </w:r>
      <w:r>
        <w:rPr>
          <w:rFonts w:eastAsiaTheme="majorEastAsia"/>
          <w:color w:val="auto"/>
        </w:rPr>
        <w:instrText xml:space="preserve"> PAGEREF _Toc128130726 \h </w:instrText>
      </w:r>
      <w:r>
        <w:rPr>
          <w:rFonts w:eastAsiaTheme="majorEastAsia"/>
          <w:color w:val="auto"/>
        </w:rPr>
        <w:fldChar w:fldCharType="separate"/>
      </w:r>
      <w:r>
        <w:rPr>
          <w:rFonts w:eastAsiaTheme="majorEastAsia"/>
          <w:color w:val="auto"/>
        </w:rPr>
        <w:t>1</w:t>
      </w:r>
      <w:r>
        <w:rPr>
          <w:rFonts w:eastAsiaTheme="majorEastAsia"/>
          <w:color w:val="auto"/>
        </w:rPr>
        <w:fldChar w:fldCharType="end"/>
      </w:r>
      <w:r>
        <w:rPr>
          <w:rFonts w:eastAsiaTheme="majorEastAsia"/>
          <w:color w:val="auto"/>
        </w:rPr>
        <w:fldChar w:fldCharType="end"/>
      </w:r>
    </w:p>
    <w:p w14:paraId="69CC0556">
      <w:pPr>
        <w:pStyle w:val="17"/>
        <w:tabs>
          <w:tab w:val="right" w:leader="dot" w:pos="8834"/>
        </w:tabs>
        <w:ind w:firstLine="480"/>
        <w:rPr>
          <w:rFonts w:eastAsiaTheme="majorEastAsia"/>
          <w:color w:val="auto"/>
          <w:sz w:val="21"/>
          <w:szCs w:val="22"/>
        </w:rPr>
      </w:pPr>
      <w:r>
        <w:rPr>
          <w:color w:val="auto"/>
        </w:rPr>
        <w:fldChar w:fldCharType="begin"/>
      </w:r>
      <w:r>
        <w:rPr>
          <w:color w:val="auto"/>
        </w:rPr>
        <w:instrText xml:space="preserve"> HYPERLINK \l "_Toc128130727" </w:instrText>
      </w:r>
      <w:r>
        <w:rPr>
          <w:color w:val="auto"/>
        </w:rPr>
        <w:fldChar w:fldCharType="separate"/>
      </w:r>
      <w:r>
        <w:rPr>
          <w:rStyle w:val="28"/>
          <w:rFonts w:eastAsiaTheme="majorEastAsia"/>
          <w:snapToGrid w:val="0"/>
          <w:color w:val="auto"/>
        </w:rPr>
        <w:t>二、建设项目工程分析</w:t>
      </w:r>
      <w:r>
        <w:rPr>
          <w:rFonts w:eastAsiaTheme="majorEastAsia"/>
          <w:color w:val="auto"/>
        </w:rPr>
        <w:tab/>
      </w:r>
      <w:r>
        <w:rPr>
          <w:rFonts w:eastAsiaTheme="majorEastAsia"/>
          <w:color w:val="auto"/>
        </w:rPr>
        <w:fldChar w:fldCharType="begin"/>
      </w:r>
      <w:r>
        <w:rPr>
          <w:rFonts w:eastAsiaTheme="majorEastAsia"/>
          <w:color w:val="auto"/>
        </w:rPr>
        <w:instrText xml:space="preserve"> PAGEREF _Toc128130727 \h </w:instrText>
      </w:r>
      <w:r>
        <w:rPr>
          <w:rFonts w:eastAsiaTheme="majorEastAsia"/>
          <w:color w:val="auto"/>
        </w:rPr>
        <w:fldChar w:fldCharType="separate"/>
      </w:r>
      <w:r>
        <w:rPr>
          <w:rFonts w:eastAsiaTheme="majorEastAsia"/>
          <w:color w:val="auto"/>
        </w:rPr>
        <w:t>9</w:t>
      </w:r>
      <w:r>
        <w:rPr>
          <w:rFonts w:eastAsiaTheme="majorEastAsia"/>
          <w:color w:val="auto"/>
        </w:rPr>
        <w:fldChar w:fldCharType="end"/>
      </w:r>
      <w:r>
        <w:rPr>
          <w:rFonts w:eastAsiaTheme="majorEastAsia"/>
          <w:color w:val="auto"/>
        </w:rPr>
        <w:fldChar w:fldCharType="end"/>
      </w:r>
    </w:p>
    <w:p w14:paraId="416A7EDB">
      <w:pPr>
        <w:pStyle w:val="17"/>
        <w:tabs>
          <w:tab w:val="right" w:leader="dot" w:pos="8834"/>
        </w:tabs>
        <w:ind w:firstLine="480"/>
        <w:rPr>
          <w:rFonts w:eastAsiaTheme="majorEastAsia"/>
          <w:color w:val="auto"/>
          <w:sz w:val="21"/>
          <w:szCs w:val="22"/>
        </w:rPr>
      </w:pPr>
      <w:r>
        <w:rPr>
          <w:color w:val="auto"/>
        </w:rPr>
        <w:fldChar w:fldCharType="begin"/>
      </w:r>
      <w:r>
        <w:rPr>
          <w:color w:val="auto"/>
        </w:rPr>
        <w:instrText xml:space="preserve"> HYPERLINK \l "_Toc128130728" </w:instrText>
      </w:r>
      <w:r>
        <w:rPr>
          <w:color w:val="auto"/>
        </w:rPr>
        <w:fldChar w:fldCharType="separate"/>
      </w:r>
      <w:r>
        <w:rPr>
          <w:rStyle w:val="28"/>
          <w:rFonts w:eastAsiaTheme="majorEastAsia"/>
          <w:snapToGrid w:val="0"/>
          <w:color w:val="auto"/>
        </w:rPr>
        <w:t>三、区域环境质量现状、环境保护目标及评价标准</w:t>
      </w:r>
      <w:r>
        <w:rPr>
          <w:rFonts w:eastAsiaTheme="majorEastAsia"/>
          <w:color w:val="auto"/>
        </w:rPr>
        <w:tab/>
      </w:r>
      <w:r>
        <w:rPr>
          <w:rFonts w:eastAsiaTheme="majorEastAsia"/>
          <w:color w:val="auto"/>
        </w:rPr>
        <w:fldChar w:fldCharType="begin"/>
      </w:r>
      <w:r>
        <w:rPr>
          <w:rFonts w:eastAsiaTheme="majorEastAsia"/>
          <w:color w:val="auto"/>
        </w:rPr>
        <w:instrText xml:space="preserve"> PAGEREF _Toc128130728 \h </w:instrText>
      </w:r>
      <w:r>
        <w:rPr>
          <w:rFonts w:eastAsiaTheme="majorEastAsia"/>
          <w:color w:val="auto"/>
        </w:rPr>
        <w:fldChar w:fldCharType="separate"/>
      </w:r>
      <w:r>
        <w:rPr>
          <w:rFonts w:eastAsiaTheme="majorEastAsia"/>
          <w:color w:val="auto"/>
        </w:rPr>
        <w:t>22</w:t>
      </w:r>
      <w:r>
        <w:rPr>
          <w:rFonts w:eastAsiaTheme="majorEastAsia"/>
          <w:color w:val="auto"/>
        </w:rPr>
        <w:fldChar w:fldCharType="end"/>
      </w:r>
      <w:r>
        <w:rPr>
          <w:rFonts w:eastAsiaTheme="majorEastAsia"/>
          <w:color w:val="auto"/>
        </w:rPr>
        <w:fldChar w:fldCharType="end"/>
      </w:r>
    </w:p>
    <w:p w14:paraId="07AEB0DD">
      <w:pPr>
        <w:pStyle w:val="17"/>
        <w:tabs>
          <w:tab w:val="right" w:leader="dot" w:pos="8834"/>
        </w:tabs>
        <w:ind w:firstLine="480"/>
        <w:rPr>
          <w:rFonts w:eastAsiaTheme="majorEastAsia"/>
          <w:color w:val="auto"/>
          <w:sz w:val="21"/>
          <w:szCs w:val="22"/>
        </w:rPr>
      </w:pPr>
      <w:r>
        <w:rPr>
          <w:color w:val="auto"/>
        </w:rPr>
        <w:fldChar w:fldCharType="begin"/>
      </w:r>
      <w:r>
        <w:rPr>
          <w:color w:val="auto"/>
        </w:rPr>
        <w:instrText xml:space="preserve"> HYPERLINK \l "_Toc128130731" </w:instrText>
      </w:r>
      <w:r>
        <w:rPr>
          <w:color w:val="auto"/>
        </w:rPr>
        <w:fldChar w:fldCharType="separate"/>
      </w:r>
      <w:r>
        <w:rPr>
          <w:rStyle w:val="28"/>
          <w:rFonts w:eastAsiaTheme="majorEastAsia"/>
          <w:snapToGrid w:val="0"/>
          <w:color w:val="auto"/>
        </w:rPr>
        <w:t>四、主要环境影响和保护措施</w:t>
      </w:r>
      <w:r>
        <w:rPr>
          <w:rFonts w:eastAsiaTheme="majorEastAsia"/>
          <w:color w:val="auto"/>
        </w:rPr>
        <w:tab/>
      </w:r>
      <w:r>
        <w:rPr>
          <w:rFonts w:eastAsiaTheme="majorEastAsia"/>
          <w:color w:val="auto"/>
        </w:rPr>
        <w:fldChar w:fldCharType="begin"/>
      </w:r>
      <w:r>
        <w:rPr>
          <w:rFonts w:eastAsiaTheme="majorEastAsia"/>
          <w:color w:val="auto"/>
        </w:rPr>
        <w:instrText xml:space="preserve"> PAGEREF _Toc128130731 \h </w:instrText>
      </w:r>
      <w:r>
        <w:rPr>
          <w:rFonts w:eastAsiaTheme="majorEastAsia"/>
          <w:color w:val="auto"/>
        </w:rPr>
        <w:fldChar w:fldCharType="separate"/>
      </w:r>
      <w:r>
        <w:rPr>
          <w:rFonts w:eastAsiaTheme="majorEastAsia"/>
          <w:color w:val="auto"/>
        </w:rPr>
        <w:t>32</w:t>
      </w:r>
      <w:r>
        <w:rPr>
          <w:rFonts w:eastAsiaTheme="majorEastAsia"/>
          <w:color w:val="auto"/>
        </w:rPr>
        <w:fldChar w:fldCharType="end"/>
      </w:r>
      <w:r>
        <w:rPr>
          <w:rFonts w:eastAsiaTheme="majorEastAsia"/>
          <w:color w:val="auto"/>
        </w:rPr>
        <w:fldChar w:fldCharType="end"/>
      </w:r>
    </w:p>
    <w:p w14:paraId="770525B3">
      <w:pPr>
        <w:pStyle w:val="17"/>
        <w:tabs>
          <w:tab w:val="right" w:leader="dot" w:pos="8834"/>
        </w:tabs>
        <w:ind w:firstLine="480"/>
        <w:rPr>
          <w:rFonts w:eastAsiaTheme="majorEastAsia"/>
          <w:color w:val="auto"/>
          <w:sz w:val="21"/>
          <w:szCs w:val="22"/>
        </w:rPr>
      </w:pPr>
      <w:r>
        <w:rPr>
          <w:color w:val="auto"/>
        </w:rPr>
        <w:fldChar w:fldCharType="begin"/>
      </w:r>
      <w:r>
        <w:rPr>
          <w:color w:val="auto"/>
        </w:rPr>
        <w:instrText xml:space="preserve"> HYPERLINK \l "_Toc128130732" </w:instrText>
      </w:r>
      <w:r>
        <w:rPr>
          <w:color w:val="auto"/>
        </w:rPr>
        <w:fldChar w:fldCharType="separate"/>
      </w:r>
      <w:r>
        <w:rPr>
          <w:rStyle w:val="28"/>
          <w:rFonts w:eastAsiaTheme="majorEastAsia"/>
          <w:snapToGrid w:val="0"/>
          <w:color w:val="auto"/>
        </w:rPr>
        <w:t>五、环境保护措施监督检查清单</w:t>
      </w:r>
      <w:r>
        <w:rPr>
          <w:rFonts w:eastAsiaTheme="majorEastAsia"/>
          <w:color w:val="auto"/>
        </w:rPr>
        <w:tab/>
      </w:r>
      <w:r>
        <w:rPr>
          <w:rFonts w:eastAsiaTheme="majorEastAsia"/>
          <w:color w:val="auto"/>
        </w:rPr>
        <w:fldChar w:fldCharType="begin"/>
      </w:r>
      <w:r>
        <w:rPr>
          <w:rFonts w:eastAsiaTheme="majorEastAsia"/>
          <w:color w:val="auto"/>
        </w:rPr>
        <w:instrText xml:space="preserve"> PAGEREF _Toc128130732 \h </w:instrText>
      </w:r>
      <w:r>
        <w:rPr>
          <w:rFonts w:eastAsiaTheme="majorEastAsia"/>
          <w:color w:val="auto"/>
        </w:rPr>
        <w:fldChar w:fldCharType="separate"/>
      </w:r>
      <w:r>
        <w:rPr>
          <w:rFonts w:eastAsiaTheme="majorEastAsia"/>
          <w:color w:val="auto"/>
        </w:rPr>
        <w:t>63</w:t>
      </w:r>
      <w:r>
        <w:rPr>
          <w:rFonts w:eastAsiaTheme="majorEastAsia"/>
          <w:color w:val="auto"/>
        </w:rPr>
        <w:fldChar w:fldCharType="end"/>
      </w:r>
      <w:r>
        <w:rPr>
          <w:rFonts w:eastAsiaTheme="majorEastAsia"/>
          <w:color w:val="auto"/>
        </w:rPr>
        <w:fldChar w:fldCharType="end"/>
      </w:r>
    </w:p>
    <w:p w14:paraId="3BD8B902">
      <w:pPr>
        <w:pStyle w:val="17"/>
        <w:tabs>
          <w:tab w:val="right" w:leader="dot" w:pos="8834"/>
        </w:tabs>
        <w:ind w:firstLine="480"/>
        <w:rPr>
          <w:rFonts w:eastAsiaTheme="majorEastAsia"/>
          <w:color w:val="auto"/>
          <w:sz w:val="21"/>
          <w:szCs w:val="22"/>
        </w:rPr>
      </w:pPr>
      <w:r>
        <w:rPr>
          <w:color w:val="auto"/>
        </w:rPr>
        <w:fldChar w:fldCharType="begin"/>
      </w:r>
      <w:r>
        <w:rPr>
          <w:color w:val="auto"/>
        </w:rPr>
        <w:instrText xml:space="preserve"> HYPERLINK \l "_Toc128130733" </w:instrText>
      </w:r>
      <w:r>
        <w:rPr>
          <w:color w:val="auto"/>
        </w:rPr>
        <w:fldChar w:fldCharType="separate"/>
      </w:r>
      <w:r>
        <w:rPr>
          <w:rStyle w:val="28"/>
          <w:rFonts w:eastAsiaTheme="majorEastAsia"/>
          <w:snapToGrid w:val="0"/>
          <w:color w:val="auto"/>
        </w:rPr>
        <w:t>六、结论</w:t>
      </w:r>
      <w:r>
        <w:rPr>
          <w:rFonts w:eastAsiaTheme="majorEastAsia"/>
          <w:color w:val="auto"/>
        </w:rPr>
        <w:tab/>
      </w:r>
      <w:r>
        <w:rPr>
          <w:rFonts w:eastAsiaTheme="majorEastAsia"/>
          <w:color w:val="auto"/>
        </w:rPr>
        <w:fldChar w:fldCharType="begin"/>
      </w:r>
      <w:r>
        <w:rPr>
          <w:rFonts w:eastAsiaTheme="majorEastAsia"/>
          <w:color w:val="auto"/>
        </w:rPr>
        <w:instrText xml:space="preserve"> PAGEREF _Toc128130733 \h </w:instrText>
      </w:r>
      <w:r>
        <w:rPr>
          <w:rFonts w:eastAsiaTheme="majorEastAsia"/>
          <w:color w:val="auto"/>
        </w:rPr>
        <w:fldChar w:fldCharType="separate"/>
      </w:r>
      <w:r>
        <w:rPr>
          <w:rFonts w:eastAsiaTheme="majorEastAsia"/>
          <w:color w:val="auto"/>
        </w:rPr>
        <w:t>65</w:t>
      </w:r>
      <w:r>
        <w:rPr>
          <w:rFonts w:eastAsiaTheme="majorEastAsia"/>
          <w:color w:val="auto"/>
        </w:rPr>
        <w:fldChar w:fldCharType="end"/>
      </w:r>
      <w:r>
        <w:rPr>
          <w:rFonts w:eastAsiaTheme="majorEastAsia"/>
          <w:color w:val="auto"/>
        </w:rPr>
        <w:fldChar w:fldCharType="end"/>
      </w:r>
    </w:p>
    <w:p w14:paraId="62A3CAE4">
      <w:pPr>
        <w:pStyle w:val="17"/>
        <w:tabs>
          <w:tab w:val="right" w:leader="dot" w:pos="8834"/>
        </w:tabs>
        <w:ind w:firstLine="480"/>
        <w:rPr>
          <w:rFonts w:eastAsiaTheme="majorEastAsia"/>
          <w:color w:val="auto"/>
          <w:sz w:val="21"/>
          <w:szCs w:val="22"/>
        </w:rPr>
      </w:pPr>
      <w:r>
        <w:rPr>
          <w:color w:val="auto"/>
        </w:rPr>
        <w:fldChar w:fldCharType="begin"/>
      </w:r>
      <w:r>
        <w:rPr>
          <w:color w:val="auto"/>
        </w:rPr>
        <w:instrText xml:space="preserve"> HYPERLINK \l "_Toc128130734" </w:instrText>
      </w:r>
      <w:r>
        <w:rPr>
          <w:color w:val="auto"/>
        </w:rPr>
        <w:fldChar w:fldCharType="separate"/>
      </w:r>
      <w:r>
        <w:rPr>
          <w:rStyle w:val="28"/>
          <w:rFonts w:eastAsiaTheme="majorEastAsia"/>
          <w:snapToGrid w:val="0"/>
          <w:color w:val="auto"/>
        </w:rPr>
        <w:t>附表</w:t>
      </w:r>
      <w:r>
        <w:rPr>
          <w:rFonts w:eastAsiaTheme="majorEastAsia"/>
          <w:color w:val="auto"/>
        </w:rPr>
        <w:tab/>
      </w:r>
      <w:r>
        <w:rPr>
          <w:rFonts w:eastAsiaTheme="majorEastAsia"/>
          <w:color w:val="auto"/>
        </w:rPr>
        <w:fldChar w:fldCharType="begin"/>
      </w:r>
      <w:r>
        <w:rPr>
          <w:rFonts w:eastAsiaTheme="majorEastAsia"/>
          <w:color w:val="auto"/>
        </w:rPr>
        <w:instrText xml:space="preserve"> PAGEREF _Toc128130734 \h </w:instrText>
      </w:r>
      <w:r>
        <w:rPr>
          <w:rFonts w:eastAsiaTheme="majorEastAsia"/>
          <w:color w:val="auto"/>
        </w:rPr>
        <w:fldChar w:fldCharType="separate"/>
      </w:r>
      <w:r>
        <w:rPr>
          <w:rFonts w:eastAsiaTheme="majorEastAsia"/>
          <w:color w:val="auto"/>
        </w:rPr>
        <w:t>66</w:t>
      </w:r>
      <w:r>
        <w:rPr>
          <w:rFonts w:eastAsiaTheme="majorEastAsia"/>
          <w:color w:val="auto"/>
        </w:rPr>
        <w:fldChar w:fldCharType="end"/>
      </w:r>
      <w:r>
        <w:rPr>
          <w:rFonts w:eastAsiaTheme="majorEastAsia"/>
          <w:color w:val="auto"/>
        </w:rPr>
        <w:fldChar w:fldCharType="end"/>
      </w:r>
    </w:p>
    <w:p w14:paraId="7C3D7C46">
      <w:pPr>
        <w:pStyle w:val="17"/>
        <w:tabs>
          <w:tab w:val="right" w:leader="dot" w:pos="8834"/>
        </w:tabs>
        <w:ind w:firstLine="480"/>
        <w:rPr>
          <w:rFonts w:eastAsiaTheme="minorEastAsia"/>
          <w:color w:val="auto"/>
          <w:sz w:val="21"/>
          <w:szCs w:val="22"/>
        </w:rPr>
      </w:pPr>
      <w:r>
        <w:rPr>
          <w:color w:val="auto"/>
        </w:rPr>
        <w:fldChar w:fldCharType="begin"/>
      </w:r>
      <w:r>
        <w:rPr>
          <w:color w:val="auto"/>
        </w:rPr>
        <w:instrText xml:space="preserve"> HYPERLINK \l "_Toc128130735" </w:instrText>
      </w:r>
      <w:r>
        <w:rPr>
          <w:color w:val="auto"/>
        </w:rPr>
        <w:fldChar w:fldCharType="separate"/>
      </w:r>
      <w:r>
        <w:rPr>
          <w:rStyle w:val="28"/>
          <w:rFonts w:eastAsiaTheme="majorEastAsia"/>
          <w:snapToGrid w:val="0"/>
          <w:color w:val="auto"/>
        </w:rPr>
        <w:t>建设项目污染物排放量汇总表</w:t>
      </w:r>
      <w:r>
        <w:rPr>
          <w:rFonts w:eastAsiaTheme="majorEastAsia"/>
          <w:color w:val="auto"/>
        </w:rPr>
        <w:tab/>
      </w:r>
      <w:r>
        <w:rPr>
          <w:rFonts w:eastAsiaTheme="majorEastAsia"/>
          <w:color w:val="auto"/>
        </w:rPr>
        <w:fldChar w:fldCharType="begin"/>
      </w:r>
      <w:r>
        <w:rPr>
          <w:rFonts w:eastAsiaTheme="majorEastAsia"/>
          <w:color w:val="auto"/>
        </w:rPr>
        <w:instrText xml:space="preserve"> PAGEREF _Toc128130735 \h </w:instrText>
      </w:r>
      <w:r>
        <w:rPr>
          <w:rFonts w:eastAsiaTheme="majorEastAsia"/>
          <w:color w:val="auto"/>
        </w:rPr>
        <w:fldChar w:fldCharType="separate"/>
      </w:r>
      <w:r>
        <w:rPr>
          <w:rFonts w:eastAsiaTheme="majorEastAsia"/>
          <w:color w:val="auto"/>
        </w:rPr>
        <w:t>66</w:t>
      </w:r>
      <w:r>
        <w:rPr>
          <w:rFonts w:eastAsiaTheme="majorEastAsia"/>
          <w:color w:val="auto"/>
        </w:rPr>
        <w:fldChar w:fldCharType="end"/>
      </w:r>
      <w:r>
        <w:rPr>
          <w:rFonts w:eastAsiaTheme="majorEastAsia"/>
          <w:color w:val="auto"/>
        </w:rPr>
        <w:fldChar w:fldCharType="end"/>
      </w:r>
    </w:p>
    <w:p w14:paraId="38C0DF59">
      <w:pPr>
        <w:ind w:firstLine="482"/>
        <w:rPr>
          <w:b/>
          <w:bCs/>
          <w:color w:val="auto"/>
          <w:lang w:val="zh-CN"/>
        </w:rPr>
      </w:pPr>
      <w:r>
        <w:rPr>
          <w:b/>
          <w:bCs/>
          <w:color w:val="auto"/>
          <w:lang w:val="zh-CN"/>
        </w:rPr>
        <w:fldChar w:fldCharType="end"/>
      </w:r>
      <w:r>
        <w:rPr>
          <w:b/>
          <w:bCs/>
          <w:color w:val="auto"/>
          <w:lang w:val="zh-CN"/>
        </w:rPr>
        <w:t>附图</w:t>
      </w:r>
    </w:p>
    <w:p w14:paraId="14DEC28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附图1 项目地理位置图</w:t>
      </w:r>
    </w:p>
    <w:p w14:paraId="0D5F23C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 xml:space="preserve">附图2 </w:t>
      </w:r>
      <w:r>
        <w:rPr>
          <w:rFonts w:hint="default" w:ascii="Times New Roman" w:hAnsi="Times New Roman" w:eastAsia="宋体" w:cs="Times New Roman"/>
          <w:color w:val="auto"/>
          <w:lang w:val="en-US" w:eastAsia="zh-CN"/>
        </w:rPr>
        <w:t>项目总平面布置</w:t>
      </w:r>
      <w:r>
        <w:rPr>
          <w:rFonts w:hint="eastAsia"/>
          <w:color w:val="auto"/>
          <w:lang w:eastAsia="zh-CN"/>
        </w:rPr>
        <w:t>、</w:t>
      </w:r>
      <w:r>
        <w:rPr>
          <w:rFonts w:hint="default" w:ascii="Times New Roman" w:hAnsi="Times New Roman" w:eastAsia="宋体" w:cs="Times New Roman"/>
          <w:color w:val="auto"/>
          <w:lang w:val="en-US" w:eastAsia="zh-CN"/>
        </w:rPr>
        <w:t>周边环境概况</w:t>
      </w:r>
      <w:r>
        <w:rPr>
          <w:rFonts w:hint="eastAsia" w:cs="Times New Roman"/>
          <w:color w:val="auto"/>
          <w:lang w:val="en-US" w:eastAsia="zh-CN"/>
        </w:rPr>
        <w:t>及监测布点</w:t>
      </w:r>
      <w:r>
        <w:rPr>
          <w:rFonts w:hint="default" w:ascii="Times New Roman" w:hAnsi="Times New Roman" w:eastAsia="宋体" w:cs="Times New Roman"/>
          <w:color w:val="auto"/>
          <w:lang w:val="en-US" w:eastAsia="zh-CN"/>
        </w:rPr>
        <w:t>图</w:t>
      </w:r>
    </w:p>
    <w:p w14:paraId="648CA6C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附图</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 xml:space="preserve"> 项目</w:t>
      </w:r>
      <w:r>
        <w:rPr>
          <w:rFonts w:hint="eastAsia" w:cs="Times New Roman"/>
          <w:color w:val="auto"/>
          <w:lang w:val="en-US" w:eastAsia="zh-CN"/>
        </w:rPr>
        <w:t>医疗用楼</w:t>
      </w:r>
      <w:r>
        <w:rPr>
          <w:rFonts w:hint="eastAsia" w:ascii="Times New Roman" w:hAnsi="Times New Roman" w:eastAsia="宋体" w:cs="Times New Roman"/>
          <w:color w:val="auto"/>
          <w:lang w:val="en-US" w:eastAsia="zh-CN"/>
        </w:rPr>
        <w:t>各层布局图</w:t>
      </w:r>
    </w:p>
    <w:p w14:paraId="56FB719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附图4  项目在南宁市声环境功能区划图中的位置</w:t>
      </w:r>
    </w:p>
    <w:p w14:paraId="555EE56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附图5  项目评价范围内环境保护目标分布图</w:t>
      </w:r>
    </w:p>
    <w:p w14:paraId="11FB47B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附图6  项目在南宁市陆域生态环境管控单元分类图（2023 年）中的位置</w:t>
      </w:r>
    </w:p>
    <w:p w14:paraId="0C70A5E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附图7  项目与良凤江森林公园的位置关系</w:t>
      </w:r>
    </w:p>
    <w:p w14:paraId="22D4F92D">
      <w:pPr>
        <w:keepNext w:val="0"/>
        <w:keepLines w:val="0"/>
        <w:pageBreakBefore w:val="0"/>
        <w:widowControl w:val="0"/>
        <w:kinsoku/>
        <w:wordWrap/>
        <w:overflowPunct/>
        <w:topLinePunct w:val="0"/>
        <w:autoSpaceDE/>
        <w:autoSpaceDN/>
        <w:bidi w:val="0"/>
        <w:adjustRightInd/>
        <w:snapToGrid/>
        <w:spacing w:line="480" w:lineRule="exact"/>
        <w:ind w:firstLine="482"/>
        <w:textAlignment w:val="auto"/>
        <w:rPr>
          <w:b/>
          <w:color w:val="auto"/>
        </w:rPr>
      </w:pPr>
      <w:r>
        <w:rPr>
          <w:b/>
          <w:color w:val="auto"/>
        </w:rPr>
        <w:t>附件</w:t>
      </w:r>
    </w:p>
    <w:p w14:paraId="1CFDA97B">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color w:val="auto"/>
          <w:u w:val="none"/>
        </w:rPr>
      </w:pPr>
      <w:r>
        <w:rPr>
          <w:color w:val="auto"/>
          <w:u w:val="none"/>
        </w:rPr>
        <w:t>附件1 委托书</w:t>
      </w:r>
    </w:p>
    <w:p w14:paraId="41681E01">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eastAsia="宋体"/>
          <w:color w:val="auto"/>
          <w:u w:val="none"/>
          <w:lang w:val="en-US" w:eastAsia="zh-CN"/>
        </w:rPr>
      </w:pPr>
      <w:r>
        <w:rPr>
          <w:color w:val="auto"/>
          <w:u w:val="none"/>
        </w:rPr>
        <w:t xml:space="preserve">附件2 </w:t>
      </w:r>
      <w:r>
        <w:rPr>
          <w:rFonts w:hint="eastAsia"/>
          <w:color w:val="auto"/>
          <w:u w:val="none"/>
          <w:lang w:val="en-US" w:eastAsia="zh-CN"/>
        </w:rPr>
        <w:t>南宁市健宁精神病医院建设项目核准批复</w:t>
      </w:r>
    </w:p>
    <w:p w14:paraId="4770D1D6">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color w:val="auto"/>
          <w:u w:val="none"/>
        </w:rPr>
      </w:pPr>
      <w:r>
        <w:rPr>
          <w:color w:val="auto"/>
          <w:u w:val="none"/>
        </w:rPr>
        <w:t xml:space="preserve">附件3 </w:t>
      </w:r>
      <w:r>
        <w:rPr>
          <w:rFonts w:hint="eastAsia"/>
          <w:color w:val="auto"/>
          <w:u w:val="none"/>
          <w:lang w:val="en-US" w:eastAsia="zh-CN"/>
        </w:rPr>
        <w:t>场地</w:t>
      </w:r>
      <w:r>
        <w:rPr>
          <w:color w:val="auto"/>
          <w:u w:val="none"/>
        </w:rPr>
        <w:t>租赁协议</w:t>
      </w:r>
    </w:p>
    <w:p w14:paraId="11D28FF3">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color w:val="auto"/>
          <w:u w:val="none"/>
          <w:lang w:val="en-US" w:eastAsia="zh-CN"/>
        </w:rPr>
      </w:pPr>
      <w:r>
        <w:rPr>
          <w:color w:val="auto"/>
          <w:u w:val="none"/>
        </w:rPr>
        <w:t>附件</w:t>
      </w:r>
      <w:r>
        <w:rPr>
          <w:rFonts w:hint="eastAsia"/>
          <w:color w:val="auto"/>
          <w:u w:val="none"/>
          <w:lang w:val="en-US" w:eastAsia="zh-CN"/>
        </w:rPr>
        <w:t>4</w:t>
      </w:r>
      <w:r>
        <w:rPr>
          <w:color w:val="auto"/>
          <w:u w:val="none"/>
        </w:rPr>
        <w:t xml:space="preserve"> </w:t>
      </w:r>
      <w:r>
        <w:rPr>
          <w:rFonts w:hint="eastAsia"/>
          <w:color w:val="auto"/>
          <w:u w:val="none"/>
          <w:lang w:val="en-US" w:eastAsia="zh-CN"/>
        </w:rPr>
        <w:t>项目地块不动产权证</w:t>
      </w:r>
    </w:p>
    <w:p w14:paraId="5A02CBA1">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eastAsia" w:eastAsiaTheme="minorEastAsia"/>
          <w:color w:val="auto"/>
          <w:sz w:val="24"/>
          <w:u w:val="none"/>
          <w:lang w:val="en-US" w:eastAsia="zh-CN"/>
        </w:rPr>
      </w:pPr>
      <w:r>
        <w:rPr>
          <w:rFonts w:hint="eastAsia"/>
          <w:color w:val="auto"/>
          <w:u w:val="none"/>
          <w:lang w:val="en-US" w:eastAsia="zh-CN"/>
        </w:rPr>
        <w:t xml:space="preserve">附件5 </w:t>
      </w:r>
      <w:r>
        <w:rPr>
          <w:rFonts w:hint="eastAsia" w:eastAsiaTheme="minorEastAsia"/>
          <w:color w:val="auto"/>
          <w:sz w:val="24"/>
          <w:u w:val="none"/>
          <w:lang w:val="en-US" w:eastAsia="zh-CN"/>
        </w:rPr>
        <w:t>高岭村九组三产综合楼与多加宝公司的合作协议</w:t>
      </w:r>
    </w:p>
    <w:p w14:paraId="5079CC00">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eastAsia" w:eastAsiaTheme="minorEastAsia"/>
          <w:color w:val="auto"/>
          <w:sz w:val="24"/>
          <w:u w:val="none"/>
          <w:lang w:val="en-US" w:eastAsia="zh-CN"/>
        </w:rPr>
      </w:pPr>
      <w:r>
        <w:rPr>
          <w:rFonts w:hint="eastAsia" w:eastAsiaTheme="minorEastAsia"/>
          <w:color w:val="auto"/>
          <w:sz w:val="24"/>
          <w:u w:val="none"/>
          <w:lang w:val="en-US" w:eastAsia="zh-CN"/>
        </w:rPr>
        <w:t>附件6 村委证明材料</w:t>
      </w:r>
    </w:p>
    <w:p w14:paraId="23B53EA0">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eastAsia" w:eastAsiaTheme="minorEastAsia"/>
          <w:color w:val="auto"/>
          <w:sz w:val="24"/>
          <w:u w:val="none"/>
          <w:lang w:val="en-US" w:eastAsia="zh-CN"/>
        </w:rPr>
      </w:pPr>
      <w:r>
        <w:rPr>
          <w:rFonts w:hint="eastAsia" w:eastAsiaTheme="minorEastAsia"/>
          <w:color w:val="auto"/>
          <w:sz w:val="24"/>
          <w:u w:val="none"/>
          <w:lang w:val="en-US" w:eastAsia="zh-CN"/>
        </w:rPr>
        <w:t>附件7  广西“生态云”平台建设项目智能研判报告</w:t>
      </w:r>
    </w:p>
    <w:p w14:paraId="79FB4683">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eastAsiaTheme="minorEastAsia"/>
          <w:color w:val="auto"/>
          <w:sz w:val="24"/>
          <w:u w:val="none"/>
          <w:lang w:val="en-US" w:eastAsia="zh-CN"/>
        </w:rPr>
      </w:pPr>
    </w:p>
    <w:p w14:paraId="55EB22B8">
      <w:pPr>
        <w:ind w:firstLine="720"/>
        <w:rPr>
          <w:rFonts w:eastAsia="仿宋_GB2312"/>
          <w:color w:val="auto"/>
          <w:sz w:val="36"/>
          <w:szCs w:val="36"/>
        </w:rPr>
      </w:pPr>
    </w:p>
    <w:p w14:paraId="113B1608">
      <w:pPr>
        <w:ind w:firstLine="720"/>
        <w:rPr>
          <w:rFonts w:eastAsia="仿宋_GB2312"/>
          <w:color w:val="auto"/>
          <w:sz w:val="36"/>
          <w:szCs w:val="36"/>
        </w:rPr>
      </w:pPr>
    </w:p>
    <w:p w14:paraId="17E740FB">
      <w:pPr>
        <w:ind w:firstLine="720"/>
        <w:rPr>
          <w:rFonts w:eastAsia="仿宋_GB2312"/>
          <w:color w:val="auto"/>
          <w:sz w:val="36"/>
          <w:szCs w:val="36"/>
        </w:rPr>
        <w:sectPr>
          <w:pgSz w:w="11906" w:h="16838"/>
          <w:pgMar w:top="1531" w:right="1531" w:bottom="153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403477A8">
      <w:pPr>
        <w:pStyle w:val="19"/>
        <w:ind w:firstLine="600"/>
        <w:jc w:val="center"/>
        <w:outlineLvl w:val="0"/>
        <w:rPr>
          <w:rFonts w:ascii="Times New Roman" w:hAnsi="Times New Roman" w:eastAsia="黑体"/>
          <w:snapToGrid w:val="0"/>
          <w:color w:val="auto"/>
          <w:sz w:val="30"/>
          <w:szCs w:val="30"/>
        </w:rPr>
      </w:pPr>
      <w:bookmarkStart w:id="3" w:name="_Toc128130726"/>
      <w:r>
        <w:rPr>
          <w:rFonts w:ascii="Times New Roman" w:hAnsi="Times New Roman" w:eastAsia="黑体"/>
          <w:snapToGrid w:val="0"/>
          <w:color w:val="auto"/>
          <w:sz w:val="30"/>
          <w:szCs w:val="30"/>
        </w:rPr>
        <w:t>一、建设项目基本情况</w:t>
      </w:r>
      <w:bookmarkEnd w:id="3"/>
    </w:p>
    <w:tbl>
      <w:tblPr>
        <w:tblStyle w:val="22"/>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82"/>
        <w:gridCol w:w="1637"/>
        <w:gridCol w:w="2212"/>
        <w:gridCol w:w="2639"/>
      </w:tblGrid>
      <w:tr w14:paraId="4924C4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04B60AF9">
            <w:pPr>
              <w:pStyle w:val="35"/>
              <w:jc w:val="center"/>
              <w:rPr>
                <w:rFonts w:eastAsiaTheme="minorEastAsia"/>
                <w:color w:val="auto"/>
                <w:sz w:val="24"/>
              </w:rPr>
            </w:pPr>
            <w:r>
              <w:rPr>
                <w:rFonts w:eastAsiaTheme="minorEastAsia"/>
                <w:color w:val="auto"/>
                <w:sz w:val="24"/>
              </w:rPr>
              <w:t>建设项目名称</w:t>
            </w:r>
          </w:p>
        </w:tc>
        <w:tc>
          <w:tcPr>
            <w:tcW w:w="6488" w:type="dxa"/>
            <w:gridSpan w:val="3"/>
            <w:vAlign w:val="center"/>
          </w:tcPr>
          <w:p w14:paraId="52EA541B">
            <w:pPr>
              <w:pStyle w:val="35"/>
              <w:jc w:val="center"/>
              <w:rPr>
                <w:rFonts w:hint="eastAsia" w:eastAsiaTheme="minorEastAsia"/>
                <w:color w:val="auto"/>
                <w:sz w:val="24"/>
                <w:lang w:eastAsia="zh-CN"/>
              </w:rPr>
            </w:pPr>
            <w:r>
              <w:rPr>
                <w:rFonts w:hint="eastAsia" w:eastAsiaTheme="minorEastAsia"/>
                <w:color w:val="auto"/>
                <w:sz w:val="24"/>
                <w:lang w:eastAsia="zh-CN"/>
              </w:rPr>
              <w:t>南宁市健宁精神病医院建设项目</w:t>
            </w:r>
          </w:p>
        </w:tc>
      </w:tr>
      <w:tr w14:paraId="0E9EC5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2C8AB3C8">
            <w:pPr>
              <w:pStyle w:val="35"/>
              <w:jc w:val="center"/>
              <w:rPr>
                <w:rFonts w:eastAsiaTheme="minorEastAsia"/>
                <w:color w:val="auto"/>
                <w:sz w:val="24"/>
              </w:rPr>
            </w:pPr>
            <w:r>
              <w:rPr>
                <w:rFonts w:eastAsiaTheme="minorEastAsia"/>
                <w:color w:val="auto"/>
                <w:sz w:val="24"/>
              </w:rPr>
              <w:t>项目代码</w:t>
            </w:r>
          </w:p>
        </w:tc>
        <w:tc>
          <w:tcPr>
            <w:tcW w:w="6488" w:type="dxa"/>
            <w:gridSpan w:val="3"/>
            <w:vAlign w:val="center"/>
          </w:tcPr>
          <w:p w14:paraId="32D46F33">
            <w:pPr>
              <w:pStyle w:val="35"/>
              <w:jc w:val="center"/>
              <w:rPr>
                <w:rFonts w:hint="default" w:eastAsiaTheme="minorEastAsia"/>
                <w:color w:val="auto"/>
                <w:sz w:val="24"/>
                <w:lang w:val="en-US" w:eastAsia="zh-CN"/>
              </w:rPr>
            </w:pPr>
            <w:r>
              <w:rPr>
                <w:rFonts w:hint="eastAsia" w:eastAsiaTheme="minorEastAsia"/>
                <w:color w:val="auto"/>
                <w:sz w:val="24"/>
                <w:lang w:val="en-US" w:eastAsia="zh-CN"/>
              </w:rPr>
              <w:t>2504-450114-04-01-641870</w:t>
            </w:r>
          </w:p>
        </w:tc>
      </w:tr>
      <w:tr w14:paraId="016523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2E1CC6F5">
            <w:pPr>
              <w:pStyle w:val="35"/>
              <w:jc w:val="center"/>
              <w:rPr>
                <w:rFonts w:eastAsiaTheme="minorEastAsia"/>
                <w:color w:val="auto"/>
                <w:sz w:val="24"/>
              </w:rPr>
            </w:pPr>
            <w:r>
              <w:rPr>
                <w:rFonts w:eastAsiaTheme="minorEastAsia"/>
                <w:color w:val="auto"/>
                <w:sz w:val="24"/>
              </w:rPr>
              <w:t>建设单位联系人</w:t>
            </w:r>
          </w:p>
        </w:tc>
        <w:tc>
          <w:tcPr>
            <w:tcW w:w="1637" w:type="dxa"/>
            <w:vAlign w:val="center"/>
          </w:tcPr>
          <w:p w14:paraId="285A2249">
            <w:pPr>
              <w:pStyle w:val="35"/>
              <w:jc w:val="center"/>
              <w:rPr>
                <w:rFonts w:hint="default" w:eastAsiaTheme="minorEastAsia"/>
                <w:color w:val="auto"/>
                <w:sz w:val="24"/>
                <w:lang w:val="en-US" w:eastAsia="zh-CN"/>
              </w:rPr>
            </w:pPr>
            <w:r>
              <w:rPr>
                <w:rFonts w:hint="eastAsia" w:eastAsiaTheme="minorEastAsia"/>
                <w:color w:val="auto"/>
                <w:sz w:val="24"/>
                <w:lang w:val="en-US" w:eastAsia="zh-CN"/>
              </w:rPr>
              <w:t>容任朝</w:t>
            </w:r>
          </w:p>
        </w:tc>
        <w:tc>
          <w:tcPr>
            <w:tcW w:w="2212" w:type="dxa"/>
            <w:vAlign w:val="center"/>
          </w:tcPr>
          <w:p w14:paraId="096F6233">
            <w:pPr>
              <w:pStyle w:val="35"/>
              <w:jc w:val="center"/>
              <w:rPr>
                <w:rFonts w:eastAsiaTheme="minorEastAsia"/>
                <w:color w:val="auto"/>
                <w:sz w:val="24"/>
              </w:rPr>
            </w:pPr>
            <w:r>
              <w:rPr>
                <w:rFonts w:eastAsiaTheme="minorEastAsia"/>
                <w:color w:val="auto"/>
                <w:sz w:val="24"/>
              </w:rPr>
              <w:t>联系方式</w:t>
            </w:r>
          </w:p>
        </w:tc>
        <w:tc>
          <w:tcPr>
            <w:tcW w:w="2639" w:type="dxa"/>
            <w:vAlign w:val="center"/>
          </w:tcPr>
          <w:p w14:paraId="2410FD5D">
            <w:pPr>
              <w:pStyle w:val="35"/>
              <w:jc w:val="center"/>
              <w:rPr>
                <w:rFonts w:hint="default" w:eastAsiaTheme="minorEastAsia"/>
                <w:color w:val="auto"/>
                <w:sz w:val="24"/>
                <w:lang w:val="en-US" w:eastAsia="zh-CN"/>
              </w:rPr>
            </w:pPr>
            <w:r>
              <w:rPr>
                <w:rFonts w:hint="eastAsia" w:eastAsiaTheme="minorEastAsia"/>
                <w:color w:val="auto"/>
                <w:sz w:val="24"/>
                <w:lang w:val="en-US" w:eastAsia="zh-CN"/>
              </w:rPr>
              <w:t>13788663301</w:t>
            </w:r>
          </w:p>
        </w:tc>
      </w:tr>
      <w:tr w14:paraId="5C7592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1530EB15">
            <w:pPr>
              <w:pStyle w:val="35"/>
              <w:jc w:val="center"/>
              <w:rPr>
                <w:rFonts w:eastAsiaTheme="minorEastAsia"/>
                <w:color w:val="auto"/>
                <w:sz w:val="24"/>
              </w:rPr>
            </w:pPr>
            <w:r>
              <w:rPr>
                <w:rFonts w:eastAsiaTheme="minorEastAsia"/>
                <w:color w:val="auto"/>
                <w:sz w:val="24"/>
              </w:rPr>
              <w:t>建设地点</w:t>
            </w:r>
          </w:p>
        </w:tc>
        <w:tc>
          <w:tcPr>
            <w:tcW w:w="6488" w:type="dxa"/>
            <w:gridSpan w:val="3"/>
            <w:vAlign w:val="center"/>
          </w:tcPr>
          <w:p w14:paraId="41D76ED1">
            <w:pPr>
              <w:pStyle w:val="35"/>
              <w:jc w:val="center"/>
              <w:rPr>
                <w:rFonts w:hint="default" w:eastAsiaTheme="minorEastAsia"/>
                <w:color w:val="auto"/>
                <w:sz w:val="24"/>
                <w:lang w:val="en-US"/>
              </w:rPr>
            </w:pPr>
            <w:r>
              <w:rPr>
                <w:rFonts w:hint="eastAsia" w:eastAsiaTheme="minorEastAsia"/>
                <w:color w:val="auto"/>
                <w:sz w:val="24"/>
                <w:u w:val="none"/>
                <w:lang w:val="en-US" w:eastAsia="zh-CN"/>
              </w:rPr>
              <w:t>南宁</w:t>
            </w:r>
            <w:r>
              <w:rPr>
                <w:rFonts w:eastAsiaTheme="minorEastAsia"/>
                <w:color w:val="auto"/>
                <w:sz w:val="24"/>
                <w:u w:val="none"/>
              </w:rPr>
              <w:t>市</w:t>
            </w:r>
            <w:r>
              <w:rPr>
                <w:rFonts w:hint="eastAsia" w:eastAsiaTheme="minorEastAsia"/>
                <w:color w:val="auto"/>
                <w:sz w:val="24"/>
                <w:u w:val="none"/>
                <w:lang w:val="en-US" w:eastAsia="zh-CN"/>
              </w:rPr>
              <w:t xml:space="preserve">经济开发区友谊路58-16 号高岭村九组三产综合楼2号楼  </w:t>
            </w:r>
          </w:p>
        </w:tc>
      </w:tr>
      <w:tr w14:paraId="1D9BBC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1C4F7E47">
            <w:pPr>
              <w:pStyle w:val="35"/>
              <w:jc w:val="center"/>
              <w:rPr>
                <w:rFonts w:eastAsiaTheme="minorEastAsia"/>
                <w:color w:val="auto"/>
                <w:sz w:val="24"/>
              </w:rPr>
            </w:pPr>
            <w:r>
              <w:rPr>
                <w:rFonts w:eastAsiaTheme="minorEastAsia"/>
                <w:color w:val="auto"/>
                <w:sz w:val="24"/>
              </w:rPr>
              <w:t>地理坐标</w:t>
            </w:r>
          </w:p>
        </w:tc>
        <w:tc>
          <w:tcPr>
            <w:tcW w:w="6488" w:type="dxa"/>
            <w:gridSpan w:val="3"/>
            <w:vAlign w:val="center"/>
          </w:tcPr>
          <w:p w14:paraId="282106D8">
            <w:pPr>
              <w:pStyle w:val="35"/>
              <w:jc w:val="center"/>
              <w:rPr>
                <w:rFonts w:eastAsiaTheme="minorEastAsia"/>
                <w:color w:val="auto"/>
                <w:sz w:val="24"/>
              </w:rPr>
            </w:pPr>
            <w:r>
              <w:rPr>
                <w:rFonts w:eastAsiaTheme="minorEastAsia"/>
                <w:color w:val="auto"/>
                <w:sz w:val="24"/>
              </w:rPr>
              <w:t>（</w:t>
            </w:r>
            <w:r>
              <w:rPr>
                <w:rFonts w:hint="eastAsia" w:eastAsiaTheme="minorEastAsia"/>
                <w:color w:val="auto"/>
                <w:sz w:val="24"/>
                <w:lang w:val="en-US" w:eastAsia="zh-CN"/>
              </w:rPr>
              <w:t>东经</w:t>
            </w:r>
            <w:r>
              <w:rPr>
                <w:rFonts w:hint="eastAsia" w:eastAsiaTheme="minorEastAsia"/>
                <w:color w:val="auto"/>
                <w:sz w:val="24"/>
                <w:u w:val="single"/>
                <w:lang w:eastAsia="zh-CN"/>
              </w:rPr>
              <w:t>108度</w:t>
            </w:r>
            <w:r>
              <w:rPr>
                <w:rFonts w:hint="eastAsia" w:eastAsiaTheme="minorEastAsia"/>
                <w:color w:val="auto"/>
                <w:sz w:val="24"/>
                <w:u w:val="single"/>
                <w:lang w:val="en-US" w:eastAsia="zh-CN"/>
              </w:rPr>
              <w:t>17</w:t>
            </w:r>
            <w:r>
              <w:rPr>
                <w:rFonts w:eastAsiaTheme="minorEastAsia"/>
                <w:color w:val="auto"/>
                <w:sz w:val="24"/>
              </w:rPr>
              <w:t>分</w:t>
            </w:r>
            <w:r>
              <w:rPr>
                <w:rFonts w:hint="eastAsia" w:eastAsiaTheme="minorEastAsia"/>
                <w:color w:val="auto"/>
                <w:sz w:val="24"/>
                <w:u w:val="single"/>
                <w:lang w:val="en-US" w:eastAsia="zh-CN"/>
              </w:rPr>
              <w:t>34.795秒</w:t>
            </w:r>
            <w:r>
              <w:rPr>
                <w:rFonts w:eastAsiaTheme="minorEastAsia"/>
                <w:color w:val="auto"/>
                <w:sz w:val="24"/>
              </w:rPr>
              <w:t>，</w:t>
            </w:r>
            <w:r>
              <w:rPr>
                <w:rFonts w:hint="eastAsia" w:eastAsiaTheme="minorEastAsia"/>
                <w:color w:val="auto"/>
                <w:sz w:val="24"/>
                <w:lang w:val="en-US" w:eastAsia="zh-CN"/>
              </w:rPr>
              <w:t>北纬</w:t>
            </w:r>
            <w:r>
              <w:rPr>
                <w:rFonts w:eastAsiaTheme="minorEastAsia"/>
                <w:color w:val="auto"/>
                <w:sz w:val="24"/>
                <w:u w:val="single"/>
              </w:rPr>
              <w:t>2</w:t>
            </w:r>
            <w:r>
              <w:rPr>
                <w:rFonts w:hint="eastAsia" w:eastAsiaTheme="minorEastAsia"/>
                <w:color w:val="auto"/>
                <w:sz w:val="24"/>
                <w:u w:val="single"/>
                <w:lang w:val="en-US" w:eastAsia="zh-CN"/>
              </w:rPr>
              <w:t>2</w:t>
            </w:r>
            <w:r>
              <w:rPr>
                <w:rFonts w:eastAsiaTheme="minorEastAsia"/>
                <w:color w:val="auto"/>
                <w:sz w:val="24"/>
              </w:rPr>
              <w:t>度</w:t>
            </w:r>
            <w:r>
              <w:rPr>
                <w:rFonts w:hint="eastAsia" w:eastAsiaTheme="minorEastAsia"/>
                <w:color w:val="auto"/>
                <w:sz w:val="24"/>
                <w:u w:val="single"/>
                <w:lang w:val="en-US" w:eastAsia="zh-CN"/>
              </w:rPr>
              <w:t>43</w:t>
            </w:r>
            <w:r>
              <w:rPr>
                <w:rFonts w:eastAsiaTheme="minorEastAsia"/>
                <w:color w:val="auto"/>
                <w:sz w:val="24"/>
              </w:rPr>
              <w:t>分</w:t>
            </w:r>
            <w:r>
              <w:rPr>
                <w:rFonts w:hint="eastAsia" w:eastAsiaTheme="minorEastAsia"/>
                <w:color w:val="auto"/>
                <w:sz w:val="24"/>
                <w:u w:val="single"/>
                <w:lang w:val="en-US" w:eastAsia="zh-CN"/>
              </w:rPr>
              <w:t>55.526秒</w:t>
            </w:r>
            <w:r>
              <w:rPr>
                <w:rFonts w:eastAsiaTheme="minorEastAsia"/>
                <w:color w:val="auto"/>
                <w:sz w:val="24"/>
              </w:rPr>
              <w:t>）</w:t>
            </w:r>
          </w:p>
        </w:tc>
      </w:tr>
      <w:tr w14:paraId="0E8C71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tcMar>
              <w:top w:w="16" w:type="dxa"/>
              <w:left w:w="16" w:type="dxa"/>
              <w:right w:w="16" w:type="dxa"/>
            </w:tcMar>
            <w:vAlign w:val="center"/>
          </w:tcPr>
          <w:p w14:paraId="0D1CA219">
            <w:pPr>
              <w:pStyle w:val="35"/>
              <w:jc w:val="center"/>
              <w:rPr>
                <w:rFonts w:eastAsiaTheme="minorEastAsia"/>
                <w:color w:val="auto"/>
                <w:sz w:val="24"/>
              </w:rPr>
            </w:pPr>
            <w:r>
              <w:rPr>
                <w:rFonts w:eastAsiaTheme="minorEastAsia"/>
                <w:color w:val="auto"/>
                <w:sz w:val="24"/>
              </w:rPr>
              <w:t>国民经济</w:t>
            </w:r>
          </w:p>
          <w:p w14:paraId="74BAD231">
            <w:pPr>
              <w:pStyle w:val="35"/>
              <w:jc w:val="center"/>
              <w:rPr>
                <w:rFonts w:eastAsiaTheme="minorEastAsia"/>
                <w:color w:val="auto"/>
                <w:sz w:val="24"/>
              </w:rPr>
            </w:pPr>
            <w:r>
              <w:rPr>
                <w:rFonts w:eastAsiaTheme="minorEastAsia"/>
                <w:color w:val="auto"/>
                <w:sz w:val="24"/>
              </w:rPr>
              <w:t>行业类别</w:t>
            </w:r>
          </w:p>
        </w:tc>
        <w:tc>
          <w:tcPr>
            <w:tcW w:w="1637" w:type="dxa"/>
            <w:vAlign w:val="center"/>
          </w:tcPr>
          <w:p w14:paraId="62DDD667">
            <w:pPr>
              <w:pStyle w:val="35"/>
              <w:jc w:val="center"/>
              <w:rPr>
                <w:rFonts w:eastAsiaTheme="minorEastAsia"/>
                <w:color w:val="auto"/>
                <w:sz w:val="24"/>
              </w:rPr>
            </w:pPr>
            <w:r>
              <w:rPr>
                <w:rFonts w:hint="eastAsia" w:eastAsiaTheme="minorEastAsia"/>
                <w:color w:val="auto"/>
                <w:sz w:val="24"/>
              </w:rPr>
              <w:t>专科医院（Q8415）</w:t>
            </w:r>
          </w:p>
        </w:tc>
        <w:tc>
          <w:tcPr>
            <w:tcW w:w="2212" w:type="dxa"/>
            <w:vAlign w:val="center"/>
          </w:tcPr>
          <w:p w14:paraId="28261AF2">
            <w:pPr>
              <w:pStyle w:val="35"/>
              <w:jc w:val="center"/>
              <w:rPr>
                <w:rFonts w:eastAsiaTheme="minorEastAsia"/>
                <w:color w:val="auto"/>
                <w:sz w:val="24"/>
              </w:rPr>
            </w:pPr>
            <w:bookmarkStart w:id="4" w:name="_Hlk49843745"/>
            <w:r>
              <w:rPr>
                <w:rFonts w:eastAsiaTheme="minorEastAsia"/>
                <w:color w:val="auto"/>
                <w:sz w:val="24"/>
              </w:rPr>
              <w:t>建设项目</w:t>
            </w:r>
          </w:p>
          <w:p w14:paraId="7CFE8D96">
            <w:pPr>
              <w:pStyle w:val="35"/>
              <w:jc w:val="center"/>
              <w:rPr>
                <w:rFonts w:eastAsiaTheme="minorEastAsia"/>
                <w:color w:val="auto"/>
                <w:sz w:val="24"/>
              </w:rPr>
            </w:pPr>
            <w:r>
              <w:rPr>
                <w:rFonts w:eastAsiaTheme="minorEastAsia"/>
                <w:color w:val="auto"/>
                <w:sz w:val="24"/>
              </w:rPr>
              <w:t>行业类别</w:t>
            </w:r>
            <w:bookmarkEnd w:id="4"/>
          </w:p>
        </w:tc>
        <w:tc>
          <w:tcPr>
            <w:tcW w:w="2639" w:type="dxa"/>
            <w:vAlign w:val="center"/>
          </w:tcPr>
          <w:p w14:paraId="5FB75D4A">
            <w:pPr>
              <w:pStyle w:val="35"/>
              <w:jc w:val="center"/>
              <w:rPr>
                <w:rFonts w:eastAsiaTheme="minorEastAsia"/>
                <w:color w:val="auto"/>
                <w:sz w:val="24"/>
              </w:rPr>
            </w:pPr>
            <w:r>
              <w:rPr>
                <w:rFonts w:hint="eastAsia" w:eastAsiaTheme="minorEastAsia"/>
                <w:color w:val="auto"/>
                <w:sz w:val="24"/>
              </w:rPr>
              <w:t>四十九、卫生84-108、医院841；专科疾病防治院（所、站）8432；妇幼保健院（所、站）8433；急救中心（站）服务8434；采供血机构服务8435；基层医疗卫生服务842－其他（住院床位20 张以下的除外）</w:t>
            </w:r>
          </w:p>
        </w:tc>
      </w:tr>
      <w:tr w14:paraId="143F5A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tcMar>
              <w:top w:w="16" w:type="dxa"/>
              <w:left w:w="16" w:type="dxa"/>
              <w:right w:w="16" w:type="dxa"/>
            </w:tcMar>
            <w:vAlign w:val="center"/>
          </w:tcPr>
          <w:p w14:paraId="5C2862A0">
            <w:pPr>
              <w:pStyle w:val="35"/>
              <w:jc w:val="center"/>
              <w:rPr>
                <w:rFonts w:eastAsiaTheme="minorEastAsia"/>
                <w:color w:val="auto"/>
                <w:sz w:val="24"/>
              </w:rPr>
            </w:pPr>
            <w:r>
              <w:rPr>
                <w:rFonts w:eastAsiaTheme="minorEastAsia"/>
                <w:color w:val="auto"/>
                <w:sz w:val="24"/>
              </w:rPr>
              <w:t>建设性质</w:t>
            </w:r>
          </w:p>
        </w:tc>
        <w:tc>
          <w:tcPr>
            <w:tcW w:w="1637" w:type="dxa"/>
            <w:vAlign w:val="center"/>
          </w:tcPr>
          <w:p w14:paraId="522E499A">
            <w:pPr>
              <w:pStyle w:val="35"/>
              <w:rPr>
                <w:rFonts w:eastAsiaTheme="minorEastAsia"/>
                <w:color w:val="auto"/>
                <w:sz w:val="24"/>
              </w:rPr>
            </w:pPr>
            <w:r>
              <w:rPr>
                <w:rFonts w:hint="eastAsia" w:ascii="MS Gothic" w:hAnsi="MS Gothic" w:eastAsia="MS Gothic" w:cs="MS Gothic"/>
                <w:color w:val="auto"/>
                <w:sz w:val="24"/>
              </w:rPr>
              <w:t>☑</w:t>
            </w:r>
            <w:r>
              <w:rPr>
                <w:rFonts w:eastAsiaTheme="minorEastAsia"/>
                <w:color w:val="auto"/>
                <w:sz w:val="24"/>
              </w:rPr>
              <w:t>新建（迁建）</w:t>
            </w:r>
          </w:p>
          <w:p w14:paraId="7FD2CCB4">
            <w:pPr>
              <w:pStyle w:val="35"/>
              <w:rPr>
                <w:rFonts w:eastAsiaTheme="minorEastAsia"/>
                <w:color w:val="auto"/>
                <w:sz w:val="24"/>
              </w:rPr>
            </w:pPr>
            <w:r>
              <w:rPr>
                <w:rFonts w:eastAsiaTheme="minorEastAsia"/>
                <w:color w:val="auto"/>
                <w:sz w:val="24"/>
              </w:rPr>
              <w:t>□改建</w:t>
            </w:r>
          </w:p>
          <w:p w14:paraId="09E8E8DB">
            <w:pPr>
              <w:pStyle w:val="35"/>
              <w:rPr>
                <w:rFonts w:eastAsiaTheme="minorEastAsia"/>
                <w:color w:val="auto"/>
                <w:sz w:val="24"/>
              </w:rPr>
            </w:pPr>
            <w:r>
              <w:rPr>
                <w:rFonts w:eastAsiaTheme="minorEastAsia"/>
                <w:color w:val="auto"/>
                <w:sz w:val="24"/>
              </w:rPr>
              <w:t>□扩建</w:t>
            </w:r>
          </w:p>
          <w:p w14:paraId="0455FBE5">
            <w:pPr>
              <w:pStyle w:val="35"/>
              <w:rPr>
                <w:rFonts w:eastAsiaTheme="minorEastAsia"/>
                <w:color w:val="auto"/>
                <w:sz w:val="24"/>
              </w:rPr>
            </w:pPr>
            <w:r>
              <w:rPr>
                <w:rFonts w:eastAsiaTheme="minorEastAsia"/>
                <w:color w:val="auto"/>
                <w:sz w:val="24"/>
              </w:rPr>
              <w:t>□技术改造</w:t>
            </w:r>
          </w:p>
        </w:tc>
        <w:tc>
          <w:tcPr>
            <w:tcW w:w="2212" w:type="dxa"/>
            <w:vAlign w:val="center"/>
          </w:tcPr>
          <w:p w14:paraId="31DA49F5">
            <w:pPr>
              <w:pStyle w:val="35"/>
              <w:jc w:val="center"/>
              <w:rPr>
                <w:rFonts w:eastAsiaTheme="minorEastAsia"/>
                <w:color w:val="auto"/>
                <w:sz w:val="24"/>
              </w:rPr>
            </w:pPr>
            <w:r>
              <w:rPr>
                <w:rFonts w:eastAsiaTheme="minorEastAsia"/>
                <w:color w:val="auto"/>
                <w:sz w:val="24"/>
              </w:rPr>
              <w:t>建设项目</w:t>
            </w:r>
          </w:p>
          <w:p w14:paraId="5A220E3F">
            <w:pPr>
              <w:pStyle w:val="35"/>
              <w:jc w:val="center"/>
              <w:rPr>
                <w:rFonts w:eastAsiaTheme="minorEastAsia"/>
                <w:color w:val="auto"/>
                <w:sz w:val="24"/>
              </w:rPr>
            </w:pPr>
            <w:r>
              <w:rPr>
                <w:rFonts w:eastAsiaTheme="minorEastAsia"/>
                <w:color w:val="auto"/>
                <w:sz w:val="24"/>
              </w:rPr>
              <w:t>申报情形</w:t>
            </w:r>
          </w:p>
        </w:tc>
        <w:tc>
          <w:tcPr>
            <w:tcW w:w="2639" w:type="dxa"/>
            <w:vAlign w:val="center"/>
          </w:tcPr>
          <w:p w14:paraId="042F801D">
            <w:pPr>
              <w:pStyle w:val="35"/>
              <w:rPr>
                <w:rFonts w:eastAsiaTheme="minorEastAsia"/>
                <w:color w:val="auto"/>
                <w:sz w:val="24"/>
              </w:rPr>
            </w:pPr>
            <w:r>
              <w:rPr>
                <w:rFonts w:hint="eastAsia" w:ascii="MS Gothic" w:hAnsi="MS Gothic" w:eastAsia="MS Gothic" w:cs="MS Gothic"/>
                <w:color w:val="auto"/>
                <w:sz w:val="24"/>
              </w:rPr>
              <w:t>☑</w:t>
            </w:r>
            <w:r>
              <w:rPr>
                <w:rFonts w:eastAsiaTheme="minorEastAsia"/>
                <w:color w:val="auto"/>
                <w:sz w:val="24"/>
              </w:rPr>
              <w:t>首次申报项目</w:t>
            </w:r>
          </w:p>
          <w:p w14:paraId="05EBE497">
            <w:pPr>
              <w:pStyle w:val="35"/>
              <w:rPr>
                <w:rFonts w:eastAsiaTheme="minorEastAsia"/>
                <w:color w:val="auto"/>
                <w:sz w:val="24"/>
              </w:rPr>
            </w:pPr>
            <w:r>
              <w:rPr>
                <w:rFonts w:eastAsiaTheme="minorEastAsia"/>
                <w:color w:val="auto"/>
                <w:sz w:val="24"/>
              </w:rPr>
              <w:t>□不予批准后再次申报项目</w:t>
            </w:r>
          </w:p>
          <w:p w14:paraId="6A6CD269">
            <w:pPr>
              <w:pStyle w:val="35"/>
              <w:rPr>
                <w:rFonts w:eastAsiaTheme="minorEastAsia"/>
                <w:color w:val="auto"/>
                <w:sz w:val="24"/>
              </w:rPr>
            </w:pPr>
            <w:r>
              <w:rPr>
                <w:rFonts w:eastAsiaTheme="minorEastAsia"/>
                <w:color w:val="auto"/>
                <w:sz w:val="24"/>
              </w:rPr>
              <w:t>□超五年重新审核项目</w:t>
            </w:r>
          </w:p>
          <w:p w14:paraId="12AD1D2F">
            <w:pPr>
              <w:pStyle w:val="35"/>
              <w:rPr>
                <w:rFonts w:eastAsiaTheme="minorEastAsia"/>
                <w:color w:val="auto"/>
                <w:sz w:val="24"/>
              </w:rPr>
            </w:pPr>
            <w:r>
              <w:rPr>
                <w:rFonts w:eastAsiaTheme="minorEastAsia"/>
                <w:color w:val="auto"/>
                <w:sz w:val="24"/>
              </w:rPr>
              <w:t>□重大变动重新报批项目</w:t>
            </w:r>
          </w:p>
        </w:tc>
      </w:tr>
      <w:tr w14:paraId="02F69B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tcMar>
              <w:top w:w="16" w:type="dxa"/>
              <w:left w:w="16" w:type="dxa"/>
              <w:right w:w="16" w:type="dxa"/>
            </w:tcMar>
            <w:vAlign w:val="center"/>
          </w:tcPr>
          <w:p w14:paraId="1E2859E7">
            <w:pPr>
              <w:pStyle w:val="35"/>
              <w:jc w:val="center"/>
              <w:rPr>
                <w:rFonts w:eastAsiaTheme="minorEastAsia"/>
                <w:color w:val="auto"/>
                <w:sz w:val="24"/>
              </w:rPr>
            </w:pPr>
            <w:r>
              <w:rPr>
                <w:rFonts w:eastAsiaTheme="minorEastAsia"/>
                <w:color w:val="auto"/>
                <w:sz w:val="24"/>
              </w:rPr>
              <w:t>项目备案部门</w:t>
            </w:r>
          </w:p>
        </w:tc>
        <w:tc>
          <w:tcPr>
            <w:tcW w:w="1637" w:type="dxa"/>
            <w:vAlign w:val="center"/>
          </w:tcPr>
          <w:p w14:paraId="4346A48C">
            <w:pPr>
              <w:pStyle w:val="35"/>
              <w:jc w:val="center"/>
              <w:rPr>
                <w:rFonts w:hint="default" w:eastAsiaTheme="minorEastAsia"/>
                <w:color w:val="auto"/>
                <w:sz w:val="24"/>
                <w:lang w:val="en-US" w:eastAsia="zh-CN"/>
              </w:rPr>
            </w:pPr>
            <w:r>
              <w:rPr>
                <w:rFonts w:hint="eastAsia" w:eastAsiaTheme="minorEastAsia"/>
                <w:color w:val="auto"/>
                <w:sz w:val="24"/>
                <w:lang w:val="en-US" w:eastAsia="zh-CN"/>
              </w:rPr>
              <w:t>南宁市经济技术开发区管理委员会</w:t>
            </w:r>
          </w:p>
        </w:tc>
        <w:tc>
          <w:tcPr>
            <w:tcW w:w="2212" w:type="dxa"/>
            <w:vAlign w:val="center"/>
          </w:tcPr>
          <w:p w14:paraId="50A4EF73">
            <w:pPr>
              <w:pStyle w:val="35"/>
              <w:jc w:val="center"/>
              <w:rPr>
                <w:rFonts w:eastAsiaTheme="minorEastAsia"/>
                <w:color w:val="auto"/>
                <w:sz w:val="24"/>
              </w:rPr>
            </w:pPr>
            <w:r>
              <w:rPr>
                <w:rFonts w:eastAsiaTheme="minorEastAsia"/>
                <w:color w:val="auto"/>
                <w:sz w:val="24"/>
              </w:rPr>
              <w:t>项目备案文号</w:t>
            </w:r>
          </w:p>
        </w:tc>
        <w:tc>
          <w:tcPr>
            <w:tcW w:w="2639" w:type="dxa"/>
            <w:vAlign w:val="center"/>
          </w:tcPr>
          <w:p w14:paraId="74D998BB">
            <w:pPr>
              <w:pStyle w:val="35"/>
              <w:jc w:val="center"/>
              <w:rPr>
                <w:rFonts w:eastAsiaTheme="minorEastAsia"/>
                <w:color w:val="auto"/>
                <w:sz w:val="24"/>
              </w:rPr>
            </w:pPr>
            <w:r>
              <w:rPr>
                <w:rFonts w:hint="eastAsia" w:eastAsiaTheme="minorEastAsia"/>
                <w:color w:val="auto"/>
                <w:sz w:val="24"/>
                <w:lang w:val="en-US" w:eastAsia="zh-CN"/>
              </w:rPr>
              <w:t>2504-450114-04-01-641870</w:t>
            </w:r>
          </w:p>
        </w:tc>
      </w:tr>
      <w:tr w14:paraId="105746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027D0B9A">
            <w:pPr>
              <w:pStyle w:val="35"/>
              <w:jc w:val="center"/>
              <w:rPr>
                <w:rFonts w:eastAsiaTheme="minorEastAsia"/>
                <w:color w:val="auto"/>
                <w:sz w:val="24"/>
              </w:rPr>
            </w:pPr>
            <w:r>
              <w:rPr>
                <w:rFonts w:eastAsiaTheme="minorEastAsia"/>
                <w:color w:val="auto"/>
                <w:sz w:val="24"/>
              </w:rPr>
              <w:t>总投资（万元）</w:t>
            </w:r>
          </w:p>
        </w:tc>
        <w:tc>
          <w:tcPr>
            <w:tcW w:w="1637" w:type="dxa"/>
            <w:vAlign w:val="center"/>
          </w:tcPr>
          <w:p w14:paraId="181FE585">
            <w:pPr>
              <w:pStyle w:val="35"/>
              <w:jc w:val="center"/>
              <w:rPr>
                <w:rFonts w:eastAsiaTheme="minorEastAsia"/>
                <w:color w:val="auto"/>
                <w:sz w:val="24"/>
              </w:rPr>
            </w:pPr>
            <w:r>
              <w:rPr>
                <w:rFonts w:hint="eastAsia" w:eastAsiaTheme="minorEastAsia"/>
                <w:color w:val="auto"/>
                <w:sz w:val="24"/>
                <w:lang w:val="en-US" w:eastAsia="zh-CN"/>
              </w:rPr>
              <w:t>2</w:t>
            </w:r>
            <w:r>
              <w:rPr>
                <w:rFonts w:eastAsiaTheme="minorEastAsia"/>
                <w:color w:val="auto"/>
                <w:sz w:val="24"/>
              </w:rPr>
              <w:t>000</w:t>
            </w:r>
          </w:p>
        </w:tc>
        <w:tc>
          <w:tcPr>
            <w:tcW w:w="2212" w:type="dxa"/>
            <w:tcMar>
              <w:top w:w="16" w:type="dxa"/>
              <w:left w:w="16" w:type="dxa"/>
              <w:right w:w="16" w:type="dxa"/>
            </w:tcMar>
            <w:vAlign w:val="center"/>
          </w:tcPr>
          <w:p w14:paraId="77740406">
            <w:pPr>
              <w:pStyle w:val="35"/>
              <w:jc w:val="center"/>
              <w:rPr>
                <w:rFonts w:eastAsiaTheme="minorEastAsia"/>
                <w:color w:val="auto"/>
                <w:sz w:val="24"/>
              </w:rPr>
            </w:pPr>
            <w:r>
              <w:rPr>
                <w:rFonts w:eastAsiaTheme="minorEastAsia"/>
                <w:color w:val="auto"/>
                <w:sz w:val="24"/>
              </w:rPr>
              <w:t>环保投资（万元）</w:t>
            </w:r>
          </w:p>
        </w:tc>
        <w:tc>
          <w:tcPr>
            <w:tcW w:w="2639" w:type="dxa"/>
            <w:vAlign w:val="center"/>
          </w:tcPr>
          <w:p w14:paraId="34FCDF54">
            <w:pPr>
              <w:pStyle w:val="35"/>
              <w:jc w:val="center"/>
              <w:rPr>
                <w:rFonts w:hint="default" w:eastAsiaTheme="minorEastAsia"/>
                <w:color w:val="auto"/>
                <w:sz w:val="24"/>
                <w:lang w:val="en-US" w:eastAsia="zh-CN"/>
              </w:rPr>
            </w:pPr>
            <w:r>
              <w:rPr>
                <w:rFonts w:hint="eastAsia" w:eastAsiaTheme="minorEastAsia"/>
                <w:color w:val="auto"/>
                <w:sz w:val="24"/>
                <w:highlight w:val="none"/>
                <w:lang w:val="en-US" w:eastAsia="zh-CN"/>
              </w:rPr>
              <w:t>43.2</w:t>
            </w:r>
          </w:p>
        </w:tc>
      </w:tr>
      <w:tr w14:paraId="5D90F2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78DE13F7">
            <w:pPr>
              <w:pStyle w:val="35"/>
              <w:jc w:val="center"/>
              <w:rPr>
                <w:rFonts w:eastAsiaTheme="minorEastAsia"/>
                <w:color w:val="auto"/>
                <w:sz w:val="24"/>
              </w:rPr>
            </w:pPr>
            <w:r>
              <w:rPr>
                <w:rFonts w:eastAsiaTheme="minorEastAsia"/>
                <w:color w:val="auto"/>
                <w:sz w:val="24"/>
              </w:rPr>
              <w:t>环保投资占比（%）</w:t>
            </w:r>
          </w:p>
        </w:tc>
        <w:tc>
          <w:tcPr>
            <w:tcW w:w="1637" w:type="dxa"/>
            <w:vAlign w:val="center"/>
          </w:tcPr>
          <w:p w14:paraId="3FCAD452">
            <w:pPr>
              <w:pStyle w:val="35"/>
              <w:jc w:val="center"/>
              <w:rPr>
                <w:rFonts w:hint="default" w:eastAsiaTheme="minorEastAsia"/>
                <w:color w:val="auto"/>
                <w:sz w:val="24"/>
                <w:lang w:val="en-US" w:eastAsia="zh-CN"/>
              </w:rPr>
            </w:pPr>
            <w:r>
              <w:rPr>
                <w:rFonts w:hint="eastAsia" w:eastAsiaTheme="minorEastAsia"/>
                <w:color w:val="auto"/>
                <w:sz w:val="24"/>
                <w:highlight w:val="none"/>
                <w:lang w:val="en-US" w:eastAsia="zh-CN"/>
              </w:rPr>
              <w:t>2.16</w:t>
            </w:r>
          </w:p>
        </w:tc>
        <w:tc>
          <w:tcPr>
            <w:tcW w:w="2212" w:type="dxa"/>
            <w:tcMar>
              <w:top w:w="16" w:type="dxa"/>
              <w:left w:w="16" w:type="dxa"/>
              <w:right w:w="16" w:type="dxa"/>
            </w:tcMar>
            <w:vAlign w:val="center"/>
          </w:tcPr>
          <w:p w14:paraId="20D4DD39">
            <w:pPr>
              <w:pStyle w:val="35"/>
              <w:jc w:val="center"/>
              <w:rPr>
                <w:rFonts w:eastAsiaTheme="minorEastAsia"/>
                <w:color w:val="auto"/>
                <w:sz w:val="24"/>
              </w:rPr>
            </w:pPr>
            <w:r>
              <w:rPr>
                <w:rFonts w:eastAsiaTheme="minorEastAsia"/>
                <w:color w:val="auto"/>
                <w:sz w:val="24"/>
              </w:rPr>
              <w:t>施工工期</w:t>
            </w:r>
          </w:p>
        </w:tc>
        <w:tc>
          <w:tcPr>
            <w:tcW w:w="2639" w:type="dxa"/>
            <w:vAlign w:val="center"/>
          </w:tcPr>
          <w:p w14:paraId="49920AFB">
            <w:pPr>
              <w:pStyle w:val="35"/>
              <w:jc w:val="center"/>
              <w:rPr>
                <w:rFonts w:eastAsiaTheme="minorEastAsia"/>
                <w:color w:val="auto"/>
                <w:sz w:val="24"/>
              </w:rPr>
            </w:pPr>
            <w:r>
              <w:rPr>
                <w:rFonts w:hint="eastAsia" w:eastAsiaTheme="minorEastAsia"/>
                <w:color w:val="auto"/>
                <w:sz w:val="24"/>
                <w:lang w:val="en-US" w:eastAsia="zh-CN"/>
              </w:rPr>
              <w:t>4</w:t>
            </w:r>
            <w:r>
              <w:rPr>
                <w:rFonts w:eastAsiaTheme="minorEastAsia"/>
                <w:color w:val="auto"/>
                <w:sz w:val="24"/>
              </w:rPr>
              <w:t>个月</w:t>
            </w:r>
          </w:p>
        </w:tc>
      </w:tr>
      <w:tr w14:paraId="44B83B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3C0C90C7">
            <w:pPr>
              <w:pStyle w:val="35"/>
              <w:jc w:val="center"/>
              <w:rPr>
                <w:rFonts w:eastAsiaTheme="minorEastAsia"/>
                <w:color w:val="auto"/>
                <w:sz w:val="24"/>
              </w:rPr>
            </w:pPr>
            <w:r>
              <w:rPr>
                <w:rFonts w:eastAsiaTheme="minorEastAsia"/>
                <w:color w:val="auto"/>
                <w:sz w:val="24"/>
              </w:rPr>
              <w:t>是否开工建设</w:t>
            </w:r>
          </w:p>
        </w:tc>
        <w:tc>
          <w:tcPr>
            <w:tcW w:w="1637" w:type="dxa"/>
            <w:vAlign w:val="center"/>
          </w:tcPr>
          <w:p w14:paraId="5CFCE4DD">
            <w:pPr>
              <w:pStyle w:val="35"/>
              <w:rPr>
                <w:rFonts w:eastAsiaTheme="minorEastAsia"/>
                <w:color w:val="auto"/>
                <w:sz w:val="24"/>
              </w:rPr>
            </w:pPr>
            <w:r>
              <w:rPr>
                <w:rFonts w:hint="eastAsia" w:ascii="MS Gothic" w:hAnsi="MS Gothic" w:eastAsia="宋体" w:cs="MS Gothic"/>
                <w:color w:val="auto"/>
                <w:sz w:val="24"/>
                <w:lang w:eastAsia="zh-CN"/>
              </w:rPr>
              <w:sym w:font="Wingdings 2" w:char="0052"/>
            </w:r>
            <w:r>
              <w:rPr>
                <w:rFonts w:eastAsiaTheme="minorEastAsia"/>
                <w:color w:val="auto"/>
                <w:sz w:val="24"/>
              </w:rPr>
              <w:t>否</w:t>
            </w:r>
          </w:p>
          <w:p w14:paraId="46E0497D">
            <w:pPr>
              <w:pStyle w:val="35"/>
              <w:rPr>
                <w:rFonts w:eastAsiaTheme="minorEastAsia"/>
                <w:color w:val="auto"/>
                <w:sz w:val="24"/>
              </w:rPr>
            </w:pPr>
            <w:r>
              <w:rPr>
                <w:rFonts w:eastAsiaTheme="minorEastAsia"/>
                <w:color w:val="auto"/>
                <w:sz w:val="24"/>
              </w:rPr>
              <w:sym w:font="Wingdings 2" w:char="00A3"/>
            </w:r>
            <w:r>
              <w:rPr>
                <w:rFonts w:eastAsiaTheme="minorEastAsia"/>
                <w:color w:val="auto"/>
                <w:sz w:val="24"/>
              </w:rPr>
              <w:t>是：</w:t>
            </w:r>
          </w:p>
        </w:tc>
        <w:tc>
          <w:tcPr>
            <w:tcW w:w="2212" w:type="dxa"/>
            <w:tcMar>
              <w:top w:w="16" w:type="dxa"/>
              <w:left w:w="16" w:type="dxa"/>
              <w:right w:w="16" w:type="dxa"/>
            </w:tcMar>
            <w:vAlign w:val="center"/>
          </w:tcPr>
          <w:p w14:paraId="3285ECEF">
            <w:pPr>
              <w:pStyle w:val="35"/>
              <w:jc w:val="center"/>
              <w:rPr>
                <w:rFonts w:eastAsiaTheme="minorEastAsia"/>
                <w:color w:val="auto"/>
                <w:sz w:val="24"/>
              </w:rPr>
            </w:pPr>
            <w:r>
              <w:rPr>
                <w:rFonts w:eastAsiaTheme="minorEastAsia"/>
                <w:color w:val="auto"/>
                <w:spacing w:val="-6"/>
                <w:sz w:val="24"/>
              </w:rPr>
              <w:t>用地面积（m</w:t>
            </w:r>
            <w:r>
              <w:rPr>
                <w:rFonts w:eastAsiaTheme="minorEastAsia"/>
                <w:color w:val="auto"/>
                <w:spacing w:val="-6"/>
                <w:sz w:val="24"/>
                <w:vertAlign w:val="superscript"/>
              </w:rPr>
              <w:t>2</w:t>
            </w:r>
            <w:r>
              <w:rPr>
                <w:rFonts w:eastAsiaTheme="minorEastAsia"/>
                <w:color w:val="auto"/>
                <w:spacing w:val="-6"/>
                <w:sz w:val="24"/>
              </w:rPr>
              <w:t>）</w:t>
            </w:r>
          </w:p>
        </w:tc>
        <w:tc>
          <w:tcPr>
            <w:tcW w:w="2639" w:type="dxa"/>
            <w:vAlign w:val="center"/>
          </w:tcPr>
          <w:p w14:paraId="07CE02A0">
            <w:pPr>
              <w:pStyle w:val="35"/>
              <w:jc w:val="center"/>
              <w:rPr>
                <w:rFonts w:hint="default" w:eastAsiaTheme="minorEastAsia"/>
                <w:color w:val="auto"/>
                <w:sz w:val="24"/>
                <w:lang w:val="en-US" w:eastAsia="zh-CN"/>
              </w:rPr>
            </w:pPr>
            <w:r>
              <w:rPr>
                <w:rFonts w:hint="eastAsia" w:eastAsiaTheme="minorEastAsia"/>
                <w:color w:val="auto"/>
                <w:sz w:val="24"/>
                <w:lang w:val="en-US" w:eastAsia="zh-CN"/>
              </w:rPr>
              <w:t>8756</w:t>
            </w:r>
          </w:p>
        </w:tc>
      </w:tr>
      <w:tr w14:paraId="12D2D0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382" w:type="dxa"/>
            <w:vAlign w:val="center"/>
          </w:tcPr>
          <w:p w14:paraId="51B08D3C">
            <w:pPr>
              <w:pStyle w:val="35"/>
              <w:jc w:val="center"/>
              <w:rPr>
                <w:rFonts w:eastAsiaTheme="minorEastAsia"/>
                <w:color w:val="auto"/>
                <w:kern w:val="0"/>
                <w:sz w:val="24"/>
              </w:rPr>
            </w:pPr>
            <w:r>
              <w:rPr>
                <w:rFonts w:eastAsiaTheme="minorEastAsia"/>
                <w:color w:val="auto"/>
                <w:kern w:val="0"/>
                <w:sz w:val="24"/>
              </w:rPr>
              <w:t>专项评价设置情况</w:t>
            </w:r>
          </w:p>
        </w:tc>
        <w:tc>
          <w:tcPr>
            <w:tcW w:w="6488" w:type="dxa"/>
            <w:gridSpan w:val="3"/>
            <w:vAlign w:val="center"/>
          </w:tcPr>
          <w:p w14:paraId="74DBE0C2">
            <w:pPr>
              <w:pStyle w:val="35"/>
              <w:jc w:val="center"/>
              <w:rPr>
                <w:rFonts w:eastAsiaTheme="minorEastAsia"/>
                <w:color w:val="auto"/>
                <w:kern w:val="0"/>
                <w:sz w:val="24"/>
              </w:rPr>
            </w:pPr>
            <w:r>
              <w:rPr>
                <w:rFonts w:eastAsiaTheme="minorEastAsia"/>
                <w:color w:val="auto"/>
                <w:kern w:val="0"/>
                <w:sz w:val="24"/>
              </w:rPr>
              <w:t>无</w:t>
            </w:r>
          </w:p>
        </w:tc>
      </w:tr>
      <w:tr w14:paraId="6A34B0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382" w:type="dxa"/>
            <w:vAlign w:val="center"/>
          </w:tcPr>
          <w:p w14:paraId="7737A1E7">
            <w:pPr>
              <w:pStyle w:val="35"/>
              <w:jc w:val="center"/>
              <w:rPr>
                <w:rFonts w:eastAsiaTheme="minorEastAsia"/>
                <w:color w:val="auto"/>
                <w:kern w:val="0"/>
                <w:sz w:val="24"/>
              </w:rPr>
            </w:pPr>
            <w:r>
              <w:rPr>
                <w:rFonts w:eastAsiaTheme="minorEastAsia"/>
                <w:color w:val="auto"/>
                <w:sz w:val="24"/>
              </w:rPr>
              <w:t>规划情况</w:t>
            </w:r>
          </w:p>
        </w:tc>
        <w:tc>
          <w:tcPr>
            <w:tcW w:w="6488" w:type="dxa"/>
            <w:gridSpan w:val="3"/>
            <w:vAlign w:val="center"/>
          </w:tcPr>
          <w:p w14:paraId="29C11A7F">
            <w:pPr>
              <w:pStyle w:val="35"/>
              <w:jc w:val="center"/>
              <w:rPr>
                <w:rFonts w:eastAsiaTheme="minorEastAsia"/>
                <w:color w:val="auto"/>
                <w:kern w:val="0"/>
                <w:sz w:val="24"/>
              </w:rPr>
            </w:pPr>
            <w:r>
              <w:rPr>
                <w:rFonts w:eastAsiaTheme="minorEastAsia"/>
                <w:color w:val="auto"/>
                <w:kern w:val="0"/>
                <w:sz w:val="24"/>
              </w:rPr>
              <w:t>无</w:t>
            </w:r>
          </w:p>
        </w:tc>
      </w:tr>
      <w:tr w14:paraId="53063F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382" w:type="dxa"/>
            <w:vAlign w:val="center"/>
          </w:tcPr>
          <w:p w14:paraId="08E59864">
            <w:pPr>
              <w:pStyle w:val="35"/>
              <w:jc w:val="center"/>
              <w:rPr>
                <w:rFonts w:eastAsiaTheme="minorEastAsia"/>
                <w:color w:val="auto"/>
                <w:sz w:val="24"/>
              </w:rPr>
            </w:pPr>
            <w:r>
              <w:rPr>
                <w:rFonts w:eastAsiaTheme="minorEastAsia"/>
                <w:color w:val="auto"/>
                <w:sz w:val="24"/>
              </w:rPr>
              <w:t>规划环境影响</w:t>
            </w:r>
          </w:p>
          <w:p w14:paraId="53700D63">
            <w:pPr>
              <w:pStyle w:val="35"/>
              <w:jc w:val="center"/>
              <w:rPr>
                <w:rFonts w:eastAsiaTheme="minorEastAsia"/>
                <w:color w:val="auto"/>
                <w:kern w:val="0"/>
                <w:sz w:val="24"/>
              </w:rPr>
            </w:pPr>
            <w:r>
              <w:rPr>
                <w:rFonts w:eastAsiaTheme="minorEastAsia"/>
                <w:color w:val="auto"/>
                <w:sz w:val="24"/>
              </w:rPr>
              <w:t>评价情况</w:t>
            </w:r>
          </w:p>
        </w:tc>
        <w:tc>
          <w:tcPr>
            <w:tcW w:w="6488" w:type="dxa"/>
            <w:gridSpan w:val="3"/>
            <w:vAlign w:val="center"/>
          </w:tcPr>
          <w:p w14:paraId="02DC0680">
            <w:pPr>
              <w:pStyle w:val="35"/>
              <w:jc w:val="center"/>
              <w:rPr>
                <w:rFonts w:eastAsiaTheme="minorEastAsia"/>
                <w:color w:val="auto"/>
                <w:kern w:val="0"/>
                <w:sz w:val="24"/>
              </w:rPr>
            </w:pPr>
            <w:r>
              <w:rPr>
                <w:rFonts w:eastAsiaTheme="minorEastAsia"/>
                <w:color w:val="auto"/>
                <w:kern w:val="0"/>
                <w:sz w:val="24"/>
              </w:rPr>
              <w:t>无</w:t>
            </w:r>
          </w:p>
        </w:tc>
      </w:tr>
      <w:tr w14:paraId="16E6BB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14:paraId="719089BB">
            <w:pPr>
              <w:pStyle w:val="35"/>
              <w:jc w:val="center"/>
              <w:rPr>
                <w:rFonts w:eastAsiaTheme="minorEastAsia"/>
                <w:color w:val="auto"/>
                <w:kern w:val="0"/>
                <w:sz w:val="24"/>
              </w:rPr>
            </w:pPr>
            <w:r>
              <w:rPr>
                <w:rFonts w:eastAsiaTheme="minorEastAsia"/>
                <w:color w:val="auto"/>
                <w:kern w:val="0"/>
                <w:sz w:val="24"/>
              </w:rPr>
              <w:t>规划及规划环境</w:t>
            </w:r>
          </w:p>
          <w:p w14:paraId="6C41BC7D">
            <w:pPr>
              <w:pStyle w:val="35"/>
              <w:jc w:val="center"/>
              <w:rPr>
                <w:rFonts w:eastAsiaTheme="minorEastAsia"/>
                <w:color w:val="auto"/>
                <w:kern w:val="0"/>
                <w:sz w:val="24"/>
              </w:rPr>
            </w:pPr>
            <w:r>
              <w:rPr>
                <w:rFonts w:eastAsiaTheme="minorEastAsia"/>
                <w:color w:val="auto"/>
                <w:kern w:val="0"/>
                <w:sz w:val="24"/>
              </w:rPr>
              <w:t>影响评价符合性分析</w:t>
            </w:r>
          </w:p>
        </w:tc>
        <w:tc>
          <w:tcPr>
            <w:tcW w:w="6488" w:type="dxa"/>
            <w:gridSpan w:val="3"/>
            <w:vAlign w:val="center"/>
          </w:tcPr>
          <w:p w14:paraId="232724AD">
            <w:pPr>
              <w:pStyle w:val="35"/>
              <w:jc w:val="center"/>
              <w:rPr>
                <w:rFonts w:eastAsiaTheme="minorEastAsia"/>
                <w:color w:val="auto"/>
                <w:kern w:val="0"/>
                <w:sz w:val="24"/>
              </w:rPr>
            </w:pPr>
            <w:r>
              <w:rPr>
                <w:rFonts w:eastAsiaTheme="minorEastAsia"/>
                <w:color w:val="auto"/>
                <w:kern w:val="0"/>
                <w:sz w:val="24"/>
              </w:rPr>
              <w:t>无</w:t>
            </w:r>
          </w:p>
        </w:tc>
      </w:tr>
    </w:tbl>
    <w:p w14:paraId="4BFB1069">
      <w:pPr>
        <w:ind w:firstLine="480"/>
        <w:rPr>
          <w:color w:val="auto"/>
        </w:rPr>
      </w:pPr>
      <w:r>
        <w:rPr>
          <w:color w:val="auto"/>
        </w:rPr>
        <w:br w:type="page"/>
      </w:r>
    </w:p>
    <w:tbl>
      <w:tblPr>
        <w:tblStyle w:val="22"/>
        <w:tblW w:w="99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463"/>
      </w:tblGrid>
      <w:tr w14:paraId="66A5CE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56" w:type="dxa"/>
            <w:vAlign w:val="center"/>
          </w:tcPr>
          <w:p w14:paraId="2FDFFA24">
            <w:pPr>
              <w:pStyle w:val="35"/>
              <w:jc w:val="center"/>
              <w:rPr>
                <w:color w:val="auto"/>
                <w:sz w:val="24"/>
                <w:u w:val="none" w:color="auto"/>
              </w:rPr>
            </w:pPr>
            <w:r>
              <w:rPr>
                <w:color w:val="auto"/>
                <w:sz w:val="24"/>
                <w:u w:val="none" w:color="auto"/>
              </w:rPr>
              <w:t>其他符合性分析</w:t>
            </w:r>
          </w:p>
        </w:tc>
        <w:tc>
          <w:tcPr>
            <w:tcW w:w="9463" w:type="dxa"/>
            <w:vAlign w:val="center"/>
          </w:tcPr>
          <w:p w14:paraId="30452C4C">
            <w:pPr>
              <w:pStyle w:val="36"/>
              <w:keepNext w:val="0"/>
              <w:keepLines w:val="0"/>
              <w:pageBreakBefore w:val="0"/>
              <w:widowControl w:val="0"/>
              <w:numPr>
                <w:ilvl w:val="0"/>
                <w:numId w:val="2"/>
              </w:numPr>
              <w:kinsoku/>
              <w:wordWrap/>
              <w:overflowPunct/>
              <w:topLinePunct w:val="0"/>
              <w:autoSpaceDE/>
              <w:autoSpaceDN/>
              <w:bidi w:val="0"/>
              <w:adjustRightInd/>
              <w:snapToGrid/>
              <w:ind w:left="-2" w:leftChars="0" w:firstLine="482" w:firstLineChars="0"/>
              <w:textAlignment w:val="auto"/>
              <w:rPr>
                <w:color w:val="auto"/>
                <w:u w:val="none" w:color="auto"/>
              </w:rPr>
            </w:pPr>
            <w:r>
              <w:rPr>
                <w:rFonts w:hint="eastAsia"/>
                <w:color w:val="auto"/>
                <w:u w:val="none" w:color="auto"/>
                <w:lang w:val="en-US" w:eastAsia="zh-CN"/>
              </w:rPr>
              <w:t>与《南宁市人民政府关于“三线一单”生态环境分区管控的实施意见》（南府发〔2021〕8号）</w:t>
            </w:r>
            <w:r>
              <w:rPr>
                <w:color w:val="auto"/>
                <w:u w:val="none" w:color="auto"/>
              </w:rPr>
              <w:t>相符性分析</w:t>
            </w:r>
          </w:p>
          <w:p w14:paraId="46CE64CC">
            <w:pPr>
              <w:ind w:firstLine="480"/>
              <w:rPr>
                <w:color w:val="auto"/>
                <w:u w:val="none" w:color="auto"/>
              </w:rPr>
            </w:pPr>
            <w:r>
              <w:rPr>
                <w:rFonts w:hint="eastAsia"/>
                <w:color w:val="auto"/>
                <w:u w:val="none" w:color="auto"/>
              </w:rPr>
              <w:t>根据《南宁市人民政府关于“三线一单”生态环境分区管控的实施意见》（南府发〔2021〕8 号）：全市共划定环境管控单元154 个；分为</w:t>
            </w:r>
            <w:r>
              <w:rPr>
                <w:rFonts w:hint="eastAsia"/>
                <w:color w:val="auto"/>
                <w:highlight w:val="none"/>
                <w:u w:val="none" w:color="auto"/>
              </w:rPr>
              <w:t>优先保护单元、重点管控单元和一般管控单元三类，实施分类管控。</w:t>
            </w:r>
            <w:r>
              <w:rPr>
                <w:color w:val="auto"/>
                <w:highlight w:val="none"/>
                <w:u w:val="none" w:color="auto"/>
              </w:rPr>
              <w:t>全市共划定环境管控单元97个，分为优先保护单元、重点管控单元和一般管控单元三类，实施分类管控。</w:t>
            </w:r>
            <w:r>
              <w:rPr>
                <w:rFonts w:hint="eastAsia"/>
                <w:color w:val="auto"/>
                <w:highlight w:val="none"/>
                <w:u w:val="none" w:color="auto"/>
              </w:rPr>
              <w:t>本项目位于重点管控单元</w:t>
            </w:r>
            <w:r>
              <w:rPr>
                <w:rFonts w:hint="eastAsia"/>
                <w:color w:val="auto"/>
                <w:highlight w:val="none"/>
                <w:u w:val="none" w:color="auto"/>
                <w:lang w:val="en-US" w:eastAsia="zh-CN"/>
              </w:rPr>
              <w:t>内</w:t>
            </w:r>
            <w:r>
              <w:rPr>
                <w:rFonts w:hint="eastAsia"/>
                <w:color w:val="auto"/>
                <w:highlight w:val="none"/>
                <w:u w:val="none" w:color="auto"/>
              </w:rPr>
              <w:t>（</w:t>
            </w:r>
            <w:r>
              <w:rPr>
                <w:rFonts w:hint="eastAsia"/>
                <w:color w:val="auto"/>
                <w:highlight w:val="none"/>
                <w:u w:val="none" w:color="auto"/>
                <w:lang w:val="en-US" w:eastAsia="zh-CN"/>
              </w:rPr>
              <w:t>详</w:t>
            </w:r>
            <w:r>
              <w:rPr>
                <w:rFonts w:hint="eastAsia"/>
                <w:color w:val="auto"/>
                <w:highlight w:val="none"/>
                <w:u w:val="none" w:color="auto"/>
              </w:rPr>
              <w:t>见附图</w:t>
            </w:r>
            <w:r>
              <w:rPr>
                <w:rFonts w:hint="eastAsia"/>
                <w:color w:val="auto"/>
                <w:highlight w:val="none"/>
                <w:u w:val="none" w:color="auto"/>
                <w:lang w:val="en-US" w:eastAsia="zh-CN"/>
              </w:rPr>
              <w:t>6</w:t>
            </w:r>
            <w:r>
              <w:rPr>
                <w:rFonts w:hint="eastAsia"/>
                <w:color w:val="auto"/>
                <w:highlight w:val="none"/>
                <w:u w:val="none" w:color="auto"/>
              </w:rPr>
              <w:t>）</w:t>
            </w:r>
            <w:r>
              <w:rPr>
                <w:rFonts w:hint="eastAsia"/>
                <w:color w:val="auto"/>
                <w:highlight w:val="none"/>
                <w:u w:val="none" w:color="auto"/>
                <w:lang w:eastAsia="zh-CN"/>
              </w:rPr>
              <w:t>，</w:t>
            </w:r>
            <w:r>
              <w:rPr>
                <w:rFonts w:hint="eastAsia"/>
                <w:color w:val="auto"/>
                <w:highlight w:val="none"/>
                <w:u w:val="none" w:color="auto"/>
              </w:rPr>
              <w:t>在重点管控单元内，根据单元内生态环境质量目标和资源环境管控要求，结合经济社会发展水平，按照差别化的生态环境准入要求，优化空间和产业布局，加强污染物排放控制和环境风险防控，不断提升资源开发利用效率，解决局部生态环境质量不达</w:t>
            </w:r>
            <w:r>
              <w:rPr>
                <w:rFonts w:hint="eastAsia"/>
                <w:color w:val="auto"/>
                <w:u w:val="none" w:color="auto"/>
              </w:rPr>
              <w:t>标、生态环境风险高的问题。</w:t>
            </w:r>
          </w:p>
          <w:p w14:paraId="1E14178B">
            <w:pPr>
              <w:ind w:firstLine="480"/>
              <w:rPr>
                <w:rFonts w:hint="eastAsia"/>
                <w:color w:val="auto"/>
                <w:u w:val="none" w:color="auto"/>
                <w:lang w:eastAsia="zh-CN"/>
              </w:rPr>
            </w:pPr>
            <w:r>
              <w:rPr>
                <w:color w:val="auto"/>
                <w:u w:val="none" w:color="auto"/>
              </w:rPr>
              <w:t>根据《</w:t>
            </w:r>
            <w:r>
              <w:rPr>
                <w:rFonts w:hint="eastAsia"/>
                <w:color w:val="auto"/>
                <w:u w:val="none" w:color="auto"/>
                <w:lang w:eastAsia="zh-CN"/>
              </w:rPr>
              <w:t>南宁市人民政府关于“三线一单”生态环境分区管控的实施意见</w:t>
            </w:r>
            <w:r>
              <w:rPr>
                <w:color w:val="auto"/>
                <w:u w:val="none" w:color="auto"/>
              </w:rPr>
              <w:t>》</w:t>
            </w:r>
            <w:r>
              <w:rPr>
                <w:rFonts w:hint="eastAsia"/>
                <w:color w:val="auto"/>
                <w:u w:val="none" w:color="auto"/>
                <w:lang w:eastAsia="zh-CN"/>
              </w:rPr>
              <w:t>（南府发〔2021〕8号）</w:t>
            </w:r>
            <w:r>
              <w:rPr>
                <w:color w:val="auto"/>
                <w:u w:val="none" w:color="auto"/>
              </w:rPr>
              <w:t>，生态环境准入及管控要求相符性分析见表1</w:t>
            </w:r>
            <w:r>
              <w:rPr>
                <w:rFonts w:hint="eastAsia"/>
                <w:color w:val="auto"/>
                <w:u w:val="none" w:color="auto"/>
                <w:lang w:eastAsia="zh-CN"/>
              </w:rPr>
              <w:t>。</w:t>
            </w:r>
          </w:p>
          <w:p w14:paraId="66E232D5">
            <w:pPr>
              <w:pStyle w:val="10"/>
              <w:numPr>
                <w:ilvl w:val="0"/>
                <w:numId w:val="3"/>
              </w:numPr>
              <w:ind w:left="0" w:firstLine="0" w:firstLineChars="0"/>
              <w:jc w:val="center"/>
              <w:rPr>
                <w:color w:val="auto"/>
                <w:u w:val="none" w:color="auto"/>
              </w:rPr>
            </w:pPr>
            <w:r>
              <w:rPr>
                <w:color w:val="auto"/>
                <w:u w:val="none" w:color="auto"/>
              </w:rPr>
              <w:t>项目与</w:t>
            </w:r>
            <w:r>
              <w:rPr>
                <w:rFonts w:hint="eastAsia"/>
                <w:color w:val="auto"/>
                <w:u w:val="none" w:color="auto"/>
                <w:lang w:eastAsia="zh-CN"/>
              </w:rPr>
              <w:t>南宁市</w:t>
            </w:r>
            <w:r>
              <w:rPr>
                <w:color w:val="auto"/>
                <w:u w:val="none" w:color="auto"/>
              </w:rPr>
              <w:t>生态环境准入及管控要求清单符合性分析</w:t>
            </w:r>
          </w:p>
          <w:tbl>
            <w:tblPr>
              <w:tblStyle w:val="22"/>
              <w:tblW w:w="91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2"/>
              <w:gridCol w:w="4694"/>
              <w:gridCol w:w="3040"/>
              <w:gridCol w:w="724"/>
            </w:tblGrid>
            <w:tr w14:paraId="2C94C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94E3">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color w:val="auto"/>
                      <w:sz w:val="21"/>
                      <w:szCs w:val="21"/>
                      <w:u w:val="none" w:color="auto"/>
                    </w:rPr>
                  </w:pPr>
                  <w:r>
                    <w:rPr>
                      <w:rFonts w:hint="eastAsia"/>
                      <w:color w:val="auto"/>
                      <w:sz w:val="21"/>
                      <w:szCs w:val="21"/>
                      <w:u w:val="none" w:color="auto"/>
                      <w:lang w:val="en-US" w:eastAsia="zh-CN"/>
                    </w:rPr>
                    <w:t>管控类别</w:t>
                  </w: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A80A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color w:val="auto"/>
                      <w:sz w:val="21"/>
                      <w:szCs w:val="21"/>
                      <w:u w:val="none" w:color="auto"/>
                    </w:rPr>
                  </w:pPr>
                  <w:r>
                    <w:rPr>
                      <w:rFonts w:hint="eastAsia"/>
                      <w:color w:val="auto"/>
                      <w:sz w:val="21"/>
                      <w:szCs w:val="21"/>
                      <w:u w:val="none" w:color="auto"/>
                      <w:lang w:val="en-US" w:eastAsia="zh-CN"/>
                    </w:rPr>
                    <w:t>生态环境准入及管控要求</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B862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本项目情况</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597F3">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是否相符</w:t>
                  </w:r>
                </w:p>
              </w:tc>
            </w:tr>
            <w:tr w14:paraId="33EFE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2EE830">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color w:val="auto"/>
                      <w:sz w:val="21"/>
                      <w:szCs w:val="21"/>
                      <w:u w:val="none" w:color="auto"/>
                    </w:rPr>
                  </w:pPr>
                  <w:r>
                    <w:rPr>
                      <w:rFonts w:hint="eastAsia"/>
                      <w:color w:val="auto"/>
                      <w:sz w:val="21"/>
                      <w:szCs w:val="21"/>
                      <w:u w:val="none" w:color="auto"/>
                      <w:lang w:val="en-US" w:eastAsia="zh-CN"/>
                    </w:rPr>
                    <w:t>空间布局约束</w:t>
                  </w: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9DCD">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1</w:t>
                  </w:r>
                  <w:r>
                    <w:rPr>
                      <w:color w:val="auto"/>
                      <w:sz w:val="21"/>
                      <w:szCs w:val="21"/>
                      <w:u w:val="none" w:color="auto"/>
                      <w:lang w:val="en-US" w:eastAsia="zh-CN"/>
                    </w:rPr>
                    <w:t>．统筹生产空间、生活空间和生态空间三大布局，严格生态保护红线、永久基本农田、城镇开发边界三条控制线管控。</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D1B1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项目符合生态保护红线、永久基本农田、城镇开发边界三条控制线管控。</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5D633">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3A9EA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E0CDF">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6007E">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2</w:t>
                  </w:r>
                  <w:r>
                    <w:rPr>
                      <w:color w:val="auto"/>
                      <w:sz w:val="21"/>
                      <w:szCs w:val="21"/>
                      <w:u w:val="none" w:color="auto"/>
                      <w:lang w:val="en-US" w:eastAsia="zh-CN"/>
                    </w:rPr>
                    <w:t>．自然保护区、饮用水水源保护区、森林公园、湿地公园、石漠公园、风景名胜区、公益林、天然林等具有法律地位、有管理条例、规定、办法等的各类保护地，其管控要求原则上按照各类保护地的现行规定进行管理，重叠区域以最严格的要求进行管理。</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F6717">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项目不涉及自然保护区、饮用水水源保护区、森林公园、湿地公园、石漠公园、风景名胜区、公益林、天然林等具有法律地位、有管理条例、规定、办法等的各类保护地。</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99710">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13894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E54558">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C44B3">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3</w:t>
                  </w:r>
                  <w:r>
                    <w:rPr>
                      <w:color w:val="auto"/>
                      <w:sz w:val="21"/>
                      <w:szCs w:val="21"/>
                      <w:u w:val="none" w:color="auto"/>
                      <w:lang w:val="en-US" w:eastAsia="zh-CN"/>
                    </w:rPr>
                    <w:t>．大明山执行《南宁市大明山保护管理条例》相关要求。</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5DB1B">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项目不涉及大明山。</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59E9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2EAA0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D50F0">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E3730">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4</w:t>
                  </w:r>
                  <w:r>
                    <w:rPr>
                      <w:color w:val="auto"/>
                      <w:sz w:val="21"/>
                      <w:szCs w:val="21"/>
                      <w:u w:val="none" w:color="auto"/>
                      <w:lang w:val="en-US" w:eastAsia="zh-CN"/>
                    </w:rPr>
                    <w:t>．南宁青秀山执行《广西壮族自治区南宁青秀山保护</w:t>
                  </w:r>
                  <w:r>
                    <w:rPr>
                      <w:rFonts w:hint="eastAsia"/>
                      <w:color w:val="auto"/>
                      <w:sz w:val="21"/>
                      <w:szCs w:val="21"/>
                      <w:u w:val="none" w:color="auto"/>
                      <w:lang w:val="en-US" w:eastAsia="zh-CN"/>
                    </w:rPr>
                    <w:t>条例》</w:t>
                  </w:r>
                  <w:r>
                    <w:rPr>
                      <w:color w:val="auto"/>
                      <w:sz w:val="21"/>
                      <w:szCs w:val="21"/>
                      <w:u w:val="none" w:color="auto"/>
                      <w:lang w:val="en-US" w:eastAsia="zh-CN"/>
                    </w:rPr>
                    <w:t>《风景名胜区管理条例》相关要求。</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899A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项目不涉及青秀山风景区。</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97B0C">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3E4A7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BF737">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EB209">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5</w:t>
                  </w:r>
                  <w:r>
                    <w:rPr>
                      <w:color w:val="auto"/>
                      <w:sz w:val="21"/>
                      <w:szCs w:val="21"/>
                      <w:u w:val="none" w:color="auto"/>
                      <w:lang w:val="en-US" w:eastAsia="zh-CN"/>
                    </w:rPr>
                    <w:t>．上林县、马山县分别执行《广西16个国家重点生态功能区县产业准入负面清单（试行）》中的《广西壮族自治区上林县国家重点生态功能区产业准入负面清单》《广西壮族自治区马山县国家重点生态功能区产业准入负面清单》。</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CCB8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项目用地不在上林、马山县。</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BE6AE">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75663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3F2B1">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ED0E4">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6</w:t>
                  </w:r>
                  <w:r>
                    <w:rPr>
                      <w:color w:val="auto"/>
                      <w:sz w:val="21"/>
                      <w:szCs w:val="21"/>
                      <w:u w:val="none" w:color="auto"/>
                      <w:lang w:val="en-US" w:eastAsia="zh-CN"/>
                    </w:rPr>
                    <w:t>．南宁市郁江流域依据《南宁市郁江流域水污染防治条例》进行管理。</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028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本项目的医院综合废水（食堂污水须经隔油池预处理、特殊废水经预处理）排入院区医疗废水处理站，经化粪池+格栅+混凝沉淀+A/O生物接触氧化+紫外线消毒处理达《医疗机构水污染物排放标准》（GB18466-2005）综合医疗机构和其他医疗机构水污染物预处理标准进入南宁市江南污水处理厂处理。</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DAD8B">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157F5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C0CDF">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FD326">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7</w:t>
                  </w:r>
                  <w:r>
                    <w:rPr>
                      <w:color w:val="auto"/>
                      <w:sz w:val="21"/>
                      <w:szCs w:val="21"/>
                      <w:u w:val="none" w:color="auto"/>
                      <w:lang w:val="en-US" w:eastAsia="zh-CN"/>
                    </w:rPr>
                    <w:t>．全市范围严格执行《南宁市人民政府关于重新划定畜禽养殖禁养区和限养区的通告》，禁养区内禁止建设畜禽养殖场、养殖小区；限养区逐步控制和削减食用畜禽饲养总量，特别是不得新建、扩建畜禽养殖场、养殖小区。</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255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项目不涉及。</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B318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44C89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E2B3F">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6C4C6">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8</w:t>
                  </w:r>
                  <w:r>
                    <w:rPr>
                      <w:color w:val="auto"/>
                      <w:sz w:val="21"/>
                      <w:szCs w:val="21"/>
                      <w:u w:val="none" w:color="auto"/>
                      <w:lang w:val="en-US" w:eastAsia="zh-CN"/>
                    </w:rPr>
                    <w:t>．鼓励和引导新建工业项目进驻工业园区。新建企业应符合批准实施的“十四五”规划纲要和相关专项规划。</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76B1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项目不涉及。</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402C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52034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873E7">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6A10">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9</w:t>
                  </w:r>
                  <w:r>
                    <w:rPr>
                      <w:color w:val="auto"/>
                      <w:sz w:val="21"/>
                      <w:szCs w:val="21"/>
                      <w:u w:val="none" w:color="auto"/>
                      <w:lang w:val="en-US" w:eastAsia="zh-CN"/>
                    </w:rPr>
                    <w:t>．严控高耗能、高排放项目准入和新增产能规模。</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513EF">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项目不涉及。</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E35B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46E92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5FB5C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color w:val="auto"/>
                      <w:sz w:val="21"/>
                      <w:szCs w:val="21"/>
                      <w:u w:val="none" w:color="auto"/>
                    </w:rPr>
                  </w:pPr>
                  <w:r>
                    <w:rPr>
                      <w:rFonts w:hint="eastAsia"/>
                      <w:color w:val="auto"/>
                      <w:sz w:val="21"/>
                      <w:szCs w:val="21"/>
                      <w:u w:val="none" w:color="auto"/>
                      <w:lang w:val="en-US" w:eastAsia="zh-CN"/>
                    </w:rPr>
                    <w:t>污染物排放管控</w:t>
                  </w: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5CADE">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1</w:t>
                  </w:r>
                  <w:r>
                    <w:rPr>
                      <w:color w:val="auto"/>
                      <w:sz w:val="21"/>
                      <w:szCs w:val="21"/>
                      <w:u w:val="none" w:color="auto"/>
                      <w:lang w:val="en-US" w:eastAsia="zh-CN"/>
                    </w:rPr>
                    <w:t>．新建“两高”项目应按照《关于加强重点行业建设项目区域削减措施监督管理的通知》要求，依据区域环境质量改善目标，制定配套区域污染物削减方案，采取有效的污染物区域削减措施，腾出足够的环境容量。</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14C1D">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项目不涉及。</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FF39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50D9F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77C5D">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27784">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2</w:t>
                  </w:r>
                  <w:r>
                    <w:rPr>
                      <w:color w:val="auto"/>
                      <w:sz w:val="21"/>
                      <w:szCs w:val="21"/>
                      <w:u w:val="none" w:color="auto"/>
                      <w:lang w:val="en-US" w:eastAsia="zh-CN"/>
                    </w:rPr>
                    <w:t>．新（改、扩）建制浆造纸、煤化工、石化、有色金属冶炼、钢铁、煤电等建设项目新增化学需氧量、氨氮、二氧化硫和氮氧化物等主要污染物排放应控制在区域总量的要求，确保环境质量达标。</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6CDF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项目不涉及。</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A828E">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3230A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DDA6D">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438D6">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3</w:t>
                  </w:r>
                  <w:r>
                    <w:rPr>
                      <w:color w:val="auto"/>
                      <w:sz w:val="21"/>
                      <w:szCs w:val="21"/>
                      <w:u w:val="none" w:color="auto"/>
                      <w:lang w:val="en-US" w:eastAsia="zh-CN"/>
                    </w:rPr>
                    <w:t>．加强挥发性有机物（VOCs）全过程综合治理。动态更新化工、制药、工业涂装、包装印刷、人造板、农药、塑料制品等重点行业企业VOCs排放清单，建立全市VOCs重点行业基础数据库，落实重点监管企业“一企一策”。</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E85F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项目不涉及。</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43A9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5A323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77B48">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1F77F">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4</w:t>
                  </w:r>
                  <w:r>
                    <w:rPr>
                      <w:color w:val="auto"/>
                      <w:sz w:val="21"/>
                      <w:szCs w:val="21"/>
                      <w:u w:val="none" w:color="auto"/>
                      <w:lang w:val="en-US" w:eastAsia="zh-CN"/>
                    </w:rPr>
                    <w:t>．加强工业废水末端排放管理，开展化工、医药等行业专项治理，强化农副食品加工、造纸、纺织、医药制造、食品制造、啤酒制造等重点行业企业水污染排放监管，重点推进淀粉、制糖、肉类及水产品加工企业清洁化改造，深入推进各类工业污染源稳定达标排放。</w:t>
                  </w:r>
                </w:p>
              </w:tc>
              <w:tc>
                <w:tcPr>
                  <w:tcW w:w="3040" w:type="dxa"/>
                  <w:vMerge w:val="restart"/>
                  <w:tcBorders>
                    <w:top w:val="single" w:color="000000" w:sz="4" w:space="0"/>
                    <w:left w:val="single" w:color="000000" w:sz="4" w:space="0"/>
                    <w:right w:val="single" w:color="000000" w:sz="4" w:space="0"/>
                  </w:tcBorders>
                  <w:shd w:val="clear" w:color="auto" w:fill="auto"/>
                  <w:vAlign w:val="center"/>
                </w:tcPr>
                <w:p w14:paraId="3EBC7930">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本项目的医院综合废水（食堂污水须经隔油池预处理、特殊废水经预处理）排入院区医疗废水处理站，经化粪池+格栅+混凝沉淀+A/O生物接触氧化+紫外线消毒处理达《医疗机构水污染物排放标准》（GB18466-2005）综合医疗机构和其他医疗机构水污染物预处理标准后进入南宁市江南污水处理厂处理。项目的建设符合相关要求。</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7BDC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1C298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F5E6F">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ACB6">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5</w:t>
                  </w:r>
                  <w:r>
                    <w:rPr>
                      <w:color w:val="auto"/>
                      <w:sz w:val="21"/>
                      <w:szCs w:val="21"/>
                      <w:u w:val="none" w:color="auto"/>
                      <w:lang w:val="en-US" w:eastAsia="zh-CN"/>
                    </w:rPr>
                    <w:t>．完善各工业集聚区污水治理设施配套管网，提升污水收集效能；实施工业集聚区污水治理设施分类管理，推进企业废水分类收集、分质处理，加强污水集中处理设施监管，提高达标排放水平。</w:t>
                  </w:r>
                </w:p>
              </w:tc>
              <w:tc>
                <w:tcPr>
                  <w:tcW w:w="3040" w:type="dxa"/>
                  <w:vMerge w:val="continue"/>
                  <w:tcBorders>
                    <w:left w:val="single" w:color="000000" w:sz="4" w:space="0"/>
                    <w:bottom w:val="single" w:color="000000" w:sz="4" w:space="0"/>
                    <w:right w:val="single" w:color="000000" w:sz="4" w:space="0"/>
                  </w:tcBorders>
                  <w:shd w:val="clear" w:color="auto" w:fill="auto"/>
                  <w:vAlign w:val="center"/>
                </w:tcPr>
                <w:p w14:paraId="6796338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E32C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0F54F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A3721">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5FCCA">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6</w:t>
                  </w:r>
                  <w:r>
                    <w:rPr>
                      <w:color w:val="auto"/>
                      <w:sz w:val="21"/>
                      <w:szCs w:val="21"/>
                      <w:u w:val="none" w:color="auto"/>
                      <w:lang w:val="en-US" w:eastAsia="zh-CN"/>
                    </w:rPr>
                    <w:t>．新、改扩建涉及重点重金属排放建设项目依照相关规定实行总量控制。</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C2AB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项目不涉及。</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EDA6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49477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2BF64">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5EAF5">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7</w:t>
                  </w:r>
                  <w:r>
                    <w:rPr>
                      <w:color w:val="auto"/>
                      <w:sz w:val="21"/>
                      <w:szCs w:val="21"/>
                      <w:u w:val="none" w:color="auto"/>
                      <w:lang w:val="en-US" w:eastAsia="zh-CN"/>
                    </w:rPr>
                    <w:t>．鼓励工业企业采用清洁原料，节能降耗，从源头减少固废产生量。发展循环经济，促进固废的再利用和资源化，提高工业固废的综合利用率。鼓励企业清洁生产，减少危险废物的产生，积极推行危险废物回收利用，做到源头减量化、资源化。</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C49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项目产生固体废物较少，且得到妥善处置。</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78B3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5DFD1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078E2">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E62B9">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8</w:t>
                  </w:r>
                  <w:r>
                    <w:rPr>
                      <w:color w:val="auto"/>
                      <w:sz w:val="21"/>
                      <w:szCs w:val="21"/>
                      <w:u w:val="none" w:color="auto"/>
                      <w:lang w:val="en-US" w:eastAsia="zh-CN"/>
                    </w:rPr>
                    <w:t>．对城市建成区黑臭水体整治进行查漏补缺，统筹“黑、涝”共治，推动黑臭水体治理常态长效，防止“返黑返臭”。开展县城黑臭水体排查摸底，有序推进县城黑臭水体整治。</w:t>
                  </w:r>
                </w:p>
              </w:tc>
              <w:tc>
                <w:tcPr>
                  <w:tcW w:w="3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B71D0E">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本项目的医院综合废水（食堂污水须经隔油池预处理、特殊废水经预处理）排入院区医疗废水处理站，经化粪池+格栅+混凝沉淀+A/O生物接触氧化+紫外线消毒处理达</w:t>
                  </w:r>
                  <w:r>
                    <w:rPr>
                      <w:rFonts w:ascii="Times New Roman" w:hAnsi="宋体"/>
                      <w:strike w:val="0"/>
                      <w:dstrike w:val="0"/>
                      <w:color w:val="auto"/>
                      <w:sz w:val="21"/>
                      <w:szCs w:val="21"/>
                      <w:u w:val="none" w:color="auto"/>
                    </w:rPr>
                    <w:t>《医疗机构水污染物排放标准》（</w:t>
                  </w:r>
                  <w:r>
                    <w:rPr>
                      <w:rFonts w:ascii="Times New Roman" w:hAnsi="Times New Roman"/>
                      <w:strike w:val="0"/>
                      <w:dstrike w:val="0"/>
                      <w:color w:val="auto"/>
                      <w:sz w:val="21"/>
                      <w:szCs w:val="21"/>
                      <w:u w:val="none" w:color="auto"/>
                    </w:rPr>
                    <w:t>GB18466-2005</w:t>
                  </w:r>
                  <w:r>
                    <w:rPr>
                      <w:rFonts w:ascii="Times New Roman" w:hAnsi="宋体"/>
                      <w:strike w:val="0"/>
                      <w:dstrike w:val="0"/>
                      <w:color w:val="auto"/>
                      <w:sz w:val="21"/>
                      <w:szCs w:val="21"/>
                      <w:u w:val="none" w:color="auto"/>
                    </w:rPr>
                    <w:t>）</w:t>
                  </w:r>
                  <w:r>
                    <w:rPr>
                      <w:rFonts w:ascii="Times New Roman" w:hAnsi="宋体"/>
                      <w:strike w:val="0"/>
                      <w:dstrike w:val="0"/>
                      <w:color w:val="auto"/>
                      <w:sz w:val="21"/>
                      <w:szCs w:val="21"/>
                      <w:u w:val="none" w:color="auto"/>
                      <w:lang w:val="zh-CN"/>
                    </w:rPr>
                    <w:t>综合医疗机构和其他医疗机构水污染物</w:t>
                  </w:r>
                  <w:r>
                    <w:rPr>
                      <w:rFonts w:hint="eastAsia" w:ascii="Times New Roman" w:hAnsi="宋体"/>
                      <w:strike w:val="0"/>
                      <w:dstrike w:val="0"/>
                      <w:color w:val="auto"/>
                      <w:sz w:val="21"/>
                      <w:szCs w:val="21"/>
                      <w:u w:val="none" w:color="auto"/>
                      <w:lang w:val="zh-CN"/>
                    </w:rPr>
                    <w:t>预处理</w:t>
                  </w:r>
                  <w:r>
                    <w:rPr>
                      <w:rFonts w:hint="eastAsia" w:hAnsi="宋体"/>
                      <w:strike w:val="0"/>
                      <w:dstrike w:val="0"/>
                      <w:color w:val="auto"/>
                      <w:sz w:val="21"/>
                      <w:szCs w:val="21"/>
                      <w:u w:val="none" w:color="auto"/>
                      <w:lang w:val="en-US" w:eastAsia="zh-CN"/>
                    </w:rPr>
                    <w:t>及江南污水处理站纳管标准从严值</w:t>
                  </w:r>
                  <w:r>
                    <w:rPr>
                      <w:rFonts w:hint="default" w:ascii="Times New Roman" w:hAnsi="Times New Roman" w:eastAsia="宋体" w:cs="Times New Roman"/>
                      <w:color w:val="auto"/>
                      <w:sz w:val="21"/>
                      <w:szCs w:val="21"/>
                      <w:highlight w:val="none"/>
                      <w:u w:val="none" w:color="auto"/>
                      <w:lang w:val="en-US" w:eastAsia="zh-CN"/>
                    </w:rPr>
                    <w:t>，排入市政污水管网，最后进入南宁市江南污水处理厂进一步处理。</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0B0D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42788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754F75">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98D63">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9</w:t>
                  </w:r>
                  <w:r>
                    <w:rPr>
                      <w:color w:val="auto"/>
                      <w:sz w:val="21"/>
                      <w:szCs w:val="21"/>
                      <w:u w:val="none" w:color="auto"/>
                      <w:lang w:val="en-US" w:eastAsia="zh-CN"/>
                    </w:rPr>
                    <w:t>．规范整治入河、入湖排污口，对各类纳污坑塘和内河进行专项整治；深入推进邕江综合治理，持续深化郁江、武鸣河等流域水环境综合治理，推进良庆河、楞塘冲、马巢河、八尺江等重点河湖全流域系统治理。</w:t>
                  </w:r>
                </w:p>
              </w:tc>
              <w:tc>
                <w:tcPr>
                  <w:tcW w:w="3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174E7">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color w:val="auto"/>
                      <w:sz w:val="21"/>
                      <w:szCs w:val="21"/>
                      <w:u w:val="none" w:color="auto"/>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1AD13">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6CD45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8B47A">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13CA6">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10</w:t>
                  </w:r>
                  <w:r>
                    <w:rPr>
                      <w:color w:val="auto"/>
                      <w:sz w:val="21"/>
                      <w:szCs w:val="21"/>
                      <w:u w:val="none" w:color="auto"/>
                      <w:lang w:val="en-US" w:eastAsia="zh-CN"/>
                    </w:rPr>
                    <w:t>．全面提升城镇污染治理效能。加快推进城镇污水处理提质增效，优化城镇污水处理厂布局，新改扩建一批城市污水处理厂，稳步推进城镇污水管网全覆盖，到2025年城镇生活污水集中收集率达到60%；加快农村生活污水处理设施建设，提升农村污水处理率。</w:t>
                  </w:r>
                </w:p>
              </w:tc>
              <w:tc>
                <w:tcPr>
                  <w:tcW w:w="3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E67E4">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color w:val="auto"/>
                      <w:sz w:val="21"/>
                      <w:szCs w:val="21"/>
                      <w:u w:val="none" w:color="auto"/>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9EE77">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6B007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A85D6">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9E27A">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11</w:t>
                  </w:r>
                  <w:r>
                    <w:rPr>
                      <w:color w:val="auto"/>
                      <w:sz w:val="21"/>
                      <w:szCs w:val="21"/>
                      <w:u w:val="none" w:color="auto"/>
                      <w:lang w:val="en-US" w:eastAsia="zh-CN"/>
                    </w:rPr>
                    <w:t>．加强港口、码头、装卸站、船舶污染防治，加快港口和船舶污染物接收、转运、处置设施建设，强化右江、郁江等通航水域船舶污染控制。</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3879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项目不涉及。</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C12F7">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6FC28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6D9A4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color w:val="auto"/>
                      <w:sz w:val="21"/>
                      <w:szCs w:val="21"/>
                      <w:u w:val="none" w:color="auto"/>
                    </w:rPr>
                  </w:pPr>
                  <w:r>
                    <w:rPr>
                      <w:rFonts w:hint="eastAsia"/>
                      <w:color w:val="auto"/>
                      <w:sz w:val="21"/>
                      <w:szCs w:val="21"/>
                      <w:u w:val="none" w:color="auto"/>
                      <w:lang w:val="en-US" w:eastAsia="zh-CN"/>
                    </w:rPr>
                    <w:t>环境风险防控</w:t>
                  </w: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C196C">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1</w:t>
                  </w:r>
                  <w:r>
                    <w:rPr>
                      <w:color w:val="auto"/>
                      <w:sz w:val="21"/>
                      <w:szCs w:val="21"/>
                      <w:u w:val="none" w:color="auto"/>
                      <w:lang w:val="en-US" w:eastAsia="zh-CN"/>
                    </w:rPr>
                    <w:t>．强化环境风险源精准化管理，落实企业突发环境事件风险评估制度，动态更新重点环境风险源管理目录清单，建立信息齐全、数据准确的风险源及敏感保护目标的数据库，准确掌握重点环境风险源分布情况，重点加强较大及以上风险等级风险源的环境风险防范和应急预警管理。</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31F7C">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项目拟落实企业突发环境事件风险评估制度，动态更新重点环境风险源管理目录清单，建立信息齐全、数据准确的风险源及敏感保护目标的数据库。</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652CB">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3592C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3BACE">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248BB">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2</w:t>
                  </w:r>
                  <w:r>
                    <w:rPr>
                      <w:color w:val="auto"/>
                      <w:sz w:val="21"/>
                      <w:szCs w:val="21"/>
                      <w:u w:val="none" w:color="auto"/>
                      <w:lang w:val="en-US" w:eastAsia="zh-CN"/>
                    </w:rPr>
                    <w:t>．选择涉重涉危企业、化工园区、集中式饮用水水源地等重要区域逐步开展突发环境事件风险、环境健康风险评估，实施分类分级风险管控。</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949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项目拟开展突发环境事件风险、环境健康风险评估，实施分类分级风险管控。</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5DE4B">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61BFE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221E8">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0CA69">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3</w:t>
                  </w:r>
                  <w:r>
                    <w:rPr>
                      <w:color w:val="auto"/>
                      <w:sz w:val="21"/>
                      <w:szCs w:val="21"/>
                      <w:u w:val="none" w:color="auto"/>
                      <w:lang w:val="en-US" w:eastAsia="zh-CN"/>
                    </w:rPr>
                    <w:t>．开展县级及以上饮用水水源地环境安全评估，逐步开展乡镇及农村集中式饮用水水源地环境状况评估。强化饮用水水源地环境风险排查，加强环境风险源管理，建立健全饮用水水源地应急预案。</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28BA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项目不涉及。</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788C9">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28630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ADD5C">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3A299">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4</w:t>
                  </w:r>
                  <w:r>
                    <w:rPr>
                      <w:color w:val="auto"/>
                      <w:sz w:val="21"/>
                      <w:szCs w:val="21"/>
                      <w:u w:val="none" w:color="auto"/>
                      <w:lang w:val="en-US" w:eastAsia="zh-CN"/>
                    </w:rPr>
                    <w:t>．完善流域上下游水污染联防联治，重点加强左右江、邕江、郁江、红水河、清水河等流域生态环境联防联控联治，与百色、河池、来宾、崇左等周边市共同完善流域环境安全隐患联合排查、处置机制，推进水环境预警预报体系建设。建立健全突发性环境污染事件应急联动机制，有效防范跨境突发污染事故风险。</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06B2B">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本项目的医院综合废水（食堂污水须经隔油池预处理、特殊废水经预处理）排入院区医疗废水处理站，经化粪池+格栅+混凝沉淀+A/O生物接触氧化+紫外线消毒处理达</w:t>
                  </w:r>
                  <w:r>
                    <w:rPr>
                      <w:rFonts w:ascii="Times New Roman" w:hAnsi="宋体"/>
                      <w:strike w:val="0"/>
                      <w:dstrike w:val="0"/>
                      <w:color w:val="auto"/>
                      <w:sz w:val="21"/>
                      <w:szCs w:val="21"/>
                      <w:u w:val="none" w:color="auto"/>
                    </w:rPr>
                    <w:t>《医疗机构水污染物排放标准》（</w:t>
                  </w:r>
                  <w:r>
                    <w:rPr>
                      <w:rFonts w:ascii="Times New Roman" w:hAnsi="Times New Roman"/>
                      <w:strike w:val="0"/>
                      <w:dstrike w:val="0"/>
                      <w:color w:val="auto"/>
                      <w:sz w:val="21"/>
                      <w:szCs w:val="21"/>
                      <w:u w:val="none" w:color="auto"/>
                    </w:rPr>
                    <w:t>GB18466-2005</w:t>
                  </w:r>
                  <w:r>
                    <w:rPr>
                      <w:rFonts w:ascii="Times New Roman" w:hAnsi="宋体"/>
                      <w:strike w:val="0"/>
                      <w:dstrike w:val="0"/>
                      <w:color w:val="auto"/>
                      <w:sz w:val="21"/>
                      <w:szCs w:val="21"/>
                      <w:u w:val="none" w:color="auto"/>
                    </w:rPr>
                    <w:t>）</w:t>
                  </w:r>
                  <w:r>
                    <w:rPr>
                      <w:rFonts w:ascii="Times New Roman" w:hAnsi="宋体"/>
                      <w:strike w:val="0"/>
                      <w:dstrike w:val="0"/>
                      <w:color w:val="auto"/>
                      <w:sz w:val="21"/>
                      <w:szCs w:val="21"/>
                      <w:u w:val="none" w:color="auto"/>
                      <w:lang w:val="zh-CN"/>
                    </w:rPr>
                    <w:t>综合医疗机构和其他医疗机构水污染物</w:t>
                  </w:r>
                  <w:r>
                    <w:rPr>
                      <w:rFonts w:hint="eastAsia" w:ascii="Times New Roman" w:hAnsi="宋体"/>
                      <w:strike w:val="0"/>
                      <w:dstrike w:val="0"/>
                      <w:color w:val="auto"/>
                      <w:sz w:val="21"/>
                      <w:szCs w:val="21"/>
                      <w:u w:val="none" w:color="auto"/>
                      <w:lang w:val="zh-CN"/>
                    </w:rPr>
                    <w:t>预处理</w:t>
                  </w:r>
                  <w:r>
                    <w:rPr>
                      <w:rFonts w:hint="eastAsia" w:hAnsi="宋体"/>
                      <w:strike w:val="0"/>
                      <w:dstrike w:val="0"/>
                      <w:color w:val="auto"/>
                      <w:sz w:val="21"/>
                      <w:szCs w:val="21"/>
                      <w:u w:val="none" w:color="auto"/>
                      <w:lang w:val="en-US" w:eastAsia="zh-CN"/>
                    </w:rPr>
                    <w:t>及江南污水处理站纳管标准从严值</w:t>
                  </w:r>
                  <w:r>
                    <w:rPr>
                      <w:rFonts w:hint="default" w:ascii="Times New Roman" w:hAnsi="Times New Roman" w:eastAsia="宋体" w:cs="Times New Roman"/>
                      <w:color w:val="auto"/>
                      <w:sz w:val="21"/>
                      <w:szCs w:val="21"/>
                      <w:highlight w:val="none"/>
                      <w:u w:val="none" w:color="auto"/>
                      <w:lang w:val="en-US" w:eastAsia="zh-CN"/>
                    </w:rPr>
                    <w:t>，</w:t>
                  </w:r>
                  <w:r>
                    <w:rPr>
                      <w:rFonts w:hint="eastAsia"/>
                      <w:color w:val="auto"/>
                      <w:sz w:val="21"/>
                      <w:szCs w:val="21"/>
                      <w:u w:val="none" w:color="auto"/>
                      <w:lang w:val="en-US" w:eastAsia="zh-CN"/>
                    </w:rPr>
                    <w:t>上述污、废水</w:t>
                  </w:r>
                  <w:r>
                    <w:rPr>
                      <w:rFonts w:hint="default" w:ascii="Times New Roman" w:hAnsi="Times New Roman" w:eastAsia="宋体" w:cs="Times New Roman"/>
                      <w:color w:val="auto"/>
                      <w:sz w:val="21"/>
                      <w:szCs w:val="21"/>
                      <w:highlight w:val="none"/>
                      <w:u w:val="none" w:color="auto"/>
                      <w:lang w:val="en-US" w:eastAsia="zh-CN"/>
                    </w:rPr>
                    <w:t>排入市政污水管网，最后进入南宁市江南污水处理厂进一步处理</w:t>
                  </w:r>
                  <w:r>
                    <w:rPr>
                      <w:rFonts w:hint="eastAsia"/>
                      <w:color w:val="auto"/>
                      <w:sz w:val="21"/>
                      <w:szCs w:val="21"/>
                      <w:u w:val="none" w:color="auto"/>
                      <w:lang w:val="en-US" w:eastAsia="zh-CN"/>
                    </w:rPr>
                    <w:t>，项目的建设符合相关要求。</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D7F9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07299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8DC02">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A7E94">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5</w:t>
                  </w:r>
                  <w:r>
                    <w:rPr>
                      <w:color w:val="auto"/>
                      <w:sz w:val="21"/>
                      <w:szCs w:val="21"/>
                      <w:u w:val="none" w:color="auto"/>
                      <w:lang w:val="en-US" w:eastAsia="zh-CN"/>
                    </w:rPr>
                    <w:t>．严格建设项目环境准入，永久基本农田集中区域禁止规划新建可能造成土壤污染的建设项目。健全土壤污染风险防控全过程环境监管机制，强化土壤污染专项整治，加强重点行业污染源监管，严格重金属污染防控。</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D478F">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项目不涉及。</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9B84D">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08BB2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DE906">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E5EFA">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6</w:t>
                  </w:r>
                  <w:r>
                    <w:rPr>
                      <w:color w:val="auto"/>
                      <w:sz w:val="21"/>
                      <w:szCs w:val="21"/>
                      <w:u w:val="none" w:color="auto"/>
                      <w:lang w:val="en-US" w:eastAsia="zh-CN"/>
                    </w:rPr>
                    <w:t>．提升固体废物减量化、资源化、无害化水平。加强工业固体废物管理、加强危险废物利用处置，建立危险废物清单，切实做好固体废物环境风险防范。</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014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项目建设医疗废物暂存间妥善存放医疗废物、危险废物暂存间妥善存放危险废物，并交由有相依危险废物处置资质的单位处理。项目医疗废物暂存间、危险废物暂存间做好相应的“三防”措施，项目的建设符合相关要求。</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E1E73">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76CD2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D7700">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13A7F">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7</w:t>
                  </w:r>
                  <w:r>
                    <w:rPr>
                      <w:color w:val="auto"/>
                      <w:sz w:val="21"/>
                      <w:szCs w:val="21"/>
                      <w:u w:val="none" w:color="auto"/>
                      <w:lang w:val="en-US" w:eastAsia="zh-CN"/>
                    </w:rPr>
                    <w:t>．结合“十四五”规划制定并实施生活垃圾处理设施新建、改扩建计划。推进城乡生活垃圾分类治理，强化渗滤液处理设施运营管理，防止渗滤液积存；加强农村生活垃圾收运、处理体系建设，降低农村垃圾焚烧污染。</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BF8C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本项目生活垃圾、中药渣、一次性卫生用品由环卫部门定期清运，医疗废物、危险废物委托有资质单位清运处置，</w:t>
                  </w:r>
                  <w:r>
                    <w:rPr>
                      <w:rFonts w:hint="eastAsia" w:cs="Times New Roman"/>
                      <w:color w:val="auto"/>
                      <w:sz w:val="21"/>
                      <w:szCs w:val="21"/>
                      <w:u w:val="none" w:color="auto"/>
                      <w:lang w:val="en-US" w:eastAsia="zh-CN"/>
                    </w:rPr>
                    <w:t>未被感染的一次性医疗用品、输液瓶（袋）交由具备合法资质、经营范围包含“未被污染的输液瓶（袋）等”条款的公司处置。</w:t>
                  </w:r>
                  <w:r>
                    <w:rPr>
                      <w:rFonts w:hint="eastAsia"/>
                      <w:color w:val="auto"/>
                      <w:sz w:val="21"/>
                      <w:szCs w:val="21"/>
                      <w:u w:val="none" w:color="auto"/>
                      <w:lang w:val="en-US" w:eastAsia="zh-CN"/>
                    </w:rPr>
                    <w:t>故项目的建设符合相关要求。</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0B35E">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3935A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8C6D3">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B9E97">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8</w:t>
                  </w:r>
                  <w:r>
                    <w:rPr>
                      <w:color w:val="auto"/>
                      <w:sz w:val="21"/>
                      <w:szCs w:val="21"/>
                      <w:u w:val="none" w:color="auto"/>
                      <w:lang w:val="en-US" w:eastAsia="zh-CN"/>
                    </w:rPr>
                    <w:t>．建立完善船舶污染应急能力建设，提高突发性船舶污染水环境风险防控和应急能力。</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BF6B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本项目不涉及。</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E73FF">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4EC7E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E51477">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color w:val="auto"/>
                      <w:sz w:val="21"/>
                      <w:szCs w:val="21"/>
                      <w:u w:val="none" w:color="auto"/>
                    </w:rPr>
                  </w:pPr>
                  <w:r>
                    <w:rPr>
                      <w:rFonts w:hint="eastAsia"/>
                      <w:color w:val="auto"/>
                      <w:sz w:val="21"/>
                      <w:szCs w:val="21"/>
                      <w:u w:val="none" w:color="auto"/>
                      <w:lang w:val="en-US" w:eastAsia="zh-CN"/>
                    </w:rPr>
                    <w:t>资源开发利用效率要求</w:t>
                  </w: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A83A4">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1</w:t>
                  </w:r>
                  <w:r>
                    <w:rPr>
                      <w:color w:val="auto"/>
                      <w:sz w:val="21"/>
                      <w:szCs w:val="21"/>
                      <w:u w:val="none" w:color="auto"/>
                      <w:lang w:val="en-US" w:eastAsia="zh-CN"/>
                    </w:rPr>
                    <w:t>．水资源：实行水资源消耗总量和强度双控。严格用水总量指标管理，建立水资源刚性约束制度，强化农业节水增效、工业节水减排和城镇节水降损，鼓励再生水利用。严格按照地下水开发利用控制目标控制地下水资源开采。</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D3F63">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项目用水量较少。</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060F0">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3A627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ED2EA">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952C7">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2</w:t>
                  </w:r>
                  <w:r>
                    <w:rPr>
                      <w:color w:val="auto"/>
                      <w:sz w:val="21"/>
                      <w:szCs w:val="21"/>
                      <w:u w:val="none" w:color="auto"/>
                      <w:lang w:val="en-US" w:eastAsia="zh-CN"/>
                    </w:rPr>
                    <w:t>．土地资源：严格执行自治区下达的土地资源利用总量及效率管控指标要求。</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6AB7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项目严格执行自治区下达的土地资源利用总量及效率管控指标要求。</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B5D4C">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1CF7B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7CA8F">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2FAF4">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3</w:t>
                  </w:r>
                  <w:r>
                    <w:rPr>
                      <w:color w:val="auto"/>
                      <w:sz w:val="21"/>
                      <w:szCs w:val="21"/>
                      <w:u w:val="none" w:color="auto"/>
                      <w:lang w:val="en-US" w:eastAsia="zh-CN"/>
                    </w:rPr>
                    <w:t>．矿产资源：严格执行市、县矿产资源开发利用规划中关于矿产资源开发总量和效率的目标要求；着力提高资源开发利用效率和水平，加快发展绿色矿业。</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374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项目不涉及。</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F5CD3">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35D4E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65701">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C6CC4">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4</w:t>
                  </w:r>
                  <w:r>
                    <w:rPr>
                      <w:color w:val="auto"/>
                      <w:sz w:val="21"/>
                      <w:szCs w:val="21"/>
                      <w:u w:val="none" w:color="auto"/>
                      <w:lang w:val="en-US" w:eastAsia="zh-CN"/>
                    </w:rPr>
                    <w:t>．岸线资源：加强江河湖库水域岸线保护与开发管理，强化岸线用途管制。涉及岸线开发的工业区和港区，应严格按照相关规划实施，控制占用岸线长度，提高岸线利用效率，加强污染防治。</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D96E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项目不涉及。</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1D9C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r w14:paraId="0A248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01F2E">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color w:val="auto"/>
                      <w:sz w:val="21"/>
                      <w:szCs w:val="21"/>
                      <w:u w:val="none" w:color="auto"/>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BC100">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color w:val="auto"/>
                      <w:sz w:val="21"/>
                      <w:szCs w:val="21"/>
                      <w:u w:val="none" w:color="auto"/>
                    </w:rPr>
                  </w:pPr>
                  <w:r>
                    <w:rPr>
                      <w:rFonts w:hint="default"/>
                      <w:color w:val="auto"/>
                      <w:sz w:val="21"/>
                      <w:szCs w:val="21"/>
                      <w:u w:val="none" w:color="auto"/>
                      <w:lang w:val="en-US" w:eastAsia="zh-CN"/>
                    </w:rPr>
                    <w:t>5</w:t>
                  </w:r>
                  <w:r>
                    <w:rPr>
                      <w:color w:val="auto"/>
                      <w:sz w:val="21"/>
                      <w:szCs w:val="21"/>
                      <w:u w:val="none" w:color="auto"/>
                      <w:lang w:val="en-US" w:eastAsia="zh-CN"/>
                    </w:rPr>
                    <w:t>．能源：严格执行能源消费总量和强度“双控”，新建项目能源利用效率应达到国内先进水平。推动能源清洁低碳安全高效利用，提升工业、建筑、交通运输、公共机构、农业、商贸等重点领域能源利用效率。大力发展非化石能源，推进抽水蓄能电站建设，加快发展风能、太阳能、生物质能等清洁可再生能源。落实国家碳排放达峰行动方案，降低碳排放强度。</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AC69C">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color w:val="auto"/>
                      <w:sz w:val="21"/>
                      <w:szCs w:val="21"/>
                      <w:u w:val="none" w:color="auto"/>
                    </w:rPr>
                  </w:pPr>
                  <w:r>
                    <w:rPr>
                      <w:rFonts w:hint="eastAsia"/>
                      <w:color w:val="auto"/>
                      <w:sz w:val="21"/>
                      <w:szCs w:val="21"/>
                      <w:u w:val="none" w:color="auto"/>
                      <w:lang w:val="en-US" w:eastAsia="zh-CN"/>
                    </w:rPr>
                    <w:t>项目能源消耗量较小。</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546BE">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color w:val="auto"/>
                      <w:sz w:val="21"/>
                      <w:szCs w:val="21"/>
                      <w:u w:val="none" w:color="auto"/>
                    </w:rPr>
                  </w:pPr>
                  <w:r>
                    <w:rPr>
                      <w:rFonts w:hint="eastAsia"/>
                      <w:color w:val="auto"/>
                      <w:sz w:val="21"/>
                      <w:szCs w:val="21"/>
                      <w:u w:val="none" w:color="auto"/>
                      <w:lang w:val="en-US" w:eastAsia="zh-CN"/>
                    </w:rPr>
                    <w:t>符合</w:t>
                  </w:r>
                </w:p>
              </w:tc>
            </w:tr>
          </w:tbl>
          <w:p w14:paraId="08414B50">
            <w:pPr>
              <w:ind w:firstLine="480"/>
              <w:rPr>
                <w:color w:val="auto"/>
                <w:u w:val="none" w:color="auto"/>
              </w:rPr>
            </w:pPr>
            <w:r>
              <w:rPr>
                <w:color w:val="auto"/>
                <w:u w:val="none" w:color="auto"/>
              </w:rPr>
              <w:t>综上，项目符合《</w:t>
            </w:r>
            <w:r>
              <w:rPr>
                <w:rFonts w:hint="eastAsia"/>
                <w:color w:val="auto"/>
                <w:u w:val="none" w:color="auto"/>
                <w:lang w:eastAsia="zh-CN"/>
              </w:rPr>
              <w:t>南宁市人民政府关于“三线一单”生态环境分区管控的实施意见</w:t>
            </w:r>
            <w:r>
              <w:rPr>
                <w:color w:val="auto"/>
                <w:u w:val="none" w:color="auto"/>
              </w:rPr>
              <w:t>》</w:t>
            </w:r>
            <w:r>
              <w:rPr>
                <w:rFonts w:hint="eastAsia"/>
                <w:color w:val="auto"/>
                <w:u w:val="none" w:color="auto"/>
                <w:lang w:eastAsia="zh-CN"/>
              </w:rPr>
              <w:t>（南府发〔2021〕8号）</w:t>
            </w:r>
            <w:r>
              <w:rPr>
                <w:color w:val="auto"/>
                <w:u w:val="none" w:color="auto"/>
              </w:rPr>
              <w:t>的相关要求。</w:t>
            </w:r>
          </w:p>
          <w:p w14:paraId="7F757ABC">
            <w:pPr>
              <w:bidi w:val="0"/>
              <w:rPr>
                <w:i w:val="0"/>
                <w:iCs w:val="0"/>
                <w:color w:val="auto"/>
                <w:u w:val="none" w:color="auto"/>
              </w:rPr>
            </w:pPr>
            <w:r>
              <w:rPr>
                <w:rFonts w:hint="eastAsia"/>
                <w:i w:val="0"/>
                <w:iCs w:val="0"/>
                <w:color w:val="auto"/>
                <w:u w:val="none" w:color="auto"/>
                <w:lang w:val="en-US" w:eastAsia="zh-CN"/>
              </w:rPr>
              <w:t>2、与</w:t>
            </w:r>
            <w:r>
              <w:rPr>
                <w:rFonts w:ascii="宋体" w:hAnsi="宋体" w:eastAsia="宋体" w:cs="宋体"/>
                <w:color w:val="auto"/>
                <w:sz w:val="24"/>
                <w:szCs w:val="24"/>
                <w:u w:val="none" w:color="auto"/>
              </w:rPr>
              <w:t>《南宁市生态环境局关于印发实施南宁市生态环境分区管控动态更新成果（2023年）的通知》</w:t>
            </w:r>
            <w:r>
              <w:rPr>
                <w:rFonts w:hint="eastAsia"/>
                <w:i w:val="0"/>
                <w:iCs w:val="0"/>
                <w:color w:val="auto"/>
                <w:u w:val="none" w:color="auto"/>
                <w:lang w:val="en-US" w:eastAsia="zh-CN"/>
              </w:rPr>
              <w:t>的相符性分析</w:t>
            </w:r>
          </w:p>
          <w:p w14:paraId="39F3BAA2">
            <w:pPr>
              <w:keepNext w:val="0"/>
              <w:keepLines w:val="0"/>
              <w:widowControl/>
              <w:suppressLineNumbers w:val="0"/>
              <w:jc w:val="both"/>
              <w:rPr>
                <w:i w:val="0"/>
                <w:iCs w:val="0"/>
                <w:color w:val="auto"/>
                <w:u w:val="none" w:color="auto"/>
              </w:rPr>
            </w:pPr>
            <w:r>
              <w:rPr>
                <w:rFonts w:ascii="宋体" w:hAnsi="宋体" w:eastAsia="宋体" w:cs="宋体"/>
                <w:color w:val="auto"/>
                <w:sz w:val="24"/>
                <w:szCs w:val="24"/>
                <w:u w:val="none" w:color="auto"/>
              </w:rPr>
              <w:t>本项目位于</w:t>
            </w:r>
            <w:r>
              <w:rPr>
                <w:rFonts w:hint="eastAsia" w:ascii="宋体" w:hAnsi="宋体" w:eastAsia="宋体" w:cs="宋体"/>
                <w:color w:val="auto"/>
                <w:sz w:val="24"/>
                <w:szCs w:val="24"/>
                <w:u w:val="none" w:color="auto"/>
                <w:lang w:val="en-US" w:eastAsia="zh-CN"/>
              </w:rPr>
              <w:t>南宁</w:t>
            </w:r>
            <w:r>
              <w:rPr>
                <w:rFonts w:ascii="宋体" w:hAnsi="宋体" w:eastAsia="宋体" w:cs="宋体"/>
                <w:color w:val="auto"/>
                <w:sz w:val="24"/>
                <w:szCs w:val="24"/>
                <w:u w:val="none" w:color="auto"/>
              </w:rPr>
              <w:t>市</w:t>
            </w:r>
            <w:r>
              <w:rPr>
                <w:rFonts w:hint="eastAsia" w:ascii="宋体" w:hAnsi="宋体" w:eastAsia="宋体" w:cs="宋体"/>
                <w:color w:val="auto"/>
                <w:sz w:val="24"/>
                <w:szCs w:val="24"/>
                <w:u w:val="none" w:color="auto"/>
                <w:lang w:val="en-US" w:eastAsia="zh-CN"/>
              </w:rPr>
              <w:t>经济开发区友谊路58-16号</w:t>
            </w:r>
            <w:r>
              <w:rPr>
                <w:rFonts w:hint="eastAsia" w:ascii="宋体" w:hAnsi="宋体" w:cs="宋体"/>
                <w:color w:val="auto"/>
                <w:sz w:val="24"/>
                <w:szCs w:val="24"/>
                <w:u w:val="none" w:color="auto"/>
                <w:lang w:val="en-US" w:eastAsia="zh-CN"/>
              </w:rPr>
              <w:t>高岭村三产用地2号楼</w:t>
            </w:r>
            <w:r>
              <w:rPr>
                <w:rFonts w:ascii="宋体" w:hAnsi="宋体" w:eastAsia="宋体" w:cs="宋体"/>
                <w:color w:val="auto"/>
                <w:sz w:val="24"/>
                <w:szCs w:val="24"/>
                <w:u w:val="none" w:color="auto"/>
              </w:rPr>
              <w:t>，根据《南宁市生态环境局关于印发实施南宁市生态环境分区管控动态更新成果（2023年）的通知》（南环字〔2024〕55号），结合本项目广西“生态云”平台建设项目智能研判报告（附件5）的三线一单数据，</w:t>
            </w:r>
            <w:r>
              <w:rPr>
                <w:rFonts w:ascii="宋体" w:hAnsi="宋体" w:eastAsia="宋体" w:cs="宋体"/>
                <w:color w:val="auto"/>
                <w:sz w:val="24"/>
                <w:szCs w:val="24"/>
                <w:u w:val="none" w:color="auto"/>
                <w:lang w:val="en-US" w:eastAsia="zh-CN"/>
              </w:rPr>
              <w:t xml:space="preserve">该项目涉及 </w:t>
            </w:r>
            <w:r>
              <w:rPr>
                <w:rFonts w:hint="eastAsia" w:ascii="宋体" w:hAnsi="宋体" w:eastAsia="宋体" w:cs="宋体"/>
                <w:color w:val="auto"/>
                <w:sz w:val="24"/>
                <w:szCs w:val="24"/>
                <w:u w:val="none" w:color="auto"/>
                <w:lang w:val="en-US" w:eastAsia="zh-CN"/>
              </w:rPr>
              <w:t>1 个环境管控单元，为</w:t>
            </w:r>
            <w:r>
              <w:rPr>
                <w:rFonts w:hint="eastAsia" w:ascii="宋体" w:hAnsi="宋体" w:eastAsia="宋体" w:cs="宋体"/>
                <w:color w:val="auto"/>
                <w:kern w:val="0"/>
                <w:sz w:val="24"/>
                <w:szCs w:val="24"/>
                <w:u w:val="none" w:color="auto"/>
                <w:lang w:val="en-US" w:eastAsia="zh-CN" w:bidi="ar"/>
              </w:rPr>
              <w:t>江南区城镇空间重点管控单元</w:t>
            </w:r>
            <w:r>
              <w:rPr>
                <w:rFonts w:ascii="宋体" w:hAnsi="宋体" w:eastAsia="宋体" w:cs="宋体"/>
                <w:color w:val="auto"/>
                <w:sz w:val="24"/>
                <w:szCs w:val="24"/>
                <w:u w:val="none" w:color="auto"/>
              </w:rPr>
              <w:t>（ZH4501</w:t>
            </w:r>
            <w:r>
              <w:rPr>
                <w:rFonts w:hint="eastAsia" w:ascii="宋体" w:hAnsi="宋体" w:eastAsia="宋体" w:cs="宋体"/>
                <w:color w:val="auto"/>
                <w:sz w:val="24"/>
                <w:szCs w:val="24"/>
                <w:u w:val="none" w:color="auto"/>
                <w:lang w:val="en-US" w:eastAsia="zh-CN"/>
              </w:rPr>
              <w:t>0520004</w:t>
            </w:r>
            <w:r>
              <w:rPr>
                <w:rFonts w:ascii="宋体" w:hAnsi="宋体" w:eastAsia="宋体" w:cs="宋体"/>
                <w:color w:val="auto"/>
                <w:sz w:val="24"/>
                <w:szCs w:val="24"/>
                <w:u w:val="none" w:color="auto"/>
              </w:rPr>
              <w:t>）</w:t>
            </w:r>
            <w:r>
              <w:rPr>
                <w:rFonts w:hint="eastAsia" w:ascii="宋体" w:hAnsi="宋体" w:eastAsia="宋体" w:cs="宋体"/>
                <w:color w:val="auto"/>
                <w:sz w:val="24"/>
                <w:szCs w:val="24"/>
                <w:u w:val="none" w:color="auto"/>
                <w:lang w:eastAsia="zh-CN"/>
              </w:rPr>
              <w:t>，</w:t>
            </w:r>
            <w:r>
              <w:rPr>
                <w:rFonts w:hint="eastAsia" w:ascii="宋体" w:hAnsi="宋体" w:eastAsia="宋体" w:cs="宋体"/>
                <w:color w:val="auto"/>
                <w:sz w:val="24"/>
                <w:szCs w:val="24"/>
                <w:u w:val="none" w:color="auto"/>
                <w:lang w:val="en-US" w:eastAsia="zh-CN"/>
              </w:rPr>
              <w:t>不涉及环境敏感图斑</w:t>
            </w:r>
            <w:r>
              <w:rPr>
                <w:rFonts w:ascii="宋体" w:hAnsi="宋体" w:eastAsia="宋体" w:cs="宋体"/>
                <w:color w:val="auto"/>
                <w:sz w:val="24"/>
                <w:szCs w:val="24"/>
                <w:u w:val="none" w:color="auto"/>
              </w:rPr>
              <w:t>。</w:t>
            </w:r>
          </w:p>
          <w:p w14:paraId="11AB14A4">
            <w:pPr>
              <w:bidi w:val="0"/>
              <w:rPr>
                <w:i w:val="0"/>
                <w:iCs w:val="0"/>
                <w:color w:val="auto"/>
                <w:u w:val="none" w:color="auto"/>
              </w:rPr>
            </w:pPr>
            <w:r>
              <w:rPr>
                <w:rFonts w:hint="eastAsia" w:cs="Times New Roman"/>
                <w:color w:val="auto"/>
                <w:u w:val="none" w:color="auto"/>
                <w:lang w:val="en-US" w:eastAsia="zh-CN"/>
              </w:rPr>
              <w:drawing>
                <wp:inline distT="0" distB="0" distL="114300" distR="114300">
                  <wp:extent cx="5250180" cy="3815715"/>
                  <wp:effectExtent l="9525" t="9525" r="17145" b="22860"/>
                  <wp:docPr id="5" name="图片 5" descr="174548428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5484283631"/>
                          <pic:cNvPicPr>
                            <a:picLocks noChangeAspect="1"/>
                          </pic:cNvPicPr>
                        </pic:nvPicPr>
                        <pic:blipFill>
                          <a:blip r:embed="rId15"/>
                          <a:stretch>
                            <a:fillRect/>
                          </a:stretch>
                        </pic:blipFill>
                        <pic:spPr>
                          <a:xfrm>
                            <a:off x="0" y="0"/>
                            <a:ext cx="5250180" cy="3815715"/>
                          </a:xfrm>
                          <a:prstGeom prst="rect">
                            <a:avLst/>
                          </a:prstGeom>
                          <a:ln>
                            <a:solidFill>
                              <a:schemeClr val="tx1"/>
                            </a:solidFill>
                          </a:ln>
                        </pic:spPr>
                      </pic:pic>
                    </a:graphicData>
                  </a:graphic>
                </wp:inline>
              </w:drawing>
            </w:r>
          </w:p>
          <w:p w14:paraId="0540265E">
            <w:pPr>
              <w:bidi w:val="0"/>
              <w:jc w:val="center"/>
              <w:rPr>
                <w:rFonts w:hint="eastAsia" w:ascii="黑体" w:hAnsi="黑体" w:eastAsia="黑体" w:cs="黑体"/>
                <w:i w:val="0"/>
                <w:iCs w:val="0"/>
                <w:color w:val="auto"/>
                <w:u w:val="none" w:color="auto"/>
                <w:lang w:val="en-US" w:eastAsia="zh-CN"/>
              </w:rPr>
            </w:pPr>
            <w:r>
              <w:rPr>
                <w:rFonts w:hint="eastAsia" w:ascii="黑体" w:hAnsi="黑体" w:eastAsia="黑体" w:cs="黑体"/>
                <w:i w:val="0"/>
                <w:iCs w:val="0"/>
                <w:color w:val="auto"/>
                <w:u w:val="none" w:color="auto"/>
                <w:lang w:val="en-US" w:eastAsia="zh-CN"/>
              </w:rPr>
              <w:t>图1  项目所属环境管控单元</w:t>
            </w:r>
          </w:p>
          <w:p w14:paraId="3D1BE274">
            <w:pPr>
              <w:bidi w:val="0"/>
              <w:rPr>
                <w:i w:val="0"/>
                <w:iCs w:val="0"/>
                <w:color w:val="auto"/>
                <w:u w:val="none" w:color="auto"/>
              </w:rPr>
            </w:pPr>
            <w:r>
              <w:rPr>
                <w:i w:val="0"/>
                <w:iCs w:val="0"/>
                <w:color w:val="auto"/>
                <w:u w:val="none" w:color="auto"/>
              </w:rPr>
              <w:t>项目与</w:t>
            </w:r>
            <w:r>
              <w:rPr>
                <w:rFonts w:ascii="宋体" w:hAnsi="宋体" w:eastAsia="宋体" w:cs="宋体"/>
                <w:color w:val="auto"/>
                <w:sz w:val="24"/>
                <w:szCs w:val="24"/>
                <w:u w:val="none" w:color="auto"/>
              </w:rPr>
              <w:t>《南宁市生态环境局关于印发实施南宁市生态环境分区管控动态更新成果（2023年）的通知》</w:t>
            </w:r>
            <w:r>
              <w:rPr>
                <w:i w:val="0"/>
                <w:iCs w:val="0"/>
                <w:color w:val="auto"/>
                <w:u w:val="none" w:color="auto"/>
              </w:rPr>
              <w:t>符合性分析如下：</w:t>
            </w:r>
          </w:p>
          <w:p w14:paraId="420524DB">
            <w:pPr>
              <w:pStyle w:val="10"/>
              <w:numPr>
                <w:ilvl w:val="0"/>
                <w:numId w:val="3"/>
              </w:numPr>
              <w:ind w:left="0" w:firstLine="0" w:firstLineChars="0"/>
              <w:jc w:val="center"/>
              <w:rPr>
                <w:i w:val="0"/>
                <w:iCs w:val="0"/>
                <w:color w:val="auto"/>
                <w:u w:val="none" w:color="auto"/>
              </w:rPr>
            </w:pPr>
            <w:r>
              <w:rPr>
                <w:i w:val="0"/>
                <w:iCs w:val="0"/>
                <w:color w:val="auto"/>
                <w:u w:val="none" w:color="auto"/>
              </w:rPr>
              <w:t>项目与</w:t>
            </w:r>
            <w:r>
              <w:rPr>
                <w:rFonts w:ascii="宋体" w:hAnsi="宋体" w:eastAsia="宋体" w:cs="宋体"/>
                <w:color w:val="auto"/>
                <w:sz w:val="24"/>
                <w:szCs w:val="24"/>
                <w:u w:val="none" w:color="auto"/>
              </w:rPr>
              <w:t>《南宁市生态环境局关于印发实施南宁市生态环境分区管控动态更新成果（2023年）的通知》</w:t>
            </w:r>
            <w:r>
              <w:rPr>
                <w:rFonts w:hint="eastAsia"/>
                <w:i w:val="0"/>
                <w:iCs w:val="0"/>
                <w:color w:val="auto"/>
                <w:u w:val="none" w:color="auto"/>
              </w:rPr>
              <w:t>符合性分析表</w:t>
            </w:r>
          </w:p>
          <w:tbl>
            <w:tblPr>
              <w:tblStyle w:val="22"/>
              <w:tblW w:w="9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66"/>
              <w:gridCol w:w="390"/>
              <w:gridCol w:w="4548"/>
              <w:gridCol w:w="2316"/>
            </w:tblGrid>
            <w:tr w14:paraId="469E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825" w:type="dxa"/>
                  <w:vAlign w:val="center"/>
                </w:tcPr>
                <w:p w14:paraId="2CA0185B">
                  <w:pPr>
                    <w:pStyle w:val="55"/>
                    <w:keepNext w:val="0"/>
                    <w:keepLines w:val="0"/>
                    <w:pageBreakBefore w:val="0"/>
                    <w:widowControl w:val="0"/>
                    <w:kinsoku/>
                    <w:wordWrap/>
                    <w:overflowPunct/>
                    <w:topLinePunct w:val="0"/>
                    <w:autoSpaceDE/>
                    <w:autoSpaceDN/>
                    <w:bidi w:val="0"/>
                    <w:adjustRightInd w:val="0"/>
                    <w:snapToGrid w:val="0"/>
                    <w:spacing w:line="240" w:lineRule="atLeast"/>
                    <w:ind w:firstLine="0" w:firstLineChars="0"/>
                    <w:textAlignment w:val="auto"/>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sz w:val="21"/>
                      <w:szCs w:val="21"/>
                      <w:u w:val="none" w:color="auto"/>
                    </w:rPr>
                    <w:t>环境管控单元编码</w:t>
                  </w:r>
                </w:p>
              </w:tc>
              <w:tc>
                <w:tcPr>
                  <w:tcW w:w="966" w:type="dxa"/>
                  <w:vAlign w:val="center"/>
                </w:tcPr>
                <w:p w14:paraId="63983A79">
                  <w:pPr>
                    <w:pStyle w:val="55"/>
                    <w:keepNext w:val="0"/>
                    <w:keepLines w:val="0"/>
                    <w:pageBreakBefore w:val="0"/>
                    <w:widowControl w:val="0"/>
                    <w:kinsoku/>
                    <w:wordWrap/>
                    <w:overflowPunct/>
                    <w:topLinePunct w:val="0"/>
                    <w:autoSpaceDE/>
                    <w:autoSpaceDN/>
                    <w:bidi w:val="0"/>
                    <w:adjustRightInd w:val="0"/>
                    <w:snapToGrid w:val="0"/>
                    <w:spacing w:line="240" w:lineRule="atLeast"/>
                    <w:ind w:firstLine="0" w:firstLineChars="0"/>
                    <w:textAlignment w:val="auto"/>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sz w:val="21"/>
                      <w:szCs w:val="21"/>
                      <w:u w:val="none" w:color="auto"/>
                    </w:rPr>
                    <w:t>环境管控单元名称</w:t>
                  </w:r>
                </w:p>
              </w:tc>
              <w:tc>
                <w:tcPr>
                  <w:tcW w:w="4938" w:type="dxa"/>
                  <w:gridSpan w:val="2"/>
                  <w:vAlign w:val="center"/>
                </w:tcPr>
                <w:p w14:paraId="4EA57FAC">
                  <w:pPr>
                    <w:pStyle w:val="55"/>
                    <w:keepNext w:val="0"/>
                    <w:keepLines w:val="0"/>
                    <w:pageBreakBefore w:val="0"/>
                    <w:widowControl w:val="0"/>
                    <w:kinsoku/>
                    <w:wordWrap/>
                    <w:overflowPunct/>
                    <w:topLinePunct w:val="0"/>
                    <w:autoSpaceDE/>
                    <w:autoSpaceDN/>
                    <w:bidi w:val="0"/>
                    <w:adjustRightInd w:val="0"/>
                    <w:snapToGrid w:val="0"/>
                    <w:spacing w:line="240" w:lineRule="atLeast"/>
                    <w:ind w:firstLine="0" w:firstLineChars="0"/>
                    <w:textAlignment w:val="auto"/>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生态环境准入及管控要求</w:t>
                  </w:r>
                </w:p>
              </w:tc>
              <w:tc>
                <w:tcPr>
                  <w:tcW w:w="2316" w:type="dxa"/>
                  <w:vAlign w:val="center"/>
                </w:tcPr>
                <w:p w14:paraId="44852A2F">
                  <w:pPr>
                    <w:pStyle w:val="55"/>
                    <w:keepNext w:val="0"/>
                    <w:keepLines w:val="0"/>
                    <w:pageBreakBefore w:val="0"/>
                    <w:widowControl w:val="0"/>
                    <w:kinsoku/>
                    <w:wordWrap/>
                    <w:overflowPunct/>
                    <w:topLinePunct w:val="0"/>
                    <w:autoSpaceDE/>
                    <w:autoSpaceDN/>
                    <w:bidi w:val="0"/>
                    <w:adjustRightInd w:val="0"/>
                    <w:snapToGrid w:val="0"/>
                    <w:spacing w:line="240" w:lineRule="atLeast"/>
                    <w:ind w:firstLine="0" w:firstLineChars="0"/>
                    <w:textAlignment w:val="auto"/>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本项目</w:t>
                  </w:r>
                </w:p>
              </w:tc>
            </w:tr>
            <w:tr w14:paraId="1920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25" w:type="dxa"/>
                  <w:vAlign w:val="center"/>
                </w:tcPr>
                <w:p w14:paraId="5E5AEB26">
                  <w:pPr>
                    <w:pStyle w:val="44"/>
                    <w:keepNext w:val="0"/>
                    <w:keepLines w:val="0"/>
                    <w:pageBreakBefore w:val="0"/>
                    <w:widowControl w:val="0"/>
                    <w:kinsoku/>
                    <w:wordWrap/>
                    <w:overflowPunct/>
                    <w:topLinePunct w:val="0"/>
                    <w:autoSpaceDE/>
                    <w:autoSpaceDN/>
                    <w:bidi w:val="0"/>
                    <w:adjustRightInd w:val="0"/>
                    <w:snapToGrid w:val="0"/>
                    <w:spacing w:line="240" w:lineRule="atLeast"/>
                    <w:ind w:firstLine="0" w:firstLineChars="0"/>
                    <w:textAlignment w:val="auto"/>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color w:val="auto"/>
                      <w:sz w:val="21"/>
                      <w:szCs w:val="21"/>
                      <w:u w:val="none" w:color="auto"/>
                    </w:rPr>
                    <w:t>ZH4501</w:t>
                  </w:r>
                  <w:r>
                    <w:rPr>
                      <w:rFonts w:hint="default" w:ascii="Times New Roman" w:hAnsi="Times New Roman" w:eastAsia="宋体" w:cs="Times New Roman"/>
                      <w:color w:val="auto"/>
                      <w:sz w:val="21"/>
                      <w:szCs w:val="21"/>
                      <w:u w:val="none" w:color="auto"/>
                      <w:lang w:val="en-US" w:eastAsia="zh-CN"/>
                    </w:rPr>
                    <w:t>0520004</w:t>
                  </w:r>
                </w:p>
              </w:tc>
              <w:tc>
                <w:tcPr>
                  <w:tcW w:w="966" w:type="dxa"/>
                  <w:vAlign w:val="center"/>
                </w:tcPr>
                <w:p w14:paraId="07647284">
                  <w:pPr>
                    <w:pStyle w:val="44"/>
                    <w:keepNext w:val="0"/>
                    <w:keepLines w:val="0"/>
                    <w:pageBreakBefore w:val="0"/>
                    <w:widowControl w:val="0"/>
                    <w:kinsoku/>
                    <w:wordWrap/>
                    <w:overflowPunct/>
                    <w:topLinePunct w:val="0"/>
                    <w:autoSpaceDE/>
                    <w:autoSpaceDN/>
                    <w:bidi w:val="0"/>
                    <w:adjustRightInd w:val="0"/>
                    <w:snapToGrid w:val="0"/>
                    <w:spacing w:line="240" w:lineRule="atLeast"/>
                    <w:ind w:firstLine="0" w:firstLineChars="0"/>
                    <w:textAlignment w:val="auto"/>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color w:val="auto"/>
                      <w:kern w:val="0"/>
                      <w:sz w:val="21"/>
                      <w:szCs w:val="21"/>
                      <w:u w:val="none" w:color="auto"/>
                      <w:lang w:val="en-US" w:eastAsia="zh-CN" w:bidi="ar"/>
                    </w:rPr>
                    <w:t>江南区城镇空间重点管控单元</w:t>
                  </w:r>
                </w:p>
              </w:tc>
              <w:tc>
                <w:tcPr>
                  <w:tcW w:w="390" w:type="dxa"/>
                  <w:vAlign w:val="center"/>
                </w:tcPr>
                <w:p w14:paraId="20BF1BE0">
                  <w:pPr>
                    <w:pStyle w:val="44"/>
                    <w:keepNext w:val="0"/>
                    <w:keepLines w:val="0"/>
                    <w:pageBreakBefore w:val="0"/>
                    <w:widowControl w:val="0"/>
                    <w:kinsoku/>
                    <w:wordWrap/>
                    <w:overflowPunct/>
                    <w:topLinePunct w:val="0"/>
                    <w:autoSpaceDE/>
                    <w:autoSpaceDN/>
                    <w:bidi w:val="0"/>
                    <w:adjustRightInd w:val="0"/>
                    <w:snapToGrid w:val="0"/>
                    <w:spacing w:line="240" w:lineRule="atLeast"/>
                    <w:ind w:firstLine="0" w:firstLineChars="0"/>
                    <w:textAlignment w:val="auto"/>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sz w:val="21"/>
                      <w:szCs w:val="21"/>
                      <w:u w:val="none" w:color="auto"/>
                    </w:rPr>
                    <w:t>空间布局约束</w:t>
                  </w:r>
                </w:p>
              </w:tc>
              <w:tc>
                <w:tcPr>
                  <w:tcW w:w="4548" w:type="dxa"/>
                  <w:vAlign w:val="center"/>
                </w:tcPr>
                <w:p w14:paraId="37331F22">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textAlignment w:val="auto"/>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sz w:val="21"/>
                      <w:szCs w:val="21"/>
                      <w:u w:val="none" w:color="auto"/>
                    </w:rPr>
                    <w:t>1.禁止新建、扩建煤电、石化、化工、现代煤化工、钢铁、焦化、有色金属冶炼、建材等高耗能、高排放项目。</w:t>
                  </w:r>
                </w:p>
                <w:p w14:paraId="4EB4AA7F">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textAlignment w:val="auto"/>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sz w:val="21"/>
                      <w:szCs w:val="21"/>
                      <w:u w:val="none" w:color="auto"/>
                    </w:rPr>
                    <w:t>2.城市建成区内的煤电、钢铁、石化、化工、有色金属、建材等行业中的高排放、高污染项目，应当逐步进行搬迁、改造或者转型、退出。</w:t>
                  </w:r>
                </w:p>
                <w:p w14:paraId="0A51D3F9">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textAlignment w:val="auto"/>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sz w:val="21"/>
                      <w:szCs w:val="21"/>
                      <w:u w:val="none" w:color="auto"/>
                    </w:rPr>
                    <w:t>3.城市建成区内禁止贮存、加工、制造或者使用产生恶臭气体的物质；公共服务设施垃圾转运站项目可按《生活垃圾转运站技术规范》（CJJ/T47-2016）实施。</w:t>
                  </w:r>
                </w:p>
                <w:p w14:paraId="539AAC35">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textAlignment w:val="auto"/>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sz w:val="21"/>
                      <w:szCs w:val="21"/>
                      <w:u w:val="none" w:color="auto"/>
                    </w:rPr>
                    <w:t>4．按照《关于印发&lt;南宁市江南区畜禽养殖禁养区和限养区划定工作方案&gt;的通知》（江府办〔2020〕8号）规定和要求，禁养区内禁止建设畜禽养殖场、养殖小区。</w:t>
                  </w:r>
                </w:p>
                <w:p w14:paraId="5EF81760">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textAlignment w:val="auto"/>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sz w:val="21"/>
                      <w:szCs w:val="21"/>
                      <w:u w:val="none" w:color="auto"/>
                    </w:rPr>
                    <w:t>5．禁止在居民区和学校、医院、疗养院、养老院等单位周边新建、改建、扩建可能造成土壤污染的建设项目。严格控制在人口聚居区域内新（改、扩）建涉重金属企业。</w:t>
                  </w:r>
                </w:p>
                <w:p w14:paraId="7AE7FB16">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textAlignment w:val="auto"/>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sz w:val="21"/>
                      <w:szCs w:val="21"/>
                      <w:u w:val="none" w:color="auto"/>
                    </w:rPr>
                    <w:t>6．与饮用水水源保护区二级保护区重叠部分依据《广西壮族自治区饮用水水源保护条例》进行管理。</w:t>
                  </w:r>
                </w:p>
              </w:tc>
              <w:tc>
                <w:tcPr>
                  <w:tcW w:w="2316" w:type="dxa"/>
                  <w:vAlign w:val="center"/>
                </w:tcPr>
                <w:p w14:paraId="645B86FB">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textAlignment w:val="auto"/>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本项目为专科医院建设，不属于“两高”项目，不涉及养殖、涉重金属等项目，项目用地不涉及基本农田、饮用水水源保护区，</w:t>
                  </w:r>
                  <w:r>
                    <w:rPr>
                      <w:rFonts w:hint="eastAsia"/>
                      <w:color w:val="auto"/>
                      <w:sz w:val="21"/>
                      <w:szCs w:val="21"/>
                      <w:u w:val="none" w:color="auto"/>
                      <w:lang w:val="en-US" w:eastAsia="zh-CN"/>
                    </w:rPr>
                    <w:t>本项目生活垃圾、中药渣、一次性卫生用品由环卫部门定期清运，医疗废物、危险废物委托有资质单位清运处置，</w:t>
                  </w:r>
                  <w:r>
                    <w:rPr>
                      <w:rFonts w:hint="eastAsia" w:cs="Times New Roman"/>
                      <w:color w:val="auto"/>
                      <w:sz w:val="21"/>
                      <w:szCs w:val="21"/>
                      <w:u w:val="none" w:color="auto"/>
                      <w:lang w:val="en-US" w:eastAsia="zh-CN"/>
                    </w:rPr>
                    <w:t>未被感染的一次性医疗用品、输液瓶（袋）交由具备合法资质、经营范围包含“未被污染的输液瓶（袋）等”条款的公司处置。</w:t>
                  </w:r>
                  <w:r>
                    <w:rPr>
                      <w:rFonts w:hint="eastAsia"/>
                      <w:color w:val="auto"/>
                      <w:sz w:val="21"/>
                      <w:szCs w:val="21"/>
                      <w:u w:val="none" w:color="auto"/>
                      <w:lang w:val="en-US" w:eastAsia="zh-CN"/>
                    </w:rPr>
                    <w:t>故项目的建设符合相关要求。</w:t>
                  </w:r>
                </w:p>
              </w:tc>
            </w:tr>
          </w:tbl>
          <w:p w14:paraId="0B423774">
            <w:pPr>
              <w:pStyle w:val="36"/>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3</w:t>
            </w:r>
            <w:r>
              <w:rPr>
                <w:rFonts w:hint="eastAsia" w:ascii="Times New Roman" w:hAnsi="Times New Roman" w:eastAsia="宋体" w:cs="Times New Roman"/>
                <w:color w:val="auto"/>
                <w:u w:val="none" w:color="auto"/>
                <w:lang w:val="en-US" w:eastAsia="zh-CN"/>
              </w:rPr>
              <w:t>、与“三区三线”的相符性分析</w:t>
            </w:r>
          </w:p>
          <w:p w14:paraId="60E301D7">
            <w:pPr>
              <w:keepNext w:val="0"/>
              <w:keepLines w:val="0"/>
              <w:pageBreakBefore w:val="0"/>
              <w:widowControl w:val="0"/>
              <w:numPr>
                <w:ilvl w:val="255"/>
                <w:numId w:val="0"/>
              </w:numPr>
              <w:kinsoku/>
              <w:wordWrap/>
              <w:overflowPunct/>
              <w:topLinePunct w:val="0"/>
              <w:autoSpaceDE/>
              <w:autoSpaceDN/>
              <w:bidi w:val="0"/>
              <w:adjustRightInd/>
              <w:snapToGrid/>
              <w:spacing w:line="480" w:lineRule="exact"/>
              <w:ind w:left="0" w:firstLine="480" w:firstLineChars="200"/>
              <w:textAlignment w:val="auto"/>
              <w:rPr>
                <w:color w:val="auto"/>
                <w:u w:val="none" w:color="auto"/>
              </w:rPr>
            </w:pPr>
            <w:r>
              <w:rPr>
                <w:color w:val="auto"/>
                <w:u w:val="none" w:color="auto"/>
              </w:rPr>
              <w:t>“三区三线”是指生态空间、农业空间、城镇空间“三区”，耕地和永久基本农田、生态保护红线、城镇开发边界“三线”。根据2022年10月14日自然资源部批准启用的广西“三区三线”划定成果，项目用地</w:t>
            </w:r>
            <w:r>
              <w:rPr>
                <w:rFonts w:hint="eastAsia"/>
                <w:color w:val="auto"/>
                <w:u w:val="none" w:color="auto"/>
              </w:rPr>
              <w:t>位于</w:t>
            </w:r>
            <w:r>
              <w:rPr>
                <w:rFonts w:hint="eastAsia"/>
                <w:color w:val="auto"/>
                <w:u w:val="none" w:color="auto"/>
                <w:lang w:val="en-US" w:eastAsia="zh-CN"/>
              </w:rPr>
              <w:t>南宁市经济开发区友谊路58-16 号高岭村九组三产综合楼2号楼</w:t>
            </w:r>
            <w:r>
              <w:rPr>
                <w:rFonts w:hint="eastAsia"/>
                <w:color w:val="auto"/>
                <w:u w:val="none" w:color="auto"/>
              </w:rPr>
              <w:t>，</w:t>
            </w:r>
            <w:r>
              <w:rPr>
                <w:rFonts w:hint="eastAsia"/>
                <w:color w:val="auto"/>
                <w:u w:val="none" w:color="auto"/>
                <w:lang w:val="en-US" w:eastAsia="zh-CN"/>
              </w:rPr>
              <w:t>项目用地</w:t>
            </w:r>
            <w:r>
              <w:rPr>
                <w:color w:val="auto"/>
                <w:u w:val="none" w:color="auto"/>
              </w:rPr>
              <w:t>不涉及永久基本农田及生态保护红线，</w:t>
            </w:r>
            <w:r>
              <w:rPr>
                <w:rFonts w:hint="eastAsia"/>
                <w:color w:val="auto"/>
                <w:u w:val="none" w:color="auto"/>
                <w:lang w:val="en-US" w:eastAsia="zh-CN"/>
              </w:rPr>
              <w:t>根据</w:t>
            </w:r>
            <w:r>
              <w:rPr>
                <w:rFonts w:hint="eastAsia" w:ascii="宋体" w:hAnsi="宋体" w:cs="宋体"/>
                <w:color w:val="auto"/>
                <w:u w:val="none" w:color="auto"/>
                <w:lang w:val="en-US" w:eastAsia="zh-CN"/>
              </w:rPr>
              <w:t>项目租用地块的</w:t>
            </w:r>
            <w:r>
              <w:rPr>
                <w:rFonts w:ascii="宋体" w:hAnsi="宋体" w:cs="宋体"/>
                <w:color w:val="auto"/>
                <w:u w:val="none" w:color="auto"/>
              </w:rPr>
              <w:t>不动产权证，符合“三区三线”相关要求</w:t>
            </w:r>
            <w:r>
              <w:rPr>
                <w:rFonts w:hint="eastAsia" w:ascii="宋体" w:hAnsi="宋体" w:cs="宋体"/>
                <w:color w:val="auto"/>
                <w:u w:val="none" w:color="auto"/>
              </w:rPr>
              <w:t>，</w:t>
            </w:r>
            <w:r>
              <w:rPr>
                <w:color w:val="auto"/>
                <w:u w:val="none" w:color="auto"/>
              </w:rPr>
              <w:t>因此本项目符合“三区</w:t>
            </w:r>
            <w:r>
              <w:rPr>
                <w:rFonts w:hint="eastAsia"/>
                <w:color w:val="auto"/>
                <w:u w:val="none" w:color="auto"/>
              </w:rPr>
              <w:t>三</w:t>
            </w:r>
            <w:r>
              <w:rPr>
                <w:color w:val="auto"/>
                <w:u w:val="none" w:color="auto"/>
              </w:rPr>
              <w:t>线”相关管理要求。</w:t>
            </w:r>
          </w:p>
          <w:p w14:paraId="3C029624">
            <w:pPr>
              <w:pStyle w:val="36"/>
              <w:keepNext w:val="0"/>
              <w:keepLines w:val="0"/>
              <w:pageBreakBefore w:val="0"/>
              <w:numPr>
                <w:ilvl w:val="0"/>
                <w:numId w:val="0"/>
              </w:numPr>
              <w:kinsoku/>
              <w:wordWrap/>
              <w:overflowPunct/>
              <w:topLinePunct w:val="0"/>
              <w:autoSpaceDE/>
              <w:autoSpaceDN/>
              <w:bidi w:val="0"/>
              <w:adjustRightInd/>
              <w:snapToGrid/>
              <w:spacing w:line="480" w:lineRule="exact"/>
              <w:ind w:left="0" w:leftChars="0" w:firstLine="480" w:firstLineChars="200"/>
              <w:textAlignment w:val="auto"/>
              <w:rPr>
                <w:color w:val="auto"/>
                <w:u w:val="none" w:color="auto"/>
              </w:rPr>
            </w:pPr>
            <w:r>
              <w:rPr>
                <w:rFonts w:hint="eastAsia"/>
                <w:color w:val="auto"/>
                <w:u w:val="none" w:color="auto"/>
                <w:lang w:val="en-US" w:eastAsia="zh-CN"/>
              </w:rPr>
              <w:t>4、</w:t>
            </w:r>
            <w:r>
              <w:rPr>
                <w:color w:val="auto"/>
                <w:u w:val="none" w:color="auto"/>
              </w:rPr>
              <w:t>产业政策合理性分析</w:t>
            </w:r>
          </w:p>
          <w:p w14:paraId="5D27E89C">
            <w:pPr>
              <w:keepNext w:val="0"/>
              <w:keepLines w:val="0"/>
              <w:pageBreakBefore w:val="0"/>
              <w:kinsoku/>
              <w:wordWrap/>
              <w:overflowPunct/>
              <w:topLinePunct w:val="0"/>
              <w:autoSpaceDE/>
              <w:autoSpaceDN/>
              <w:bidi w:val="0"/>
              <w:adjustRightInd/>
              <w:snapToGrid/>
              <w:spacing w:line="480" w:lineRule="exact"/>
              <w:ind w:left="0" w:firstLine="480" w:firstLineChars="200"/>
              <w:textAlignment w:val="auto"/>
              <w:rPr>
                <w:rFonts w:hint="eastAsia"/>
                <w:color w:val="auto"/>
                <w:u w:val="none" w:color="auto"/>
                <w:lang w:eastAsia="zh-CN"/>
              </w:rPr>
            </w:pPr>
            <w:r>
              <w:rPr>
                <w:color w:val="auto"/>
                <w:u w:val="none" w:color="auto"/>
              </w:rPr>
              <w:t>本项目</w:t>
            </w:r>
            <w:r>
              <w:rPr>
                <w:rFonts w:hint="eastAsia"/>
                <w:color w:val="auto"/>
                <w:u w:val="none" w:color="auto"/>
                <w:lang w:val="en-US" w:eastAsia="zh-CN"/>
              </w:rPr>
              <w:t>为精神病专科医院建设</w:t>
            </w:r>
            <w:r>
              <w:rPr>
                <w:color w:val="auto"/>
                <w:u w:val="none" w:color="auto"/>
              </w:rPr>
              <w:t>，根据《产业结构调整指导目录（</w:t>
            </w:r>
            <w:r>
              <w:rPr>
                <w:rFonts w:hint="eastAsia"/>
                <w:color w:val="auto"/>
                <w:u w:val="none" w:color="auto"/>
                <w:lang w:eastAsia="zh-CN"/>
              </w:rPr>
              <w:t>2024年本</w:t>
            </w:r>
            <w:r>
              <w:rPr>
                <w:color w:val="auto"/>
                <w:u w:val="none" w:color="auto"/>
              </w:rPr>
              <w:t>）</w:t>
            </w:r>
            <w:r>
              <w:rPr>
                <w:rFonts w:hint="eastAsia"/>
                <w:color w:val="auto"/>
                <w:u w:val="none" w:color="auto"/>
                <w:lang w:eastAsia="zh-CN"/>
              </w:rPr>
              <w:t>》《</w:t>
            </w:r>
            <w:r>
              <w:rPr>
                <w:color w:val="auto"/>
                <w:u w:val="none" w:color="auto"/>
              </w:rPr>
              <w:t>市场准入负面清单（2022年版）》 相关规定可知，本项目不属于国家《产业结构调整指导目录（</w:t>
            </w:r>
            <w:r>
              <w:rPr>
                <w:rFonts w:hint="eastAsia"/>
                <w:color w:val="auto"/>
                <w:u w:val="none" w:color="auto"/>
                <w:lang w:eastAsia="zh-CN"/>
              </w:rPr>
              <w:t>2024年本</w:t>
            </w:r>
            <w:r>
              <w:rPr>
                <w:color w:val="auto"/>
                <w:u w:val="none" w:color="auto"/>
              </w:rPr>
              <w:t>）》</w:t>
            </w:r>
            <w:r>
              <w:rPr>
                <w:rFonts w:hint="eastAsia"/>
                <w:color w:val="auto"/>
                <w:u w:val="none" w:color="auto"/>
              </w:rPr>
              <w:t>本项目属于“第一类鼓励类”中的“三十七、卫生健康”中的“6、传染病、儿童、精神卫生专科医院和康复医院（中心）、护理院（中心、站）、安宁疗护中心、全科医疗设施建设与服务”</w:t>
            </w:r>
            <w:r>
              <w:rPr>
                <w:rFonts w:hint="eastAsia"/>
                <w:color w:val="auto"/>
                <w:u w:val="none" w:color="auto"/>
                <w:lang w:eastAsia="zh-CN"/>
              </w:rPr>
              <w:t>，</w:t>
            </w:r>
            <w:r>
              <w:rPr>
                <w:color w:val="auto"/>
                <w:u w:val="none" w:color="auto"/>
              </w:rPr>
              <w:t>不在《市场准入负面清单（202</w:t>
            </w:r>
            <w:r>
              <w:rPr>
                <w:rFonts w:hint="eastAsia"/>
                <w:color w:val="auto"/>
                <w:u w:val="none" w:color="auto"/>
                <w:lang w:val="en-US" w:eastAsia="zh-CN"/>
              </w:rPr>
              <w:t>5</w:t>
            </w:r>
            <w:r>
              <w:rPr>
                <w:color w:val="auto"/>
                <w:u w:val="none" w:color="auto"/>
              </w:rPr>
              <w:t>年版）》所列名录范围内</w:t>
            </w:r>
            <w:r>
              <w:rPr>
                <w:rFonts w:hint="eastAsia"/>
                <w:color w:val="auto"/>
                <w:u w:val="none" w:color="auto"/>
                <w:lang w:eastAsia="zh-CN"/>
              </w:rPr>
              <w:t>，</w:t>
            </w:r>
            <w:r>
              <w:rPr>
                <w:rFonts w:hint="eastAsia"/>
                <w:color w:val="auto"/>
                <w:u w:val="none" w:color="auto"/>
                <w:lang w:val="en-US" w:eastAsia="zh-CN"/>
              </w:rPr>
              <w:t>因此符合</w:t>
            </w:r>
            <w:r>
              <w:rPr>
                <w:color w:val="auto"/>
                <w:u w:val="none" w:color="auto"/>
              </w:rPr>
              <w:t>《产业结构调整指导目录（</w:t>
            </w:r>
            <w:r>
              <w:rPr>
                <w:rFonts w:hint="eastAsia"/>
                <w:color w:val="auto"/>
                <w:u w:val="none" w:color="auto"/>
                <w:lang w:val="en-US" w:eastAsia="zh-CN"/>
              </w:rPr>
              <w:t>2024年本</w:t>
            </w:r>
            <w:r>
              <w:rPr>
                <w:color w:val="auto"/>
                <w:u w:val="none" w:color="auto"/>
              </w:rPr>
              <w:t>）</w:t>
            </w:r>
            <w:r>
              <w:rPr>
                <w:rFonts w:hint="eastAsia"/>
                <w:color w:val="auto"/>
                <w:u w:val="none" w:color="auto"/>
                <w:lang w:eastAsia="zh-CN"/>
              </w:rPr>
              <w:t>》《</w:t>
            </w:r>
            <w:r>
              <w:rPr>
                <w:color w:val="auto"/>
                <w:u w:val="none" w:color="auto"/>
              </w:rPr>
              <w:t>市场准入负面清单（202</w:t>
            </w:r>
            <w:r>
              <w:rPr>
                <w:rFonts w:hint="eastAsia"/>
                <w:color w:val="auto"/>
                <w:u w:val="none" w:color="auto"/>
                <w:lang w:val="en-US" w:eastAsia="zh-CN"/>
              </w:rPr>
              <w:t>5</w:t>
            </w:r>
            <w:r>
              <w:rPr>
                <w:color w:val="auto"/>
                <w:u w:val="none" w:color="auto"/>
              </w:rPr>
              <w:t>年版）》 相关规定</w:t>
            </w:r>
            <w:r>
              <w:rPr>
                <w:rFonts w:hint="eastAsia"/>
                <w:color w:val="auto"/>
                <w:u w:val="none" w:color="auto"/>
                <w:lang w:eastAsia="zh-CN"/>
              </w:rPr>
              <w:t>。</w:t>
            </w:r>
          </w:p>
          <w:p w14:paraId="7B9E3D13">
            <w:pPr>
              <w:pStyle w:val="36"/>
              <w:keepNext w:val="0"/>
              <w:keepLines w:val="0"/>
              <w:pageBreakBefore w:val="0"/>
              <w:numPr>
                <w:ilvl w:val="0"/>
                <w:numId w:val="0"/>
              </w:numPr>
              <w:kinsoku/>
              <w:wordWrap/>
              <w:overflowPunct/>
              <w:topLinePunct w:val="0"/>
              <w:autoSpaceDE/>
              <w:autoSpaceDN/>
              <w:bidi w:val="0"/>
              <w:adjustRightInd/>
              <w:snapToGrid/>
              <w:spacing w:line="480" w:lineRule="exact"/>
              <w:ind w:left="0" w:leftChars="0" w:firstLine="480" w:firstLineChars="200"/>
              <w:textAlignment w:val="auto"/>
              <w:rPr>
                <w:color w:val="auto"/>
                <w:u w:val="none" w:color="auto"/>
              </w:rPr>
            </w:pPr>
            <w:r>
              <w:rPr>
                <w:rFonts w:hint="eastAsia"/>
                <w:color w:val="auto"/>
                <w:u w:val="none" w:color="auto"/>
                <w:lang w:val="en-US" w:eastAsia="zh-CN"/>
              </w:rPr>
              <w:t>5、</w:t>
            </w:r>
            <w:r>
              <w:rPr>
                <w:color w:val="auto"/>
                <w:u w:val="none" w:color="auto"/>
              </w:rPr>
              <w:t>项目选址合理性分析</w:t>
            </w:r>
          </w:p>
          <w:p w14:paraId="5DFA02A4">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color w:val="auto"/>
                <w:u w:val="none" w:color="auto"/>
              </w:rPr>
            </w:pPr>
            <w:r>
              <w:rPr>
                <w:color w:val="auto"/>
                <w:u w:val="none" w:color="auto"/>
              </w:rPr>
              <w:t>项目</w:t>
            </w:r>
            <w:r>
              <w:rPr>
                <w:rFonts w:hint="eastAsia" w:ascii="宋体" w:hAnsi="宋体" w:cs="宋体"/>
                <w:color w:val="auto"/>
                <w:kern w:val="0"/>
                <w:sz w:val="24"/>
                <w:szCs w:val="24"/>
                <w:u w:val="none" w:color="auto"/>
                <w:lang w:val="en-US" w:eastAsia="zh-CN" w:bidi="ar"/>
              </w:rPr>
              <w:t>为</w:t>
            </w:r>
            <w:r>
              <w:rPr>
                <w:rFonts w:hint="eastAsia" w:ascii="宋体" w:hAnsi="宋体" w:eastAsia="宋体" w:cs="宋体"/>
                <w:color w:val="auto"/>
                <w:kern w:val="0"/>
                <w:sz w:val="24"/>
                <w:szCs w:val="24"/>
                <w:u w:val="none" w:color="auto"/>
                <w:lang w:val="en-US" w:eastAsia="zh-CN" w:bidi="ar"/>
              </w:rPr>
              <w:t>医疗卫生项目，</w:t>
            </w:r>
            <w:r>
              <w:rPr>
                <w:rFonts w:hint="eastAsia" w:ascii="宋体" w:hAnsi="宋体" w:cs="宋体"/>
                <w:color w:val="auto"/>
                <w:kern w:val="0"/>
                <w:sz w:val="24"/>
                <w:szCs w:val="24"/>
                <w:u w:val="none" w:color="auto"/>
                <w:lang w:val="en-US" w:eastAsia="zh-CN" w:bidi="ar"/>
              </w:rPr>
              <w:t>建设</w:t>
            </w:r>
            <w:r>
              <w:rPr>
                <w:color w:val="auto"/>
                <w:u w:val="none" w:color="auto"/>
              </w:rPr>
              <w:t>地点位于</w:t>
            </w:r>
            <w:r>
              <w:rPr>
                <w:rFonts w:hint="eastAsia"/>
                <w:color w:val="auto"/>
                <w:u w:val="none" w:color="auto"/>
                <w:lang w:eastAsia="zh-CN"/>
              </w:rPr>
              <w:t>南宁市经济开发区友谊路58-16 号高岭村九组三产综合楼2号楼</w:t>
            </w:r>
            <w:r>
              <w:rPr>
                <w:color w:val="auto"/>
                <w:u w:val="none" w:color="auto"/>
              </w:rPr>
              <w:t>，</w:t>
            </w:r>
            <w:r>
              <w:rPr>
                <w:rFonts w:hint="eastAsia" w:ascii="宋体" w:hAnsi="宋体" w:eastAsia="宋体" w:cs="宋体"/>
                <w:color w:val="auto"/>
                <w:kern w:val="0"/>
                <w:sz w:val="24"/>
                <w:szCs w:val="24"/>
                <w:u w:val="none" w:color="auto"/>
                <w:lang w:val="en-US" w:eastAsia="zh-CN" w:bidi="ar"/>
              </w:rPr>
              <w:t>服务方式主要为精神科住院诊疗、康复服务和门诊服务，以商业运营为主。根据项目的租地合同以及不动产登记证可知（见附件</w:t>
            </w:r>
            <w:r>
              <w:rPr>
                <w:rFonts w:hint="default" w:ascii="Times New Roman" w:hAnsi="Times New Roman" w:eastAsia="宋体" w:cs="Times New Roman"/>
                <w:color w:val="auto"/>
                <w:kern w:val="0"/>
                <w:sz w:val="24"/>
                <w:szCs w:val="24"/>
                <w:u w:val="none" w:color="auto"/>
                <w:lang w:val="en-US" w:eastAsia="zh-CN" w:bidi="ar"/>
              </w:rPr>
              <w:t>4</w:t>
            </w:r>
            <w:r>
              <w:rPr>
                <w:rFonts w:hint="eastAsia" w:ascii="宋体" w:hAnsi="宋体" w:eastAsia="宋体" w:cs="宋体"/>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5</w:t>
            </w:r>
            <w:r>
              <w:rPr>
                <w:rFonts w:hint="eastAsia" w:ascii="宋体" w:hAnsi="宋体" w:eastAsia="宋体" w:cs="宋体"/>
                <w:color w:val="auto"/>
                <w:kern w:val="0"/>
                <w:sz w:val="24"/>
                <w:szCs w:val="24"/>
                <w:u w:val="none" w:color="auto"/>
                <w:lang w:val="en-US" w:eastAsia="zh-CN" w:bidi="ar"/>
              </w:rPr>
              <w:t>），项目所在地块属于商业设施用地。</w:t>
            </w:r>
            <w:r>
              <w:rPr>
                <w:rFonts w:hint="eastAsia"/>
                <w:color w:val="auto"/>
                <w:u w:val="none" w:color="auto"/>
                <w:lang w:val="en-US" w:eastAsia="zh-CN"/>
              </w:rPr>
              <w:t>根据《关于印发促进社会办医持续健康规范发展意见的通知》（国卫医发〔2019〕42号）：“经土地和房屋所有法定权利人及其他产权人同意后，对闲置商业、办公</w:t>
            </w:r>
            <w:r>
              <w:rPr>
                <w:rFonts w:hint="eastAsia"/>
                <w:color w:val="auto"/>
                <w:highlight w:val="none"/>
                <w:u w:val="none" w:color="auto"/>
                <w:lang w:val="en-US" w:eastAsia="zh-CN"/>
              </w:rPr>
              <w:t>、工业等用房作必要改造用于举办医疗机构的，可适用过渡期政策，在5年内继续按原用途和权利类型使用土地，但原土地有偿使用合同约定或划拨决定书规定不得改变土地用途或改变用途由政府收回土地使用权的除外。”项目建设方已与房屋所有权人签订租赁协议（详见附件3），</w:t>
            </w:r>
            <w:r>
              <w:rPr>
                <w:rFonts w:hint="eastAsia"/>
                <w:color w:val="auto"/>
                <w:u w:val="none" w:color="auto"/>
                <w:lang w:val="en-US" w:eastAsia="zh-CN"/>
              </w:rPr>
              <w:t>因此项目用地选址符合要求。</w:t>
            </w:r>
            <w:r>
              <w:rPr>
                <w:color w:val="auto"/>
                <w:u w:val="none" w:color="auto"/>
              </w:rPr>
              <w:t>根据现场勘查，项目四周</w:t>
            </w:r>
            <w:r>
              <w:rPr>
                <w:rFonts w:hint="eastAsia"/>
                <w:color w:val="auto"/>
                <w:u w:val="none" w:color="auto"/>
                <w:lang w:val="en-US" w:eastAsia="zh-CN"/>
              </w:rPr>
              <w:t>为村屯及汽车修理、农家乐等商业服务店铺</w:t>
            </w:r>
            <w:r>
              <w:rPr>
                <w:color w:val="auto"/>
                <w:u w:val="none" w:color="auto"/>
              </w:rPr>
              <w:t>，未涉及国家公园、自然保护区、世界自然遗产</w:t>
            </w:r>
            <w:r>
              <w:rPr>
                <w:rFonts w:hint="eastAsia"/>
                <w:color w:val="auto"/>
                <w:u w:val="none" w:color="auto"/>
                <w:lang w:val="en-US" w:eastAsia="zh-CN"/>
              </w:rPr>
              <w:t>地</w:t>
            </w:r>
            <w:r>
              <w:rPr>
                <w:color w:val="auto"/>
                <w:u w:val="none" w:color="auto"/>
              </w:rPr>
              <w:t>、重要生境、森林公园、地质公园和重要水源地</w:t>
            </w:r>
            <w:r>
              <w:rPr>
                <w:rFonts w:hint="eastAsia"/>
                <w:color w:val="auto"/>
                <w:u w:val="none" w:color="auto"/>
                <w:lang w:eastAsia="zh-CN"/>
              </w:rPr>
              <w:t>、</w:t>
            </w:r>
            <w:r>
              <w:rPr>
                <w:color w:val="auto"/>
                <w:u w:val="none" w:color="auto"/>
              </w:rPr>
              <w:t>重要生态功能区</w:t>
            </w:r>
            <w:r>
              <w:rPr>
                <w:rFonts w:hint="eastAsia"/>
                <w:color w:val="auto"/>
                <w:u w:val="none" w:color="auto"/>
                <w:lang w:eastAsia="zh-CN"/>
              </w:rPr>
              <w:t>、</w:t>
            </w:r>
            <w:r>
              <w:rPr>
                <w:rFonts w:hint="eastAsia"/>
                <w:color w:val="auto"/>
                <w:u w:val="none" w:color="auto"/>
                <w:lang w:val="en-US" w:eastAsia="zh-CN"/>
              </w:rPr>
              <w:t>饮用水水源保护区</w:t>
            </w:r>
            <w:r>
              <w:rPr>
                <w:color w:val="auto"/>
                <w:u w:val="none" w:color="auto"/>
              </w:rPr>
              <w:t>等，不属于生态敏感区，不占用基本农田</w:t>
            </w:r>
            <w:r>
              <w:rPr>
                <w:rFonts w:hint="eastAsia"/>
                <w:color w:val="auto"/>
                <w:u w:val="none" w:color="auto"/>
                <w:lang w:eastAsia="zh-CN"/>
              </w:rPr>
              <w:t>，</w:t>
            </w:r>
            <w:r>
              <w:rPr>
                <w:rFonts w:hint="eastAsia"/>
                <w:color w:val="auto"/>
                <w:u w:val="none" w:color="auto"/>
                <w:lang w:val="en-US" w:eastAsia="zh-CN"/>
              </w:rPr>
              <w:t>项目所在地交通、通信、供电等方面供应条件良好，方便患者就医。</w:t>
            </w:r>
            <w:r>
              <w:rPr>
                <w:color w:val="auto"/>
                <w:u w:val="none" w:color="auto"/>
              </w:rPr>
              <w:t>项目在正常运行情况下，生产的废气、废水、固废量较少，噪声对周围环境影响不大，认真落实相应的污染防治措施后，均能达标排放，对周围环境影响较小。从环保角度分析，项目选址可行。</w:t>
            </w:r>
          </w:p>
          <w:p w14:paraId="3657AED4">
            <w:pPr>
              <w:keepNext w:val="0"/>
              <w:keepLines w:val="0"/>
              <w:pageBreakBefore w:val="0"/>
              <w:widowControl/>
              <w:suppressLineNumbers w:val="0"/>
              <w:kinsoku/>
              <w:wordWrap/>
              <w:overflowPunct/>
              <w:topLinePunct w:val="0"/>
              <w:autoSpaceDE/>
              <w:autoSpaceDN/>
              <w:bidi w:val="0"/>
              <w:adjustRightInd/>
              <w:snapToGrid/>
              <w:spacing w:line="480" w:lineRule="exact"/>
              <w:ind w:left="0" w:firstLine="480" w:firstLineChars="200"/>
              <w:jc w:val="left"/>
              <w:textAlignment w:val="auto"/>
              <w:rPr>
                <w:rFonts w:hint="eastAsia"/>
                <w:color w:val="auto"/>
                <w:u w:val="none" w:color="auto"/>
                <w:lang w:val="en-US" w:eastAsia="zh-CN"/>
              </w:rPr>
            </w:pPr>
            <w:r>
              <w:rPr>
                <w:rFonts w:hint="eastAsia"/>
                <w:color w:val="auto"/>
                <w:u w:val="none" w:color="auto"/>
                <w:lang w:val="en-US" w:eastAsia="zh-CN"/>
              </w:rPr>
              <w:t>6、项目与</w:t>
            </w:r>
            <w:bookmarkStart w:id="5" w:name="OLE_LINK2"/>
            <w:r>
              <w:rPr>
                <w:rFonts w:hint="eastAsia"/>
                <w:color w:val="auto"/>
                <w:u w:val="none" w:color="auto"/>
                <w:lang w:val="en-US" w:eastAsia="zh-CN"/>
              </w:rPr>
              <w:t>《南宁市医疗卫生服务体系“十四五”规划》</w:t>
            </w:r>
            <w:bookmarkEnd w:id="5"/>
            <w:r>
              <w:rPr>
                <w:rFonts w:hint="eastAsia"/>
                <w:color w:val="auto"/>
                <w:u w:val="none" w:color="auto"/>
                <w:lang w:val="en-US" w:eastAsia="zh-CN"/>
              </w:rPr>
              <w:t>相符性分析</w:t>
            </w:r>
          </w:p>
          <w:p w14:paraId="3B554609">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color w:val="auto"/>
                <w:u w:val="none" w:color="auto"/>
              </w:rPr>
            </w:pPr>
            <w:r>
              <w:rPr>
                <w:rFonts w:hint="eastAsia"/>
                <w:color w:val="auto"/>
                <w:u w:val="none" w:color="auto"/>
                <w:lang w:val="en-US" w:eastAsia="zh-CN"/>
              </w:rPr>
              <w:t>根据《南宁市医疗卫生服务体系“十四五”规划》，到2025年，基本建成分工明确、密切协作、运行高效的整合型医疗卫生服务体系，实现优质医疗卫生资源配置均衡化、基本医疗卫生服务均质化、基本公共卫生服务均等化；到2035年，全面建成强大的公共卫生体系和整合型医疗卫生服务体系，公共卫生安全保障能力和医疗服务质量保持全区领先水平，中医药实现振兴发展，全周期健康服务体系更加完善，医疗卫生服务体系基本实现现代化。本项目的服务方式主要是精神科住院诊疗、康复服务和门诊服务，可完善南宁市经济开发区医疗资源服务，对实现优质医疗卫生资源配置均衡化、基本医疗卫生服务均质化有一定的积极作用，符合南宁市医疗卫生服务体系“十四五”规划的要求。</w:t>
            </w:r>
          </w:p>
        </w:tc>
      </w:tr>
    </w:tbl>
    <w:p w14:paraId="62A46D78">
      <w:pPr>
        <w:ind w:firstLine="600"/>
        <w:outlineLvl w:val="0"/>
        <w:rPr>
          <w:rFonts w:eastAsia="黑体"/>
          <w:color w:val="auto"/>
          <w:sz w:val="30"/>
          <w:u w:val="none" w:color="auto"/>
        </w:rPr>
        <w:sectPr>
          <w:footerReference r:id="rId7" w:type="default"/>
          <w:pgSz w:w="11906" w:h="16838"/>
          <w:pgMar w:top="1531" w:right="1531" w:bottom="153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5CB78CB6">
      <w:pPr>
        <w:pStyle w:val="19"/>
        <w:ind w:firstLine="600"/>
        <w:jc w:val="center"/>
        <w:outlineLvl w:val="0"/>
        <w:rPr>
          <w:rFonts w:ascii="Times New Roman" w:hAnsi="Times New Roman" w:eastAsia="黑体"/>
          <w:snapToGrid w:val="0"/>
          <w:color w:val="auto"/>
          <w:sz w:val="30"/>
          <w:szCs w:val="30"/>
          <w:u w:val="none" w:color="auto"/>
        </w:rPr>
      </w:pPr>
      <w:bookmarkStart w:id="6" w:name="_Toc128130727"/>
      <w:r>
        <w:rPr>
          <w:rFonts w:ascii="Times New Roman" w:hAnsi="Times New Roman" w:eastAsia="黑体"/>
          <w:snapToGrid w:val="0"/>
          <w:color w:val="auto"/>
          <w:sz w:val="30"/>
          <w:szCs w:val="30"/>
          <w:u w:val="none" w:color="auto"/>
        </w:rPr>
        <w:t>二、建设项目工程分析</w:t>
      </w:r>
      <w:bookmarkEnd w:id="6"/>
    </w:p>
    <w:tbl>
      <w:tblPr>
        <w:tblStyle w:val="22"/>
        <w:tblW w:w="93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1"/>
        <w:gridCol w:w="1619"/>
        <w:gridCol w:w="7229"/>
      </w:tblGrid>
      <w:tr w14:paraId="147DAD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83" w:hRule="atLeast"/>
          <w:jc w:val="center"/>
        </w:trPr>
        <w:tc>
          <w:tcPr>
            <w:tcW w:w="461" w:type="dxa"/>
            <w:vAlign w:val="center"/>
          </w:tcPr>
          <w:p w14:paraId="2212B7C8">
            <w:pPr>
              <w:pStyle w:val="19"/>
              <w:adjustRightInd w:val="0"/>
              <w:snapToGrid w:val="0"/>
              <w:spacing w:before="0" w:beforeAutospacing="0" w:after="0" w:afterAutospacing="0" w:line="240" w:lineRule="auto"/>
              <w:ind w:firstLine="0" w:firstLineChars="0"/>
              <w:jc w:val="center"/>
              <w:rPr>
                <w:rFonts w:ascii="Times New Roman" w:hAnsi="Times New Roman"/>
                <w:color w:val="auto"/>
                <w:szCs w:val="21"/>
                <w:u w:val="none" w:color="auto"/>
              </w:rPr>
            </w:pPr>
            <w:r>
              <w:rPr>
                <w:rFonts w:ascii="Times New Roman" w:hAnsi="Times New Roman"/>
                <w:color w:val="auto"/>
                <w:szCs w:val="21"/>
                <w:u w:val="none" w:color="auto"/>
              </w:rPr>
              <w:t>建设内容</w:t>
            </w:r>
          </w:p>
        </w:tc>
        <w:tc>
          <w:tcPr>
            <w:tcW w:w="8848" w:type="dxa"/>
            <w:gridSpan w:val="2"/>
          </w:tcPr>
          <w:p w14:paraId="14D3418A">
            <w:pPr>
              <w:keepNext w:val="0"/>
              <w:keepLines w:val="0"/>
              <w:pageBreakBefore w:val="0"/>
              <w:widowControl w:val="0"/>
              <w:numPr>
                <w:ilvl w:val="0"/>
                <w:numId w:val="4"/>
              </w:numPr>
              <w:kinsoku/>
              <w:wordWrap/>
              <w:overflowPunct/>
              <w:topLinePunct w:val="0"/>
              <w:autoSpaceDE/>
              <w:autoSpaceDN/>
              <w:bidi w:val="0"/>
              <w:spacing w:line="460" w:lineRule="exact"/>
              <w:ind w:left="0" w:firstLine="482" w:firstLineChars="200"/>
              <w:textAlignment w:val="auto"/>
              <w:rPr>
                <w:b/>
                <w:bCs/>
                <w:color w:val="auto"/>
                <w:szCs w:val="22"/>
                <w:u w:val="none" w:color="auto"/>
              </w:rPr>
            </w:pPr>
            <w:r>
              <w:rPr>
                <w:b/>
                <w:bCs/>
                <w:color w:val="auto"/>
                <w:szCs w:val="22"/>
                <w:u w:val="none" w:color="auto"/>
              </w:rPr>
              <w:t>项目由来</w:t>
            </w:r>
          </w:p>
          <w:p w14:paraId="543737AD">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textAlignment w:val="auto"/>
              <w:rPr>
                <w:rFonts w:hint="default" w:eastAsia="宋体"/>
                <w:color w:val="auto"/>
                <w:szCs w:val="22"/>
                <w:u w:val="none" w:color="auto"/>
                <w:lang w:val="en-US" w:eastAsia="zh-CN"/>
              </w:rPr>
            </w:pPr>
            <w:r>
              <w:rPr>
                <w:rFonts w:hint="eastAsia"/>
                <w:color w:val="auto"/>
                <w:szCs w:val="22"/>
                <w:u w:val="none" w:color="auto"/>
              </w:rPr>
              <w:t>为了发展</w:t>
            </w:r>
            <w:r>
              <w:rPr>
                <w:rFonts w:hint="eastAsia"/>
                <w:color w:val="auto"/>
                <w:szCs w:val="22"/>
                <w:u w:val="none" w:color="auto"/>
                <w:lang w:val="en-US" w:eastAsia="zh-CN"/>
              </w:rPr>
              <w:t>当地</w:t>
            </w:r>
            <w:r>
              <w:rPr>
                <w:rFonts w:hint="eastAsia"/>
                <w:color w:val="auto"/>
                <w:szCs w:val="22"/>
                <w:u w:val="none" w:color="auto"/>
              </w:rPr>
              <w:t>精神康复服务，有效缓解当地精神病患者看病难、看病贵问题，让精神病患者不出县城就能享受到及时有效的门诊与住院治疗，</w:t>
            </w:r>
            <w:r>
              <w:rPr>
                <w:rFonts w:hint="eastAsia"/>
                <w:color w:val="auto"/>
                <w:szCs w:val="22"/>
                <w:u w:val="none" w:color="auto"/>
                <w:lang w:eastAsia="zh-CN"/>
              </w:rPr>
              <w:t>南宁市健宁精神病医院有限公司</w:t>
            </w:r>
            <w:r>
              <w:rPr>
                <w:rFonts w:hint="eastAsia"/>
                <w:color w:val="auto"/>
                <w:szCs w:val="22"/>
                <w:u w:val="none" w:color="auto"/>
              </w:rPr>
              <w:t>投资</w:t>
            </w:r>
            <w:r>
              <w:rPr>
                <w:rFonts w:hint="eastAsia"/>
                <w:color w:val="auto"/>
                <w:szCs w:val="22"/>
                <w:u w:val="none" w:color="auto"/>
                <w:lang w:val="en-US" w:eastAsia="zh-CN"/>
              </w:rPr>
              <w:t>2000</w:t>
            </w:r>
            <w:r>
              <w:rPr>
                <w:rFonts w:hint="eastAsia"/>
                <w:color w:val="auto"/>
                <w:szCs w:val="22"/>
                <w:u w:val="none" w:color="auto"/>
              </w:rPr>
              <w:t>万元于</w:t>
            </w:r>
            <w:r>
              <w:rPr>
                <w:rFonts w:hint="eastAsia"/>
                <w:color w:val="auto"/>
                <w:szCs w:val="22"/>
                <w:u w:val="none" w:color="auto"/>
                <w:lang w:eastAsia="zh-CN"/>
              </w:rPr>
              <w:t>南宁市经济开发区友谊路58-16 号高岭村九组三产综合楼</w:t>
            </w:r>
            <w:r>
              <w:rPr>
                <w:rFonts w:hint="eastAsia"/>
                <w:color w:val="auto"/>
                <w:szCs w:val="22"/>
                <w:u w:val="none" w:color="auto"/>
                <w:lang w:val="en-US" w:eastAsia="zh-CN"/>
              </w:rPr>
              <w:t>1号楼、</w:t>
            </w:r>
            <w:r>
              <w:rPr>
                <w:rFonts w:hint="eastAsia"/>
                <w:color w:val="auto"/>
                <w:szCs w:val="22"/>
                <w:u w:val="none" w:color="auto"/>
                <w:lang w:eastAsia="zh-CN"/>
              </w:rPr>
              <w:t>2号楼</w:t>
            </w:r>
            <w:r>
              <w:rPr>
                <w:rFonts w:hint="eastAsia"/>
                <w:color w:val="auto"/>
                <w:szCs w:val="22"/>
                <w:u w:val="none" w:color="auto"/>
              </w:rPr>
              <w:t>建设</w:t>
            </w:r>
            <w:r>
              <w:rPr>
                <w:rFonts w:hint="eastAsia"/>
                <w:color w:val="auto"/>
                <w:szCs w:val="22"/>
                <w:u w:val="none" w:color="auto"/>
                <w:lang w:eastAsia="zh-CN"/>
              </w:rPr>
              <w:t>南宁市健宁精神病医院，</w:t>
            </w:r>
            <w:r>
              <w:rPr>
                <w:rFonts w:hint="eastAsia"/>
                <w:color w:val="auto"/>
                <w:szCs w:val="22"/>
                <w:u w:val="none" w:color="auto"/>
                <w:lang w:val="en-US" w:eastAsia="zh-CN"/>
              </w:rPr>
              <w:t>以二级专科医院为目标，拟报批227张床位，收治精神病患者，提供集医疗、预防、康复、中医服务为一体的医疗服务</w:t>
            </w:r>
            <w:r>
              <w:rPr>
                <w:rFonts w:hint="eastAsia"/>
                <w:color w:val="auto"/>
                <w:szCs w:val="22"/>
                <w:u w:val="none" w:color="auto"/>
              </w:rPr>
              <w:t>。</w:t>
            </w:r>
            <w:r>
              <w:rPr>
                <w:rFonts w:hint="eastAsia"/>
                <w:color w:val="0000FF"/>
                <w:szCs w:val="22"/>
                <w:u w:val="none" w:color="auto"/>
                <w:lang w:val="en-US" w:eastAsia="zh-CN"/>
              </w:rPr>
              <w:t>根据企业提供的资料，由于1号楼已用于建设三玖医院（建设单位：南宁三玖医院管理有限公司），该项目已取得核准批复及环评批复，因此本次评价仅对2号楼内的建设内容进行评价。2号楼总建筑面积为6458.62m</w:t>
            </w:r>
            <w:r>
              <w:rPr>
                <w:rFonts w:hint="eastAsia"/>
                <w:color w:val="0000FF"/>
                <w:szCs w:val="22"/>
                <w:u w:val="none" w:color="auto"/>
                <w:vertAlign w:val="superscript"/>
                <w:lang w:val="en-US" w:eastAsia="zh-CN"/>
              </w:rPr>
              <w:t>2</w:t>
            </w:r>
            <w:r>
              <w:rPr>
                <w:rFonts w:hint="eastAsia"/>
                <w:color w:val="0000FF"/>
                <w:szCs w:val="22"/>
                <w:u w:val="none" w:color="auto"/>
                <w:lang w:val="en-US" w:eastAsia="zh-CN"/>
              </w:rPr>
              <w:t>，根据国家卫生委员会《关于下发&lt;医疗机构基本标准（试行）&gt;》的通知》：二级精神病医院每床建筑面积不少于40平方米，由此折算可设置161个床位，因而本次评价按照161个床位来评价。</w:t>
            </w:r>
          </w:p>
          <w:p w14:paraId="074D52D1">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本次环评不涉及放射科及辐射等相关内容，</w:t>
            </w:r>
            <w:r>
              <w:rPr>
                <w:rFonts w:hint="default" w:ascii="Times New Roman" w:hAnsi="Times New Roman" w:eastAsia="宋体" w:cs="Times New Roman"/>
                <w:color w:val="auto"/>
                <w:sz w:val="24"/>
                <w:szCs w:val="24"/>
                <w:u w:val="none" w:color="auto"/>
                <w:lang w:val="en-US" w:eastAsia="zh-CN"/>
              </w:rPr>
              <w:t>根据企业提供的资料，DR室设备为数字X线摄影设备，该设备属于‌Ⅲ类射线装置，根据《建设项目环境影响评价分类管理名录（2021年版）》，生产、销售、使用‌Ⅲ类射线装置的，须做环评登记表，该项另行进行，不在本报告评价。</w:t>
            </w:r>
          </w:p>
          <w:p w14:paraId="5B6E1A10">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textAlignment w:val="auto"/>
              <w:rPr>
                <w:color w:val="auto"/>
                <w:szCs w:val="22"/>
                <w:u w:val="none" w:color="auto"/>
              </w:rPr>
            </w:pPr>
            <w:r>
              <w:rPr>
                <w:color w:val="auto"/>
                <w:szCs w:val="22"/>
                <w:u w:val="none" w:color="auto"/>
              </w:rPr>
              <w:t>根据《中华人民共和国环境影响评价法</w:t>
            </w:r>
            <w:r>
              <w:rPr>
                <w:rFonts w:hint="eastAsia"/>
                <w:color w:val="auto"/>
                <w:szCs w:val="22"/>
                <w:u w:val="none" w:color="auto"/>
                <w:lang w:eastAsia="zh-CN"/>
              </w:rPr>
              <w:t>》《</w:t>
            </w:r>
            <w:r>
              <w:rPr>
                <w:color w:val="auto"/>
                <w:szCs w:val="22"/>
                <w:u w:val="none" w:color="auto"/>
              </w:rPr>
              <w:t>建设项目环境保护管理条例》以及《建设项目环境影响评价分类管理名录</w:t>
            </w:r>
            <w:r>
              <w:rPr>
                <w:rFonts w:hint="eastAsia"/>
                <w:color w:val="auto"/>
                <w:szCs w:val="22"/>
                <w:u w:val="none" w:color="auto"/>
                <w:lang w:eastAsia="zh-CN"/>
              </w:rPr>
              <w:t>（</w:t>
            </w:r>
            <w:r>
              <w:rPr>
                <w:color w:val="auto"/>
                <w:szCs w:val="22"/>
                <w:u w:val="none" w:color="auto"/>
              </w:rPr>
              <w:t>2021年版</w:t>
            </w:r>
            <w:r>
              <w:rPr>
                <w:rFonts w:hint="eastAsia"/>
                <w:color w:val="auto"/>
                <w:szCs w:val="22"/>
                <w:u w:val="none" w:color="auto"/>
                <w:lang w:eastAsia="zh-CN"/>
              </w:rPr>
              <w:t>）</w:t>
            </w:r>
            <w:r>
              <w:rPr>
                <w:color w:val="auto"/>
                <w:szCs w:val="22"/>
                <w:u w:val="none" w:color="auto"/>
              </w:rPr>
              <w:t>》的有关规定，项目属于“</w:t>
            </w:r>
            <w:r>
              <w:rPr>
                <w:rFonts w:hint="eastAsia"/>
                <w:color w:val="auto"/>
                <w:szCs w:val="22"/>
                <w:u w:val="none" w:color="auto"/>
              </w:rPr>
              <w:t>四十九、卫生84-108、医院841；专科疾病防治院（所、站）8432；妇幼保健院（所、站）8433；急救中心（站）服务8434；采供血机构服务8435；基层医疗卫生服务842－其他（住院床位20 张以下的除外）</w:t>
            </w:r>
            <w:r>
              <w:rPr>
                <w:color w:val="auto"/>
                <w:szCs w:val="22"/>
                <w:u w:val="none" w:color="auto"/>
              </w:rPr>
              <w:t>”，应编制环境影响报告表。</w:t>
            </w:r>
            <w:r>
              <w:rPr>
                <w:rFonts w:hint="eastAsia"/>
                <w:color w:val="auto"/>
                <w:szCs w:val="22"/>
                <w:u w:val="none" w:color="auto"/>
                <w:lang w:eastAsia="zh-CN"/>
              </w:rPr>
              <w:t>南宁市健宁精神病医院有限公司</w:t>
            </w:r>
            <w:r>
              <w:rPr>
                <w:color w:val="auto"/>
                <w:szCs w:val="22"/>
                <w:u w:val="none" w:color="auto"/>
              </w:rPr>
              <w:t>委托我公司对该项目进行环境影响评价工作。接受委托后，对建设工程区域环境进行了详细的调查和踏勘，对有关资料进行认真分析，编制本项目的环境影响报告表。</w:t>
            </w:r>
          </w:p>
          <w:p w14:paraId="1ADD257D">
            <w:pPr>
              <w:pStyle w:val="36"/>
              <w:keepNext w:val="0"/>
              <w:keepLines w:val="0"/>
              <w:pageBreakBefore w:val="0"/>
              <w:widowControl w:val="0"/>
              <w:numPr>
                <w:ilvl w:val="0"/>
                <w:numId w:val="4"/>
              </w:numPr>
              <w:kinsoku/>
              <w:wordWrap/>
              <w:overflowPunct/>
              <w:topLinePunct w:val="0"/>
              <w:autoSpaceDE/>
              <w:autoSpaceDN/>
              <w:bidi w:val="0"/>
              <w:adjustRightInd w:val="0"/>
              <w:snapToGrid w:val="0"/>
              <w:spacing w:line="460" w:lineRule="exact"/>
              <w:ind w:left="0" w:firstLine="482" w:firstLineChars="200"/>
              <w:jc w:val="left"/>
              <w:textAlignment w:val="auto"/>
              <w:rPr>
                <w:b/>
                <w:bCs/>
                <w:color w:val="auto"/>
                <w:u w:val="none" w:color="auto"/>
              </w:rPr>
            </w:pPr>
            <w:r>
              <w:rPr>
                <w:b/>
                <w:bCs/>
                <w:color w:val="auto"/>
                <w:u w:val="none" w:color="auto"/>
              </w:rPr>
              <w:t>项目概况</w:t>
            </w:r>
          </w:p>
          <w:p w14:paraId="7C4D3EF9">
            <w:pPr>
              <w:keepNext w:val="0"/>
              <w:keepLines w:val="0"/>
              <w:pageBreakBefore w:val="0"/>
              <w:widowControl w:val="0"/>
              <w:kinsoku/>
              <w:wordWrap/>
              <w:overflowPunct/>
              <w:topLinePunct w:val="0"/>
              <w:autoSpaceDE/>
              <w:autoSpaceDN/>
              <w:bidi w:val="0"/>
              <w:adjustRightInd w:val="0"/>
              <w:snapToGrid w:val="0"/>
              <w:spacing w:line="480" w:lineRule="exact"/>
              <w:ind w:left="0" w:firstLine="480" w:firstLineChars="200"/>
              <w:jc w:val="left"/>
              <w:textAlignment w:val="auto"/>
              <w:rPr>
                <w:color w:val="auto"/>
                <w:u w:val="none" w:color="auto"/>
              </w:rPr>
            </w:pPr>
            <w:r>
              <w:rPr>
                <w:color w:val="auto"/>
                <w:u w:val="none" w:color="auto"/>
              </w:rPr>
              <w:t>（1）项目名称：</w:t>
            </w:r>
            <w:r>
              <w:rPr>
                <w:rFonts w:hint="eastAsia"/>
                <w:color w:val="auto"/>
                <w:u w:val="none" w:color="auto"/>
                <w:lang w:eastAsia="zh-CN"/>
              </w:rPr>
              <w:t>南宁市健宁精神病医院建设项目</w:t>
            </w:r>
            <w:r>
              <w:rPr>
                <w:color w:val="auto"/>
                <w:u w:val="none" w:color="auto"/>
              </w:rPr>
              <w:t>。</w:t>
            </w:r>
          </w:p>
          <w:p w14:paraId="39ACE002">
            <w:pPr>
              <w:keepNext w:val="0"/>
              <w:keepLines w:val="0"/>
              <w:pageBreakBefore w:val="0"/>
              <w:widowControl w:val="0"/>
              <w:kinsoku/>
              <w:wordWrap/>
              <w:overflowPunct/>
              <w:topLinePunct w:val="0"/>
              <w:autoSpaceDE/>
              <w:autoSpaceDN/>
              <w:bidi w:val="0"/>
              <w:adjustRightInd w:val="0"/>
              <w:snapToGrid w:val="0"/>
              <w:spacing w:line="480" w:lineRule="exact"/>
              <w:ind w:left="0" w:firstLine="480" w:firstLineChars="200"/>
              <w:jc w:val="left"/>
              <w:textAlignment w:val="auto"/>
              <w:rPr>
                <w:color w:val="auto"/>
                <w:u w:val="none" w:color="auto"/>
              </w:rPr>
            </w:pPr>
            <w:r>
              <w:rPr>
                <w:color w:val="auto"/>
                <w:u w:val="none" w:color="auto"/>
              </w:rPr>
              <w:t>（2）建设单位：</w:t>
            </w:r>
            <w:r>
              <w:rPr>
                <w:rFonts w:hint="eastAsia"/>
                <w:color w:val="auto"/>
                <w:u w:val="none" w:color="auto"/>
                <w:lang w:eastAsia="zh-CN"/>
              </w:rPr>
              <w:t>南宁市健宁精神病医院有限公司</w:t>
            </w:r>
            <w:r>
              <w:rPr>
                <w:color w:val="auto"/>
                <w:u w:val="none" w:color="auto"/>
              </w:rPr>
              <w:t>。</w:t>
            </w:r>
          </w:p>
          <w:p w14:paraId="4A7F4F97">
            <w:pPr>
              <w:keepNext w:val="0"/>
              <w:keepLines w:val="0"/>
              <w:pageBreakBefore w:val="0"/>
              <w:widowControl w:val="0"/>
              <w:kinsoku/>
              <w:wordWrap/>
              <w:overflowPunct/>
              <w:topLinePunct w:val="0"/>
              <w:autoSpaceDE/>
              <w:autoSpaceDN/>
              <w:bidi w:val="0"/>
              <w:adjustRightInd w:val="0"/>
              <w:snapToGrid w:val="0"/>
              <w:spacing w:line="480" w:lineRule="exact"/>
              <w:ind w:left="0" w:firstLine="480" w:firstLineChars="200"/>
              <w:jc w:val="left"/>
              <w:textAlignment w:val="auto"/>
              <w:rPr>
                <w:color w:val="auto"/>
                <w:u w:val="none" w:color="auto"/>
              </w:rPr>
            </w:pPr>
            <w:r>
              <w:rPr>
                <w:color w:val="auto"/>
                <w:u w:val="none" w:color="auto"/>
              </w:rPr>
              <w:t>（3）项目性质：新建。</w:t>
            </w:r>
          </w:p>
          <w:p w14:paraId="403067D2">
            <w:pPr>
              <w:keepNext w:val="0"/>
              <w:keepLines w:val="0"/>
              <w:pageBreakBefore w:val="0"/>
              <w:widowControl w:val="0"/>
              <w:kinsoku/>
              <w:wordWrap/>
              <w:overflowPunct/>
              <w:topLinePunct w:val="0"/>
              <w:autoSpaceDE/>
              <w:autoSpaceDN/>
              <w:bidi w:val="0"/>
              <w:adjustRightInd w:val="0"/>
              <w:snapToGrid w:val="0"/>
              <w:spacing w:line="480" w:lineRule="exact"/>
              <w:ind w:left="0" w:firstLine="480" w:firstLineChars="200"/>
              <w:jc w:val="left"/>
              <w:textAlignment w:val="auto"/>
              <w:rPr>
                <w:color w:val="auto"/>
                <w:u w:val="none" w:color="auto"/>
              </w:rPr>
            </w:pPr>
            <w:r>
              <w:rPr>
                <w:color w:val="auto"/>
                <w:u w:val="none" w:color="auto"/>
              </w:rPr>
              <w:t>（4）建设地点：</w:t>
            </w:r>
            <w:r>
              <w:rPr>
                <w:rFonts w:hint="eastAsia"/>
                <w:color w:val="auto"/>
                <w:u w:val="none" w:color="auto"/>
                <w:lang w:eastAsia="zh-CN"/>
              </w:rPr>
              <w:t>南宁市经济开发区友谊路58-16 号友谊路西侧、外环高速公路南面高岭村九组三产综合楼2号楼</w:t>
            </w:r>
            <w:r>
              <w:rPr>
                <w:color w:val="auto"/>
                <w:u w:val="none" w:color="auto"/>
              </w:rPr>
              <w:t>（</w:t>
            </w:r>
            <w:r>
              <w:rPr>
                <w:rFonts w:hint="eastAsia"/>
                <w:color w:val="auto"/>
                <w:u w:val="none" w:color="auto"/>
                <w:lang w:eastAsia="zh-CN"/>
              </w:rPr>
              <w:t>场址</w:t>
            </w:r>
            <w:r>
              <w:rPr>
                <w:color w:val="auto"/>
                <w:u w:val="none" w:color="auto"/>
              </w:rPr>
              <w:t>中心地理坐标：</w:t>
            </w:r>
            <w:r>
              <w:rPr>
                <w:rFonts w:hint="eastAsia" w:eastAsiaTheme="minorEastAsia"/>
                <w:color w:val="auto"/>
                <w:sz w:val="24"/>
                <w:u w:val="none" w:color="auto"/>
                <w:lang w:val="en-US" w:eastAsia="zh-CN"/>
              </w:rPr>
              <w:t>东经108度17分34.795秒</w:t>
            </w:r>
            <w:r>
              <w:rPr>
                <w:rFonts w:eastAsiaTheme="minorEastAsia"/>
                <w:color w:val="auto"/>
                <w:sz w:val="24"/>
                <w:u w:val="none" w:color="auto"/>
              </w:rPr>
              <w:t>，</w:t>
            </w:r>
            <w:r>
              <w:rPr>
                <w:rFonts w:hint="eastAsia" w:eastAsiaTheme="minorEastAsia"/>
                <w:color w:val="auto"/>
                <w:sz w:val="24"/>
                <w:u w:val="none" w:color="auto"/>
                <w:lang w:val="en-US" w:eastAsia="zh-CN"/>
              </w:rPr>
              <w:t>北纬22度43分55.526秒</w:t>
            </w:r>
            <w:r>
              <w:rPr>
                <w:color w:val="auto"/>
                <w:u w:val="none" w:color="auto"/>
              </w:rPr>
              <w:t>）</w:t>
            </w:r>
          </w:p>
          <w:p w14:paraId="15C0077E">
            <w:pPr>
              <w:keepNext w:val="0"/>
              <w:keepLines w:val="0"/>
              <w:pageBreakBefore w:val="0"/>
              <w:widowControl w:val="0"/>
              <w:kinsoku/>
              <w:wordWrap/>
              <w:overflowPunct/>
              <w:topLinePunct w:val="0"/>
              <w:autoSpaceDE/>
              <w:autoSpaceDN/>
              <w:bidi w:val="0"/>
              <w:adjustRightInd w:val="0"/>
              <w:snapToGrid w:val="0"/>
              <w:spacing w:line="480" w:lineRule="exact"/>
              <w:ind w:left="0" w:firstLine="480" w:firstLineChars="200"/>
              <w:jc w:val="left"/>
              <w:textAlignment w:val="auto"/>
              <w:rPr>
                <w:color w:val="auto"/>
                <w:highlight w:val="none"/>
                <w:u w:val="none" w:color="auto"/>
              </w:rPr>
            </w:pPr>
            <w:r>
              <w:rPr>
                <w:color w:val="auto"/>
                <w:u w:val="none" w:color="auto"/>
              </w:rPr>
              <w:t>（5）项</w:t>
            </w:r>
            <w:r>
              <w:rPr>
                <w:color w:val="auto"/>
                <w:highlight w:val="none"/>
                <w:u w:val="none" w:color="auto"/>
              </w:rPr>
              <w:t>目总投资：</w:t>
            </w:r>
            <w:r>
              <w:rPr>
                <w:rFonts w:hint="eastAsia"/>
                <w:color w:val="auto"/>
                <w:highlight w:val="none"/>
                <w:u w:val="none" w:color="auto"/>
                <w:lang w:val="en-US" w:eastAsia="zh-CN"/>
              </w:rPr>
              <w:t>2</w:t>
            </w:r>
            <w:r>
              <w:rPr>
                <w:color w:val="auto"/>
                <w:highlight w:val="none"/>
                <w:u w:val="none" w:color="auto"/>
              </w:rPr>
              <w:t>000万元，其中环保投资</w:t>
            </w:r>
            <w:r>
              <w:rPr>
                <w:rFonts w:hint="eastAsia"/>
                <w:color w:val="auto"/>
                <w:highlight w:val="none"/>
                <w:u w:val="none" w:color="auto"/>
                <w:lang w:val="en-US" w:eastAsia="zh-CN"/>
              </w:rPr>
              <w:t>43.2</w:t>
            </w:r>
            <w:r>
              <w:rPr>
                <w:color w:val="auto"/>
                <w:highlight w:val="none"/>
                <w:u w:val="none" w:color="auto"/>
              </w:rPr>
              <w:t>万元，环保投资占总投资</w:t>
            </w:r>
            <w:r>
              <w:rPr>
                <w:rFonts w:hint="eastAsia"/>
                <w:color w:val="auto"/>
                <w:highlight w:val="none"/>
                <w:u w:val="none" w:color="auto"/>
                <w:lang w:val="en-US" w:eastAsia="zh-CN"/>
              </w:rPr>
              <w:t>2.16</w:t>
            </w:r>
            <w:r>
              <w:rPr>
                <w:color w:val="auto"/>
                <w:highlight w:val="none"/>
                <w:u w:val="none" w:color="auto"/>
              </w:rPr>
              <w:t>%。</w:t>
            </w:r>
          </w:p>
          <w:p w14:paraId="0EB175D5">
            <w:pPr>
              <w:keepNext w:val="0"/>
              <w:keepLines w:val="0"/>
              <w:pageBreakBefore w:val="0"/>
              <w:widowControl w:val="0"/>
              <w:kinsoku/>
              <w:wordWrap/>
              <w:overflowPunct/>
              <w:topLinePunct w:val="0"/>
              <w:autoSpaceDE/>
              <w:autoSpaceDN/>
              <w:bidi w:val="0"/>
              <w:spacing w:line="480" w:lineRule="exact"/>
              <w:ind w:left="0" w:firstLine="480" w:firstLineChars="200"/>
              <w:jc w:val="left"/>
              <w:textAlignment w:val="auto"/>
              <w:rPr>
                <w:color w:val="auto"/>
                <w:u w:val="none" w:color="auto"/>
              </w:rPr>
            </w:pPr>
            <w:r>
              <w:rPr>
                <w:color w:val="auto"/>
                <w:u w:val="none" w:color="auto"/>
              </w:rPr>
              <w:t>（</w:t>
            </w:r>
            <w:r>
              <w:rPr>
                <w:rFonts w:hint="eastAsia"/>
                <w:color w:val="auto"/>
                <w:u w:val="none" w:color="auto"/>
                <w:lang w:val="en-US" w:eastAsia="zh-CN"/>
              </w:rPr>
              <w:t>6</w:t>
            </w:r>
            <w:r>
              <w:rPr>
                <w:color w:val="auto"/>
                <w:u w:val="none" w:color="auto"/>
              </w:rPr>
              <w:t>）建设内容：</w:t>
            </w:r>
            <w:r>
              <w:rPr>
                <w:rFonts w:hint="eastAsia"/>
                <w:color w:val="auto"/>
                <w:u w:val="none" w:color="auto"/>
                <w:lang w:val="en-US" w:eastAsia="zh-CN"/>
              </w:rPr>
              <w:t>项目租赁南宁市江南区金凯街道高岭村九组现有</w:t>
            </w:r>
            <w:r>
              <w:rPr>
                <w:rFonts w:hint="eastAsia"/>
                <w:color w:val="auto"/>
                <w:u w:val="none" w:color="auto"/>
                <w:lang w:eastAsia="zh-CN"/>
              </w:rPr>
              <w:t>三产综合楼2号楼</w:t>
            </w:r>
            <w:r>
              <w:rPr>
                <w:rFonts w:hint="eastAsia"/>
                <w:color w:val="auto"/>
                <w:szCs w:val="22"/>
                <w:u w:val="none" w:color="auto"/>
                <w:lang w:val="en-US" w:eastAsia="zh-CN"/>
              </w:rPr>
              <w:t>（租赁合同及土地证明材料详见附件4、5）</w:t>
            </w:r>
            <w:r>
              <w:rPr>
                <w:rFonts w:hint="eastAsia"/>
                <w:color w:val="auto"/>
                <w:u w:val="none" w:color="auto"/>
                <w:lang w:val="en-US" w:eastAsia="zh-CN"/>
              </w:rPr>
              <w:t>，</w:t>
            </w:r>
            <w:r>
              <w:rPr>
                <w:rFonts w:hint="eastAsia" w:ascii="宋体" w:hAnsi="宋体" w:eastAsia="宋体"/>
                <w:color w:val="auto"/>
                <w:sz w:val="24"/>
                <w:szCs w:val="24"/>
                <w:u w:val="none" w:color="auto"/>
              </w:rPr>
              <w:t>设置床位</w:t>
            </w:r>
            <w:r>
              <w:rPr>
                <w:rFonts w:hint="eastAsia" w:ascii="TimesNewRomanPSMT" w:hAnsi="TimesNewRomanPSMT"/>
                <w:color w:val="0000FF"/>
                <w:sz w:val="24"/>
                <w:szCs w:val="24"/>
                <w:u w:val="none" w:color="auto"/>
                <w:lang w:val="en-US" w:eastAsia="zh-CN"/>
              </w:rPr>
              <w:t>161</w:t>
            </w:r>
            <w:r>
              <w:rPr>
                <w:rFonts w:hint="eastAsia" w:ascii="TimesNewRomanPSMT" w:hAnsi="TimesNewRomanPSMT"/>
                <w:color w:val="auto"/>
                <w:sz w:val="24"/>
                <w:szCs w:val="24"/>
                <w:u w:val="none" w:color="auto"/>
                <w:lang w:val="en-US" w:eastAsia="zh-CN"/>
              </w:rPr>
              <w:t>张</w:t>
            </w:r>
            <w:r>
              <w:rPr>
                <w:rFonts w:hint="eastAsia" w:ascii="宋体" w:hAnsi="宋体" w:eastAsia="宋体"/>
                <w:color w:val="auto"/>
                <w:sz w:val="24"/>
                <w:szCs w:val="24"/>
                <w:u w:val="none" w:color="auto"/>
              </w:rPr>
              <w:t>，</w:t>
            </w:r>
            <w:r>
              <w:rPr>
                <w:rFonts w:hint="eastAsia" w:ascii="宋体" w:hAnsi="宋体"/>
                <w:color w:val="auto"/>
                <w:sz w:val="24"/>
                <w:szCs w:val="24"/>
                <w:u w:val="none" w:color="auto"/>
                <w:lang w:val="en-US" w:eastAsia="zh-CN"/>
              </w:rPr>
              <w:t>预计</w:t>
            </w:r>
            <w:r>
              <w:rPr>
                <w:rFonts w:hint="eastAsia" w:ascii="宋体" w:hAnsi="宋体" w:eastAsia="宋体"/>
                <w:color w:val="auto"/>
                <w:sz w:val="24"/>
                <w:szCs w:val="24"/>
                <w:u w:val="none" w:color="auto"/>
              </w:rPr>
              <w:t>门诊量</w:t>
            </w:r>
            <w:r>
              <w:rPr>
                <w:rFonts w:hint="eastAsia" w:ascii="TimesNewRomanPSMT" w:hAnsi="TimesNewRomanPSMT"/>
                <w:color w:val="auto"/>
                <w:sz w:val="24"/>
                <w:szCs w:val="24"/>
                <w:u w:val="none" w:color="auto"/>
                <w:lang w:val="en-US" w:eastAsia="zh-CN"/>
              </w:rPr>
              <w:t>50</w:t>
            </w:r>
            <w:r>
              <w:rPr>
                <w:rFonts w:hint="eastAsia" w:ascii="宋体" w:hAnsi="宋体" w:eastAsia="宋体"/>
                <w:color w:val="auto"/>
                <w:sz w:val="24"/>
                <w:szCs w:val="24"/>
                <w:u w:val="none" w:color="auto"/>
              </w:rPr>
              <w:t>人次</w:t>
            </w:r>
            <w:r>
              <w:rPr>
                <w:rFonts w:hint="eastAsia" w:ascii="TimesNewRomanPSMT" w:hAnsi="TimesNewRomanPSMT" w:eastAsia="TimesNewRomanPSMT"/>
                <w:color w:val="auto"/>
                <w:sz w:val="24"/>
                <w:szCs w:val="24"/>
                <w:u w:val="none" w:color="auto"/>
              </w:rPr>
              <w:t>/d</w:t>
            </w:r>
            <w:r>
              <w:rPr>
                <w:rFonts w:hint="eastAsia" w:ascii="宋体" w:hAnsi="宋体" w:eastAsia="宋体"/>
                <w:color w:val="auto"/>
                <w:sz w:val="24"/>
                <w:szCs w:val="24"/>
                <w:u w:val="none" w:color="auto"/>
              </w:rPr>
              <w:t>，</w:t>
            </w:r>
            <w:r>
              <w:rPr>
                <w:rFonts w:hint="eastAsia" w:ascii="宋体" w:hAnsi="宋体"/>
                <w:color w:val="auto"/>
                <w:sz w:val="24"/>
                <w:szCs w:val="24"/>
                <w:u w:val="none" w:color="auto"/>
                <w:lang w:val="en-US" w:eastAsia="zh-CN"/>
              </w:rPr>
              <w:t>对现有建筑进行装修改造，设置门诊用房、住院用房、医技用房、康复用房、行政办公用房</w:t>
            </w:r>
            <w:r>
              <w:rPr>
                <w:rFonts w:hint="eastAsia" w:ascii="宋体" w:hAnsi="宋体" w:eastAsia="宋体"/>
                <w:color w:val="auto"/>
                <w:sz w:val="24"/>
                <w:szCs w:val="24"/>
                <w:u w:val="none" w:color="auto"/>
              </w:rPr>
              <w:t>等，并配套</w:t>
            </w:r>
            <w:r>
              <w:rPr>
                <w:rFonts w:hint="eastAsia" w:ascii="宋体" w:hAnsi="宋体"/>
                <w:color w:val="auto"/>
                <w:sz w:val="24"/>
                <w:szCs w:val="24"/>
                <w:u w:val="none" w:color="auto"/>
                <w:lang w:val="en-US" w:eastAsia="zh-CN"/>
              </w:rPr>
              <w:t>食堂、</w:t>
            </w:r>
            <w:r>
              <w:rPr>
                <w:rFonts w:hint="eastAsia" w:ascii="宋体" w:hAnsi="宋体" w:eastAsia="宋体"/>
                <w:color w:val="auto"/>
                <w:sz w:val="24"/>
                <w:szCs w:val="24"/>
                <w:u w:val="none" w:color="auto"/>
              </w:rPr>
              <w:t>污水处理站、给排水、供电等相关配套设施</w:t>
            </w:r>
            <w:r>
              <w:rPr>
                <w:rFonts w:hint="eastAsia"/>
                <w:color w:val="auto"/>
                <w:szCs w:val="22"/>
                <w:u w:val="none" w:color="auto"/>
                <w:lang w:val="en-US" w:eastAsia="zh-CN"/>
              </w:rPr>
              <w:t>，收治精神病患者，提供集医疗、预防、康复为一体的医疗服务，不设置感染性病房、药理生物实验室</w:t>
            </w:r>
            <w:r>
              <w:rPr>
                <w:color w:val="auto"/>
                <w:u w:val="none" w:color="auto"/>
              </w:rPr>
              <w:t>。</w:t>
            </w:r>
          </w:p>
          <w:p w14:paraId="42885F2E">
            <w:pPr>
              <w:keepNext w:val="0"/>
              <w:keepLines w:val="0"/>
              <w:pageBreakBefore w:val="0"/>
              <w:widowControl/>
              <w:suppressLineNumbers w:val="0"/>
              <w:kinsoku/>
              <w:wordWrap/>
              <w:overflowPunct/>
              <w:topLinePunct w:val="0"/>
              <w:autoSpaceDE/>
              <w:autoSpaceDN/>
              <w:bidi w:val="0"/>
              <w:spacing w:line="480" w:lineRule="exact"/>
              <w:jc w:val="left"/>
              <w:textAlignment w:val="auto"/>
              <w:rPr>
                <w:color w:val="auto"/>
                <w:u w:val="none" w:color="auto"/>
              </w:rPr>
            </w:pPr>
            <w:r>
              <w:rPr>
                <w:rFonts w:hint="eastAsia"/>
                <w:color w:val="auto"/>
                <w:u w:val="none" w:color="auto"/>
                <w:lang w:eastAsia="zh-CN"/>
              </w:rPr>
              <w:t>（</w:t>
            </w:r>
            <w:r>
              <w:rPr>
                <w:rFonts w:hint="eastAsia"/>
                <w:color w:val="auto"/>
                <w:u w:val="none" w:color="auto"/>
                <w:lang w:val="en-US" w:eastAsia="zh-CN"/>
              </w:rPr>
              <w:t>7</w:t>
            </w:r>
            <w:r>
              <w:rPr>
                <w:rFonts w:hint="eastAsia"/>
                <w:color w:val="auto"/>
                <w:u w:val="none" w:color="auto"/>
                <w:lang w:eastAsia="zh-CN"/>
              </w:rPr>
              <w:t>）</w:t>
            </w:r>
            <w:r>
              <w:rPr>
                <w:rFonts w:hint="eastAsia" w:ascii="宋体" w:hAnsi="宋体" w:eastAsia="宋体" w:cs="宋体"/>
                <w:color w:val="auto"/>
                <w:kern w:val="0"/>
                <w:sz w:val="24"/>
                <w:szCs w:val="24"/>
                <w:u w:val="none" w:color="auto"/>
                <w:lang w:val="en-US" w:eastAsia="zh-CN" w:bidi="ar"/>
              </w:rPr>
              <w:t>场地现状：建设单位</w:t>
            </w:r>
            <w:r>
              <w:rPr>
                <w:rFonts w:hint="eastAsia" w:ascii="宋体" w:hAnsi="宋体" w:cs="宋体"/>
                <w:color w:val="auto"/>
                <w:kern w:val="0"/>
                <w:sz w:val="24"/>
                <w:szCs w:val="24"/>
                <w:u w:val="none" w:color="auto"/>
                <w:lang w:val="en-US" w:eastAsia="zh-CN" w:bidi="ar"/>
              </w:rPr>
              <w:t>已</w:t>
            </w:r>
            <w:r>
              <w:rPr>
                <w:rFonts w:hint="eastAsia" w:ascii="宋体" w:hAnsi="宋体" w:eastAsia="宋体" w:cs="宋体"/>
                <w:color w:val="auto"/>
                <w:kern w:val="0"/>
                <w:sz w:val="24"/>
                <w:szCs w:val="24"/>
                <w:u w:val="none" w:color="auto"/>
                <w:lang w:val="en-US" w:eastAsia="zh-CN" w:bidi="ar"/>
              </w:rPr>
              <w:t>租赁广西多加宝商务服务有限公司开发的“三产综合楼”</w:t>
            </w:r>
            <w:r>
              <w:rPr>
                <w:rFonts w:hint="eastAsia" w:ascii="宋体" w:hAnsi="宋体" w:cs="宋体"/>
                <w:color w:val="0000FF"/>
                <w:kern w:val="0"/>
                <w:sz w:val="24"/>
                <w:szCs w:val="24"/>
                <w:u w:val="none" w:color="auto"/>
                <w:lang w:val="en-US" w:eastAsia="zh-CN" w:bidi="ar"/>
              </w:rPr>
              <w:t>2号楼</w:t>
            </w:r>
            <w:r>
              <w:rPr>
                <w:rFonts w:hint="eastAsia" w:ascii="宋体" w:hAnsi="宋体" w:eastAsia="宋体" w:cs="宋体"/>
                <w:color w:val="auto"/>
                <w:kern w:val="0"/>
                <w:sz w:val="24"/>
                <w:szCs w:val="24"/>
                <w:u w:val="none" w:color="auto"/>
                <w:lang w:val="en-US" w:eastAsia="zh-CN" w:bidi="ar"/>
              </w:rPr>
              <w:t>作为本项目的经营用房</w:t>
            </w:r>
            <w:r>
              <w:rPr>
                <w:rFonts w:hint="eastAsia" w:ascii="宋体" w:hAnsi="宋体" w:cs="宋体"/>
                <w:color w:val="auto"/>
                <w:kern w:val="0"/>
                <w:sz w:val="24"/>
                <w:szCs w:val="24"/>
                <w:u w:val="none" w:color="auto"/>
                <w:lang w:val="en-US" w:eastAsia="zh-CN" w:bidi="ar"/>
              </w:rPr>
              <w:t>，</w:t>
            </w:r>
            <w:r>
              <w:rPr>
                <w:rFonts w:hint="eastAsia" w:ascii="宋体" w:hAnsi="宋体" w:eastAsia="宋体" w:cs="宋体"/>
                <w:color w:val="auto"/>
                <w:kern w:val="0"/>
                <w:sz w:val="24"/>
                <w:szCs w:val="24"/>
                <w:u w:val="none" w:color="auto"/>
                <w:lang w:val="en-US" w:eastAsia="zh-CN" w:bidi="ar"/>
              </w:rPr>
              <w:t>已完成2号楼建设。</w:t>
            </w:r>
          </w:p>
          <w:p w14:paraId="08F9BD48">
            <w:pPr>
              <w:keepNext w:val="0"/>
              <w:keepLines w:val="0"/>
              <w:pageBreakBefore w:val="0"/>
              <w:widowControl w:val="0"/>
              <w:kinsoku/>
              <w:wordWrap/>
              <w:overflowPunct/>
              <w:topLinePunct w:val="0"/>
              <w:autoSpaceDE/>
              <w:autoSpaceDN/>
              <w:bidi w:val="0"/>
              <w:adjustRightInd w:val="0"/>
              <w:snapToGrid w:val="0"/>
              <w:spacing w:line="480" w:lineRule="exact"/>
              <w:ind w:left="0" w:firstLine="480" w:firstLineChars="200"/>
              <w:jc w:val="left"/>
              <w:textAlignment w:val="auto"/>
              <w:rPr>
                <w:rFonts w:hint="eastAsia"/>
                <w:color w:val="auto"/>
                <w:u w:val="none" w:color="auto"/>
                <w:lang w:eastAsia="zh-CN"/>
              </w:rPr>
            </w:pPr>
            <w:r>
              <w:rPr>
                <w:rFonts w:hint="eastAsia"/>
                <w:color w:val="auto"/>
                <w:u w:val="none" w:color="auto"/>
                <w:lang w:val="en-US" w:eastAsia="zh-CN"/>
              </w:rPr>
              <w:t xml:space="preserve">（8）项目厂房租赁方、场地持有者的相关协议 </w:t>
            </w:r>
          </w:p>
          <w:p w14:paraId="4F299C16">
            <w:pPr>
              <w:keepNext w:val="0"/>
              <w:keepLines w:val="0"/>
              <w:pageBreakBefore w:val="0"/>
              <w:widowControl w:val="0"/>
              <w:kinsoku/>
              <w:wordWrap/>
              <w:overflowPunct/>
              <w:topLinePunct w:val="0"/>
              <w:autoSpaceDE/>
              <w:autoSpaceDN/>
              <w:bidi w:val="0"/>
              <w:adjustRightInd w:val="0"/>
              <w:snapToGrid w:val="0"/>
              <w:spacing w:line="480" w:lineRule="exact"/>
              <w:ind w:left="0" w:firstLine="480" w:firstLineChars="200"/>
              <w:jc w:val="left"/>
              <w:textAlignment w:val="auto"/>
              <w:rPr>
                <w:rFonts w:hint="eastAsia"/>
                <w:color w:val="auto"/>
                <w:u w:val="none" w:color="auto"/>
                <w:lang w:val="en-US" w:eastAsia="zh-CN"/>
              </w:rPr>
            </w:pPr>
            <w:r>
              <w:rPr>
                <w:rFonts w:hint="eastAsia"/>
                <w:color w:val="auto"/>
                <w:u w:val="none" w:color="auto"/>
                <w:lang w:val="en-US" w:eastAsia="zh-CN"/>
              </w:rPr>
              <w:t>本项目租用广西多加宝商务服务有限公司闲置房屋。根据第三产业用地合作开发协议（见附件4），该三产综合楼由用广西多加宝商务服务有限公司负责开发建设，合作期间合作开发的土地使用权归广西多加宝商务服务有限公司所有，并对该构筑物有独立的经营使用权，土地持有者南宁市江南区金凯街道高岭村九组不参与投资建设经营。另外村委对本项目的建设持支持态度，见附件6。</w:t>
            </w:r>
          </w:p>
          <w:p w14:paraId="4F92940C">
            <w:pPr>
              <w:keepNext w:val="0"/>
              <w:keepLines w:val="0"/>
              <w:pageBreakBefore w:val="0"/>
              <w:widowControl w:val="0"/>
              <w:kinsoku/>
              <w:wordWrap/>
              <w:overflowPunct/>
              <w:topLinePunct w:val="0"/>
              <w:autoSpaceDE/>
              <w:autoSpaceDN/>
              <w:bidi w:val="0"/>
              <w:adjustRightInd w:val="0"/>
              <w:snapToGrid w:val="0"/>
              <w:spacing w:line="480" w:lineRule="exact"/>
              <w:ind w:left="0" w:firstLine="480" w:firstLineChars="200"/>
              <w:jc w:val="left"/>
              <w:textAlignment w:val="auto"/>
              <w:rPr>
                <w:rFonts w:hint="eastAsia"/>
                <w:color w:val="auto"/>
                <w:u w:val="none" w:color="auto"/>
                <w:lang w:val="en-US" w:eastAsia="zh-CN"/>
              </w:rPr>
            </w:pPr>
            <w:r>
              <w:rPr>
                <w:rFonts w:hint="eastAsia"/>
                <w:color w:val="auto"/>
                <w:u w:val="none" w:color="auto"/>
                <w:lang w:val="en-US" w:eastAsia="zh-CN"/>
              </w:rPr>
              <w:t>根据房屋及场地租赁合同（见附件3），建设单位租赁的“三产综合楼”由广西多加宝商务服务有限公司开发建设，并将其中的2号楼租赁给建设单位（</w:t>
            </w:r>
            <w:r>
              <w:rPr>
                <w:rFonts w:hint="eastAsia"/>
                <w:color w:val="auto"/>
                <w:u w:val="none" w:color="auto"/>
                <w:lang w:eastAsia="zh-CN"/>
              </w:rPr>
              <w:t>南宁市健宁精神病医院有限公司</w:t>
            </w:r>
            <w:r>
              <w:rPr>
                <w:rFonts w:hint="eastAsia"/>
                <w:color w:val="auto"/>
                <w:u w:val="none" w:color="auto"/>
                <w:lang w:val="en-US" w:eastAsia="zh-CN"/>
              </w:rPr>
              <w:t>）。建设单位（</w:t>
            </w:r>
            <w:r>
              <w:rPr>
                <w:rFonts w:hint="eastAsia"/>
                <w:color w:val="auto"/>
                <w:u w:val="none" w:color="auto"/>
                <w:lang w:eastAsia="zh-CN"/>
              </w:rPr>
              <w:t>南宁市健宁精神病医院有限公司</w:t>
            </w:r>
            <w:r>
              <w:rPr>
                <w:rFonts w:hint="eastAsia"/>
                <w:color w:val="auto"/>
                <w:u w:val="none" w:color="auto"/>
                <w:lang w:val="en-US" w:eastAsia="zh-CN"/>
              </w:rPr>
              <w:t>）将自行完善房屋内的水电设施、适当改造及建设食堂、污水处理设施、绿化、文化走廊等。根据建设单位规划，2号楼产生的各项污水均列为医疗废水，食堂废水隔油预处理、特殊医疗医疗废水中和预处理后与其他一般医疗废水排入化粪池+地埋式污水处理站处理，出水水质执行《医疗机构水污染物排放标准》（GB18466-2005）表2预处理标准要求限值，上述医疗废水、食堂废水及生活污水经处理排入市政污水管网，进入南宁市江南污水处理厂进一步处理。</w:t>
            </w:r>
          </w:p>
          <w:p w14:paraId="610AD4F5">
            <w:pPr>
              <w:keepNext w:val="0"/>
              <w:keepLines w:val="0"/>
              <w:pageBreakBefore w:val="0"/>
              <w:widowControl w:val="0"/>
              <w:kinsoku/>
              <w:wordWrap/>
              <w:overflowPunct/>
              <w:topLinePunct w:val="0"/>
              <w:autoSpaceDE/>
              <w:autoSpaceDN/>
              <w:bidi w:val="0"/>
              <w:spacing w:line="480" w:lineRule="exact"/>
              <w:ind w:firstLine="480"/>
              <w:textAlignment w:val="auto"/>
              <w:rPr>
                <w:color w:val="auto"/>
                <w:u w:val="none" w:color="auto"/>
              </w:rPr>
            </w:pPr>
            <w:r>
              <w:rPr>
                <w:color w:val="auto"/>
                <w:u w:val="none" w:color="auto"/>
              </w:rPr>
              <w:t>（9）场地现状及</w:t>
            </w:r>
            <w:r>
              <w:rPr>
                <w:rFonts w:hint="eastAsia"/>
                <w:color w:val="auto"/>
                <w:u w:val="none" w:color="auto"/>
                <w:lang w:val="en-US" w:eastAsia="zh-CN"/>
              </w:rPr>
              <w:t>周边环境保护目标</w:t>
            </w:r>
            <w:r>
              <w:rPr>
                <w:color w:val="auto"/>
                <w:u w:val="none" w:color="auto"/>
              </w:rPr>
              <w:t>分布情况</w:t>
            </w:r>
          </w:p>
          <w:p w14:paraId="694556BB">
            <w:pPr>
              <w:keepNext w:val="0"/>
              <w:keepLines w:val="0"/>
              <w:pageBreakBefore w:val="0"/>
              <w:widowControl w:val="0"/>
              <w:kinsoku/>
              <w:wordWrap/>
              <w:overflowPunct/>
              <w:topLinePunct w:val="0"/>
              <w:autoSpaceDE/>
              <w:autoSpaceDN/>
              <w:bidi w:val="0"/>
              <w:spacing w:line="480" w:lineRule="exact"/>
              <w:ind w:firstLine="480"/>
              <w:textAlignment w:val="auto"/>
              <w:rPr>
                <w:rFonts w:hint="eastAsia"/>
                <w:color w:val="auto"/>
                <w:u w:val="none" w:color="auto"/>
              </w:rPr>
            </w:pPr>
            <w:r>
              <w:rPr>
                <w:rFonts w:hint="eastAsia"/>
                <w:color w:val="auto"/>
                <w:u w:val="none" w:color="auto"/>
                <w:lang w:val="en-US" w:eastAsia="zh-CN"/>
              </w:rPr>
              <w:t>项目拟租用</w:t>
            </w:r>
            <w:r>
              <w:rPr>
                <w:rFonts w:hint="eastAsia"/>
                <w:color w:val="auto"/>
                <w:u w:val="none" w:color="auto"/>
                <w:lang w:eastAsia="zh-CN"/>
              </w:rPr>
              <w:t>高岭村九组三产综合楼</w:t>
            </w:r>
            <w:r>
              <w:rPr>
                <w:rFonts w:hint="eastAsia"/>
                <w:color w:val="auto"/>
                <w:u w:val="none" w:color="auto"/>
                <w:lang w:val="en-US" w:eastAsia="zh-CN"/>
              </w:rPr>
              <w:t>2号楼，</w:t>
            </w:r>
            <w:r>
              <w:rPr>
                <w:color w:val="auto"/>
                <w:u w:val="none" w:color="auto"/>
              </w:rPr>
              <w:t>根据现场</w:t>
            </w:r>
            <w:r>
              <w:rPr>
                <w:rFonts w:hint="eastAsia"/>
                <w:color w:val="auto"/>
                <w:u w:val="none" w:color="auto"/>
                <w:lang w:val="en-US" w:eastAsia="zh-CN"/>
              </w:rPr>
              <w:t>踏勘</w:t>
            </w:r>
            <w:r>
              <w:rPr>
                <w:color w:val="auto"/>
                <w:u w:val="none" w:color="auto"/>
              </w:rPr>
              <w:t>，</w:t>
            </w:r>
            <w:r>
              <w:rPr>
                <w:rFonts w:hint="eastAsia"/>
                <w:color w:val="auto"/>
                <w:u w:val="none" w:color="auto"/>
                <w:lang w:val="en-US" w:eastAsia="zh-CN"/>
              </w:rPr>
              <w:t>2号楼已建好，现状为6层砖混建筑。场地</w:t>
            </w:r>
            <w:r>
              <w:rPr>
                <w:color w:val="auto"/>
                <w:u w:val="none" w:color="auto"/>
              </w:rPr>
              <w:t>东面</w:t>
            </w:r>
            <w:r>
              <w:rPr>
                <w:rFonts w:hint="eastAsia"/>
                <w:color w:val="auto"/>
                <w:u w:val="none" w:color="auto"/>
                <w:lang w:val="en-US" w:eastAsia="zh-CN"/>
              </w:rPr>
              <w:t>为友谊路，</w:t>
            </w:r>
            <w:r>
              <w:rPr>
                <w:color w:val="auto"/>
                <w:u w:val="none" w:color="auto"/>
              </w:rPr>
              <w:t>南面</w:t>
            </w:r>
            <w:r>
              <w:rPr>
                <w:rFonts w:hint="eastAsia"/>
                <w:color w:val="auto"/>
                <w:u w:val="none" w:color="auto"/>
                <w:lang w:val="en-US" w:eastAsia="zh-CN"/>
              </w:rPr>
              <w:t>约6m为</w:t>
            </w:r>
            <w:r>
              <w:rPr>
                <w:rFonts w:hint="eastAsia"/>
                <w:color w:val="auto"/>
                <w:u w:val="none" w:color="auto"/>
                <w:lang w:eastAsia="zh-CN"/>
              </w:rPr>
              <w:t>高岭村九组三产综合楼</w:t>
            </w:r>
            <w:r>
              <w:rPr>
                <w:rFonts w:hint="eastAsia"/>
                <w:color w:val="auto"/>
                <w:u w:val="none" w:color="auto"/>
                <w:lang w:val="en-US" w:eastAsia="zh-CN"/>
              </w:rPr>
              <w:t>1</w:t>
            </w:r>
            <w:r>
              <w:rPr>
                <w:rFonts w:hint="eastAsia"/>
                <w:color w:val="auto"/>
                <w:u w:val="none" w:color="auto"/>
                <w:lang w:eastAsia="zh-CN"/>
              </w:rPr>
              <w:t>#楼（</w:t>
            </w:r>
            <w:r>
              <w:rPr>
                <w:rFonts w:hint="eastAsia"/>
                <w:color w:val="auto"/>
                <w:u w:val="none" w:color="auto"/>
                <w:lang w:val="en-US" w:eastAsia="zh-CN"/>
              </w:rPr>
              <w:t>拟建南宁三玖脑科医院</w:t>
            </w:r>
            <w:r>
              <w:rPr>
                <w:rFonts w:hint="eastAsia"/>
                <w:color w:val="auto"/>
                <w:u w:val="none" w:color="auto"/>
                <w:lang w:eastAsia="zh-CN"/>
              </w:rPr>
              <w:t>）</w:t>
            </w:r>
            <w:r>
              <w:rPr>
                <w:color w:val="auto"/>
                <w:u w:val="none" w:color="auto"/>
              </w:rPr>
              <w:t>，西面为</w:t>
            </w:r>
            <w:r>
              <w:rPr>
                <w:rFonts w:hint="eastAsia"/>
                <w:color w:val="auto"/>
                <w:u w:val="none" w:color="auto"/>
                <w:lang w:eastAsia="zh-CN"/>
              </w:rPr>
              <w:t>高岭村</w:t>
            </w:r>
            <w:r>
              <w:rPr>
                <w:rFonts w:hint="eastAsia"/>
                <w:color w:val="auto"/>
                <w:u w:val="none" w:color="auto"/>
                <w:lang w:val="en-US" w:eastAsia="zh-CN"/>
              </w:rPr>
              <w:t>九斗坡（最近距离约为60m）</w:t>
            </w:r>
            <w:r>
              <w:rPr>
                <w:color w:val="auto"/>
                <w:u w:val="none" w:color="auto"/>
              </w:rPr>
              <w:t>，北面</w:t>
            </w:r>
            <w:r>
              <w:rPr>
                <w:rFonts w:hint="eastAsia"/>
                <w:color w:val="auto"/>
                <w:u w:val="none" w:color="auto"/>
                <w:lang w:val="en-US" w:eastAsia="zh-CN"/>
              </w:rPr>
              <w:t>约100米为高岭汽修广场</w:t>
            </w:r>
            <w:r>
              <w:rPr>
                <w:color w:val="auto"/>
                <w:u w:val="none" w:color="auto"/>
              </w:rPr>
              <w:t>。</w:t>
            </w:r>
          </w:p>
          <w:p w14:paraId="3003E883">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color w:val="auto"/>
                <w:u w:val="none" w:color="auto"/>
              </w:rPr>
            </w:pPr>
            <w:r>
              <w:rPr>
                <w:color w:val="auto"/>
                <w:u w:val="none" w:color="auto"/>
              </w:rPr>
              <w:t>（</w:t>
            </w:r>
            <w:r>
              <w:rPr>
                <w:rFonts w:hint="eastAsia"/>
                <w:color w:val="auto"/>
                <w:u w:val="none" w:color="auto"/>
                <w:lang w:val="en-US" w:eastAsia="zh-CN"/>
              </w:rPr>
              <w:t>9</w:t>
            </w:r>
            <w:r>
              <w:rPr>
                <w:color w:val="auto"/>
                <w:u w:val="none" w:color="auto"/>
              </w:rPr>
              <w:t>）工程组成情况</w:t>
            </w:r>
          </w:p>
          <w:p w14:paraId="37FC71FD">
            <w:pPr>
              <w:pStyle w:val="10"/>
              <w:numPr>
                <w:ilvl w:val="0"/>
                <w:numId w:val="3"/>
              </w:numPr>
              <w:ind w:left="0" w:firstLine="0" w:firstLineChars="0"/>
              <w:jc w:val="center"/>
              <w:rPr>
                <w:rFonts w:hint="eastAsia" w:ascii="黑体" w:hAnsi="黑体" w:eastAsia="黑体"/>
                <w:b w:val="0"/>
                <w:color w:val="auto"/>
                <w:u w:val="none" w:color="auto"/>
              </w:rPr>
            </w:pPr>
            <w:r>
              <w:rPr>
                <w:rFonts w:hint="eastAsia" w:ascii="黑体" w:hAnsi="黑体" w:eastAsia="黑体"/>
                <w:b w:val="0"/>
                <w:color w:val="auto"/>
                <w:u w:val="none" w:color="auto"/>
              </w:rPr>
              <w:t>工程建设内容</w:t>
            </w:r>
          </w:p>
          <w:tbl>
            <w:tblPr>
              <w:tblStyle w:val="22"/>
              <w:tblW w:w="8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
              <w:gridCol w:w="330"/>
              <w:gridCol w:w="1149"/>
              <w:gridCol w:w="4959"/>
              <w:gridCol w:w="1759"/>
            </w:tblGrid>
            <w:tr w14:paraId="50D1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73" w:type="dxa"/>
                  <w:vAlign w:val="center"/>
                </w:tcPr>
                <w:p w14:paraId="03B09A4B">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
                      <w:iCs/>
                      <w:color w:val="auto"/>
                      <w:sz w:val="21"/>
                      <w:szCs w:val="21"/>
                      <w:u w:val="none" w:color="auto"/>
                    </w:rPr>
                  </w:pPr>
                  <w:r>
                    <w:rPr>
                      <w:rFonts w:hint="default" w:ascii="Times New Roman" w:hAnsi="Times New Roman" w:eastAsia="宋体" w:cs="Times New Roman"/>
                      <w:b/>
                      <w:iCs/>
                      <w:color w:val="auto"/>
                      <w:sz w:val="21"/>
                      <w:szCs w:val="21"/>
                      <w:u w:val="none" w:color="auto"/>
                    </w:rPr>
                    <w:t>类型</w:t>
                  </w:r>
                </w:p>
              </w:tc>
              <w:tc>
                <w:tcPr>
                  <w:tcW w:w="1479" w:type="dxa"/>
                  <w:gridSpan w:val="2"/>
                  <w:vAlign w:val="center"/>
                </w:tcPr>
                <w:p w14:paraId="53F3D6A6">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
                      <w:iCs/>
                      <w:color w:val="auto"/>
                      <w:sz w:val="21"/>
                      <w:szCs w:val="21"/>
                      <w:u w:val="none" w:color="auto"/>
                    </w:rPr>
                  </w:pPr>
                  <w:r>
                    <w:rPr>
                      <w:rFonts w:hint="default" w:ascii="Times New Roman" w:hAnsi="Times New Roman" w:eastAsia="宋体" w:cs="Times New Roman"/>
                      <w:b/>
                      <w:iCs/>
                      <w:color w:val="auto"/>
                      <w:sz w:val="21"/>
                      <w:szCs w:val="21"/>
                      <w:u w:val="none" w:color="auto"/>
                    </w:rPr>
                    <w:t>名称</w:t>
                  </w:r>
                </w:p>
              </w:tc>
              <w:tc>
                <w:tcPr>
                  <w:tcW w:w="4959" w:type="dxa"/>
                  <w:vAlign w:val="center"/>
                </w:tcPr>
                <w:p w14:paraId="2AFC664E">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
                      <w:iCs/>
                      <w:color w:val="auto"/>
                      <w:sz w:val="21"/>
                      <w:szCs w:val="21"/>
                      <w:u w:val="none" w:color="auto"/>
                    </w:rPr>
                  </w:pPr>
                  <w:r>
                    <w:rPr>
                      <w:rFonts w:hint="default" w:ascii="Times New Roman" w:hAnsi="Times New Roman" w:eastAsia="宋体" w:cs="Times New Roman"/>
                      <w:b/>
                      <w:iCs/>
                      <w:color w:val="auto"/>
                      <w:sz w:val="21"/>
                      <w:szCs w:val="21"/>
                      <w:u w:val="none" w:color="auto"/>
                    </w:rPr>
                    <w:t>相关情况</w:t>
                  </w:r>
                </w:p>
              </w:tc>
              <w:tc>
                <w:tcPr>
                  <w:tcW w:w="1759" w:type="dxa"/>
                  <w:vAlign w:val="center"/>
                </w:tcPr>
                <w:p w14:paraId="61B5504E">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b/>
                      <w:iCs/>
                      <w:color w:val="auto"/>
                      <w:sz w:val="21"/>
                      <w:szCs w:val="21"/>
                      <w:u w:val="none" w:color="auto"/>
                      <w:lang w:val="en-US" w:eastAsia="zh-CN"/>
                    </w:rPr>
                  </w:pPr>
                  <w:r>
                    <w:rPr>
                      <w:rFonts w:hint="eastAsia" w:cs="Times New Roman"/>
                      <w:b/>
                      <w:iCs/>
                      <w:color w:val="auto"/>
                      <w:sz w:val="21"/>
                      <w:szCs w:val="21"/>
                      <w:u w:val="none" w:color="auto"/>
                      <w:lang w:val="en-US" w:eastAsia="zh-CN"/>
                    </w:rPr>
                    <w:t>备注</w:t>
                  </w:r>
                </w:p>
              </w:tc>
            </w:tr>
            <w:tr w14:paraId="5A53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dxa"/>
                  <w:vAlign w:val="center"/>
                </w:tcPr>
                <w:p w14:paraId="390A9D7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主体工程</w:t>
                  </w:r>
                </w:p>
              </w:tc>
              <w:tc>
                <w:tcPr>
                  <w:tcW w:w="1479" w:type="dxa"/>
                  <w:gridSpan w:val="2"/>
                  <w:vAlign w:val="center"/>
                </w:tcPr>
                <w:p w14:paraId="5E7D02E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olor w:val="auto"/>
                      <w:u w:val="none" w:color="auto"/>
                      <w:lang w:eastAsia="zh-CN"/>
                    </w:rPr>
                    <w:t>2号楼（</w:t>
                  </w:r>
                  <w:r>
                    <w:rPr>
                      <w:rFonts w:hint="eastAsia" w:cs="Times New Roman"/>
                      <w:color w:val="auto"/>
                      <w:sz w:val="21"/>
                      <w:szCs w:val="21"/>
                      <w:u w:val="none" w:color="auto"/>
                      <w:lang w:val="en-US" w:eastAsia="zh-CN"/>
                    </w:rPr>
                    <w:t>门诊及住院部</w:t>
                  </w:r>
                  <w:r>
                    <w:rPr>
                      <w:rFonts w:hint="eastAsia"/>
                      <w:color w:val="auto"/>
                      <w:u w:val="none" w:color="auto"/>
                      <w:lang w:eastAsia="zh-CN"/>
                    </w:rPr>
                    <w:t>）</w:t>
                  </w:r>
                </w:p>
              </w:tc>
              <w:tc>
                <w:tcPr>
                  <w:tcW w:w="4959" w:type="dxa"/>
                  <w:vAlign w:val="center"/>
                </w:tcPr>
                <w:p w14:paraId="6E0CE739">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南宁市江南区金凯街道高岭村九组现有三产综合楼2号楼，</w:t>
                  </w:r>
                  <w:r>
                    <w:rPr>
                      <w:rFonts w:hint="default" w:ascii="Times New Roman" w:hAnsi="Times New Roman" w:eastAsia="宋体" w:cs="Times New Roman"/>
                      <w:color w:val="auto"/>
                      <w:sz w:val="21"/>
                      <w:szCs w:val="21"/>
                      <w:u w:val="none" w:color="auto"/>
                    </w:rPr>
                    <w:t>占地面积</w:t>
                  </w:r>
                  <w:r>
                    <w:rPr>
                      <w:rFonts w:hint="default" w:ascii="Times New Roman" w:hAnsi="Times New Roman" w:eastAsia="宋体" w:cs="Times New Roman"/>
                      <w:color w:val="auto"/>
                      <w:sz w:val="21"/>
                      <w:szCs w:val="21"/>
                      <w:u w:val="none" w:color="auto"/>
                      <w:lang w:val="en-US" w:eastAsia="zh-CN"/>
                    </w:rPr>
                    <w:t>约1076</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val="en-US" w:eastAsia="zh-CN"/>
                    </w:rPr>
                    <w:t>1~6层总建筑面积为6458.62</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rPr>
                    <w:t>其中</w:t>
                  </w:r>
                  <w:r>
                    <w:rPr>
                      <w:rFonts w:hint="default" w:ascii="Times New Roman" w:hAnsi="Times New Roman" w:eastAsia="宋体" w:cs="Times New Roman"/>
                      <w:color w:val="auto"/>
                      <w:sz w:val="21"/>
                      <w:szCs w:val="21"/>
                      <w:u w:val="none" w:color="auto"/>
                      <w:lang w:eastAsia="zh-CN"/>
                    </w:rPr>
                    <w:t>：</w:t>
                  </w:r>
                </w:p>
                <w:p w14:paraId="2D3F202C">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①第1</w:t>
                  </w:r>
                  <w:r>
                    <w:rPr>
                      <w:rFonts w:hint="default" w:ascii="Times New Roman" w:hAnsi="Times New Roman" w:eastAsia="宋体" w:cs="Times New Roman"/>
                      <w:color w:val="auto"/>
                      <w:sz w:val="21"/>
                      <w:szCs w:val="21"/>
                      <w:u w:val="none" w:color="auto"/>
                    </w:rPr>
                    <w:t>层</w:t>
                  </w:r>
                  <w:r>
                    <w:rPr>
                      <w:rFonts w:hint="default" w:ascii="Times New Roman" w:hAnsi="Times New Roman" w:eastAsia="宋体" w:cs="Times New Roman"/>
                      <w:color w:val="auto"/>
                      <w:sz w:val="21"/>
                      <w:szCs w:val="21"/>
                      <w:u w:val="none" w:color="auto"/>
                      <w:lang w:val="en-US" w:eastAsia="zh-CN"/>
                    </w:rPr>
                    <w:t>建筑面积约1200m</w:t>
                  </w:r>
                  <w:r>
                    <w:rPr>
                      <w:rFonts w:hint="default" w:ascii="Times New Roman" w:hAnsi="Times New Roman" w:eastAsia="宋体" w:cs="Times New Roman"/>
                      <w:color w:val="auto"/>
                      <w:sz w:val="21"/>
                      <w:szCs w:val="21"/>
                      <w:u w:val="none" w:color="auto"/>
                      <w:vertAlign w:val="superscript"/>
                      <w:lang w:val="en-US" w:eastAsia="zh-CN"/>
                    </w:rPr>
                    <w:t>2</w:t>
                  </w:r>
                  <w:r>
                    <w:rPr>
                      <w:rFonts w:hint="default"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rPr>
                    <w:t>设置有</w:t>
                  </w:r>
                  <w:r>
                    <w:rPr>
                      <w:rFonts w:hint="default" w:ascii="Times New Roman" w:hAnsi="Times New Roman" w:eastAsia="宋体" w:cs="Times New Roman"/>
                      <w:color w:val="auto"/>
                      <w:sz w:val="21"/>
                      <w:szCs w:val="21"/>
                      <w:u w:val="none" w:color="auto"/>
                      <w:lang w:val="en-US" w:eastAsia="zh-CN"/>
                    </w:rPr>
                    <w:t>候诊大厅、精神科门诊室、检验室、收费处、药房/库、心理咨询室、情报资料室、预防保健室、急诊室、治疗室、DR室、病案室、探视室、</w:t>
                  </w:r>
                  <w:r>
                    <w:rPr>
                      <w:rFonts w:hint="eastAsia" w:ascii="Times New Roman" w:hAnsi="Times New Roman" w:eastAsia="宋体" w:cs="Times New Roman"/>
                      <w:color w:val="auto"/>
                      <w:sz w:val="21"/>
                      <w:szCs w:val="21"/>
                      <w:u w:val="none" w:color="auto"/>
                      <w:lang w:val="en-US" w:eastAsia="zh-CN"/>
                    </w:rPr>
                    <w:t>中医科、</w:t>
                  </w:r>
                  <w:r>
                    <w:rPr>
                      <w:rFonts w:hint="default" w:ascii="Times New Roman" w:hAnsi="Times New Roman" w:eastAsia="宋体" w:cs="Times New Roman"/>
                      <w:color w:val="auto"/>
                      <w:sz w:val="21"/>
                      <w:szCs w:val="21"/>
                      <w:u w:val="none" w:color="auto"/>
                      <w:lang w:val="en-US" w:eastAsia="zh-CN"/>
                    </w:rPr>
                    <w:t>室内活动中心</w:t>
                  </w:r>
                  <w:r>
                    <w:rPr>
                      <w:rFonts w:hint="default" w:ascii="Times New Roman" w:hAnsi="Times New Roman" w:eastAsia="宋体" w:cs="Times New Roman"/>
                      <w:color w:val="auto"/>
                      <w:sz w:val="21"/>
                      <w:szCs w:val="21"/>
                      <w:u w:val="none" w:color="auto"/>
                    </w:rPr>
                    <w:t>等</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lang w:val="en-US" w:eastAsia="zh-CN"/>
                    </w:rPr>
                    <w:t>其中DR室为数字X线摄影设备，该设备属于‌Ⅲ类射线装置，根据《建设项目环境影响评价分类管理名录（2021年版）》，生产、销售、使用‌Ⅲ类射线装置的，须做环评登记表，该项另行进行，不在本报告评价</w:t>
                  </w:r>
                  <w:r>
                    <w:rPr>
                      <w:rFonts w:hint="eastAsia" w:ascii="Times New Roman" w:hAnsi="Times New Roman" w:eastAsia="宋体" w:cs="Times New Roman"/>
                      <w:color w:val="auto"/>
                      <w:sz w:val="21"/>
                      <w:szCs w:val="21"/>
                      <w:u w:val="none" w:color="auto"/>
                      <w:lang w:val="en-US" w:eastAsia="zh-CN"/>
                    </w:rPr>
                    <w:t>；中医科主要为简单的中药调理。</w:t>
                  </w:r>
                  <w:r>
                    <w:rPr>
                      <w:rFonts w:hint="default" w:ascii="Times New Roman" w:hAnsi="Times New Roman" w:eastAsia="宋体" w:cs="Times New Roman"/>
                      <w:color w:val="auto"/>
                      <w:sz w:val="21"/>
                      <w:szCs w:val="21"/>
                      <w:u w:val="none" w:color="auto"/>
                      <w:lang w:val="en-US" w:eastAsia="zh-CN"/>
                    </w:rPr>
                    <w:t>‌</w:t>
                  </w:r>
                </w:p>
                <w:p w14:paraId="4E5BAB9A">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②第2层：架空层，建筑面积约1200m</w:t>
                  </w:r>
                  <w:r>
                    <w:rPr>
                      <w:rFonts w:hint="default" w:ascii="Times New Roman" w:hAnsi="Times New Roman" w:eastAsia="宋体" w:cs="Times New Roman"/>
                      <w:color w:val="auto"/>
                      <w:sz w:val="21"/>
                      <w:szCs w:val="21"/>
                      <w:u w:val="none" w:color="auto"/>
                      <w:vertAlign w:val="superscript"/>
                      <w:lang w:val="en-US" w:eastAsia="zh-CN"/>
                    </w:rPr>
                    <w:t>2</w:t>
                  </w:r>
                  <w:r>
                    <w:rPr>
                      <w:rFonts w:hint="default" w:ascii="Times New Roman" w:hAnsi="Times New Roman" w:eastAsia="宋体" w:cs="Times New Roman"/>
                      <w:color w:val="auto"/>
                      <w:sz w:val="21"/>
                      <w:szCs w:val="21"/>
                      <w:u w:val="none" w:color="auto"/>
                      <w:lang w:val="en-US" w:eastAsia="zh-CN"/>
                    </w:rPr>
                    <w:t>，主要功能为室内活动室。</w:t>
                  </w:r>
                </w:p>
                <w:p w14:paraId="61D8115A">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③第3~第6层：每层建筑面积约1014.66m</w:t>
                  </w:r>
                  <w:r>
                    <w:rPr>
                      <w:rFonts w:hint="eastAsia" w:cs="Times New Roman"/>
                      <w:color w:val="auto"/>
                      <w:sz w:val="21"/>
                      <w:szCs w:val="21"/>
                      <w:u w:val="none" w:color="auto"/>
                      <w:vertAlign w:val="superscript"/>
                      <w:lang w:val="en-US" w:eastAsia="zh-CN"/>
                    </w:rPr>
                    <w:t>2</w:t>
                  </w:r>
                  <w:r>
                    <w:rPr>
                      <w:rFonts w:hint="default" w:ascii="Times New Roman" w:hAnsi="Times New Roman" w:eastAsia="宋体" w:cs="Times New Roman"/>
                      <w:color w:val="auto"/>
                      <w:sz w:val="21"/>
                      <w:szCs w:val="21"/>
                      <w:u w:val="none" w:color="auto"/>
                      <w:lang w:val="en-US" w:eastAsia="zh-CN"/>
                    </w:rPr>
                    <w:t>，设置病房、病人活动室、治疗室、值班室、办公室。配套总床位</w:t>
                  </w:r>
                  <w:r>
                    <w:rPr>
                      <w:rFonts w:hint="eastAsia" w:cs="Times New Roman"/>
                      <w:color w:val="auto"/>
                      <w:sz w:val="21"/>
                      <w:szCs w:val="21"/>
                      <w:u w:val="none" w:color="auto"/>
                      <w:lang w:val="en-US" w:eastAsia="zh-CN"/>
                    </w:rPr>
                    <w:t>227张</w:t>
                  </w:r>
                  <w:r>
                    <w:rPr>
                      <w:rFonts w:hint="default" w:ascii="Times New Roman" w:hAnsi="Times New Roman" w:eastAsia="宋体" w:cs="Times New Roman"/>
                      <w:color w:val="auto"/>
                      <w:sz w:val="21"/>
                      <w:szCs w:val="21"/>
                      <w:u w:val="none" w:color="auto"/>
                      <w:lang w:val="en-US" w:eastAsia="zh-CN"/>
                    </w:rPr>
                    <w:t>。</w:t>
                  </w:r>
                </w:p>
              </w:tc>
              <w:tc>
                <w:tcPr>
                  <w:tcW w:w="1759" w:type="dxa"/>
                  <w:vAlign w:val="center"/>
                </w:tcPr>
                <w:p w14:paraId="517BF4C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目前楼房主体已由出租方建成，内部改造及装修尚未进行。</w:t>
                  </w:r>
                </w:p>
              </w:tc>
            </w:tr>
            <w:tr w14:paraId="2B74F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dxa"/>
                  <w:vMerge w:val="restart"/>
                  <w:vAlign w:val="center"/>
                </w:tcPr>
                <w:p w14:paraId="6C10E34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bookmarkStart w:id="7" w:name="OLE_LINK3" w:colFirst="0" w:colLast="0"/>
                  <w:r>
                    <w:rPr>
                      <w:rFonts w:hint="default" w:ascii="Times New Roman" w:hAnsi="Times New Roman" w:eastAsia="宋体" w:cs="Times New Roman"/>
                      <w:color w:val="auto"/>
                      <w:kern w:val="0"/>
                      <w:sz w:val="21"/>
                      <w:szCs w:val="21"/>
                      <w:u w:val="none" w:color="auto"/>
                    </w:rPr>
                    <w:t>辅助工程</w:t>
                  </w:r>
                </w:p>
              </w:tc>
              <w:tc>
                <w:tcPr>
                  <w:tcW w:w="1479" w:type="dxa"/>
                  <w:gridSpan w:val="2"/>
                  <w:vAlign w:val="center"/>
                </w:tcPr>
                <w:p w14:paraId="4C808D6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食堂</w:t>
                  </w:r>
                </w:p>
              </w:tc>
              <w:tc>
                <w:tcPr>
                  <w:tcW w:w="4959" w:type="dxa"/>
                  <w:vAlign w:val="center"/>
                </w:tcPr>
                <w:p w14:paraId="42AED915">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sz w:val="21"/>
                      <w:szCs w:val="21"/>
                      <w:u w:val="none" w:color="auto"/>
                    </w:rPr>
                  </w:pPr>
                  <w:r>
                    <w:rPr>
                      <w:rFonts w:hint="eastAsia" w:cs="Times New Roman"/>
                      <w:color w:val="auto"/>
                      <w:kern w:val="0"/>
                      <w:sz w:val="21"/>
                      <w:szCs w:val="21"/>
                      <w:u w:val="none" w:color="auto"/>
                      <w:lang w:val="en-US" w:eastAsia="zh-CN" w:bidi="ar"/>
                    </w:rPr>
                    <w:t>位于2号楼西南侧，占地约250</w:t>
                  </w:r>
                  <w:r>
                    <w:rPr>
                      <w:rFonts w:hint="default" w:ascii="Times New Roman" w:hAnsi="Times New Roman" w:eastAsia="宋体" w:cs="Times New Roman"/>
                      <w:color w:val="auto"/>
                      <w:sz w:val="21"/>
                      <w:szCs w:val="21"/>
                      <w:u w:val="none" w:color="auto"/>
                      <w:lang w:val="en-US" w:eastAsia="zh-CN"/>
                    </w:rPr>
                    <w:t>m</w:t>
                  </w:r>
                  <w:r>
                    <w:rPr>
                      <w:rFonts w:hint="eastAsia" w:cs="Times New Roman"/>
                      <w:color w:val="auto"/>
                      <w:sz w:val="21"/>
                      <w:szCs w:val="21"/>
                      <w:u w:val="none" w:color="auto"/>
                      <w:vertAlign w:val="superscript"/>
                      <w:lang w:val="en-US" w:eastAsia="zh-CN"/>
                    </w:rPr>
                    <w:t>2</w:t>
                  </w:r>
                  <w:r>
                    <w:rPr>
                      <w:rFonts w:hint="eastAsia" w:cs="Times New Roman"/>
                      <w:color w:val="auto"/>
                      <w:kern w:val="0"/>
                      <w:sz w:val="21"/>
                      <w:szCs w:val="21"/>
                      <w:u w:val="none" w:color="auto"/>
                      <w:lang w:val="en-US" w:eastAsia="zh-CN" w:bidi="ar"/>
                    </w:rPr>
                    <w:t>，设置</w:t>
                  </w:r>
                  <w:r>
                    <w:rPr>
                      <w:rFonts w:hint="default" w:ascii="Times New Roman" w:hAnsi="Times New Roman" w:eastAsia="宋体" w:cs="Times New Roman"/>
                      <w:color w:val="auto"/>
                      <w:kern w:val="0"/>
                      <w:sz w:val="21"/>
                      <w:szCs w:val="21"/>
                      <w:u w:val="none" w:color="auto"/>
                      <w:lang w:val="en-US" w:eastAsia="zh-CN" w:bidi="ar"/>
                    </w:rPr>
                    <w:t>厨房和餐厅，主要为病人和医护人员提供餐饮。</w:t>
                  </w:r>
                </w:p>
              </w:tc>
              <w:tc>
                <w:tcPr>
                  <w:tcW w:w="1759" w:type="dxa"/>
                  <w:vAlign w:val="center"/>
                </w:tcPr>
                <w:p w14:paraId="775964E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医院自建</w:t>
                  </w:r>
                </w:p>
              </w:tc>
            </w:tr>
            <w:tr w14:paraId="3333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dxa"/>
                  <w:vMerge w:val="continue"/>
                  <w:vAlign w:val="center"/>
                </w:tcPr>
                <w:p w14:paraId="124876BD">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u w:val="none" w:color="auto"/>
                    </w:rPr>
                  </w:pPr>
                </w:p>
              </w:tc>
              <w:tc>
                <w:tcPr>
                  <w:tcW w:w="1479" w:type="dxa"/>
                  <w:gridSpan w:val="2"/>
                  <w:vAlign w:val="center"/>
                </w:tcPr>
                <w:p w14:paraId="276034DD">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洗衣房</w:t>
                  </w:r>
                </w:p>
              </w:tc>
              <w:tc>
                <w:tcPr>
                  <w:tcW w:w="4959" w:type="dxa"/>
                  <w:vAlign w:val="center"/>
                </w:tcPr>
                <w:p w14:paraId="2992D373">
                  <w:pPr>
                    <w:keepNext w:val="0"/>
                    <w:keepLines w:val="0"/>
                    <w:pageBreakBefore w:val="0"/>
                    <w:kinsoku/>
                    <w:wordWrap/>
                    <w:overflowPunct/>
                    <w:topLinePunct w:val="0"/>
                    <w:autoSpaceDE/>
                    <w:autoSpaceDN/>
                    <w:bidi w:val="0"/>
                    <w:adjustRightInd/>
                    <w:snapToGrid/>
                    <w:spacing w:line="300" w:lineRule="exact"/>
                    <w:ind w:firstLine="0" w:firstLineChars="0"/>
                    <w:jc w:val="left"/>
                    <w:textAlignment w:val="auto"/>
                    <w:rPr>
                      <w:rFonts w:hint="eastAsia" w:ascii="Times New Roman" w:hAnsi="Times New Roman" w:eastAsia="宋体" w:cs="Times New Roman"/>
                      <w:color w:val="auto"/>
                      <w:sz w:val="21"/>
                      <w:szCs w:val="21"/>
                      <w:highlight w:val="none"/>
                      <w:u w:val="none" w:color="auto"/>
                      <w:lang w:eastAsia="zh-CN"/>
                    </w:rPr>
                  </w:pPr>
                  <w:r>
                    <w:rPr>
                      <w:rFonts w:hint="eastAsia" w:cs="Times New Roman"/>
                      <w:color w:val="auto"/>
                      <w:sz w:val="21"/>
                      <w:szCs w:val="21"/>
                      <w:highlight w:val="none"/>
                      <w:u w:val="none" w:color="auto"/>
                      <w:lang w:val="en-US" w:eastAsia="zh-CN"/>
                    </w:rPr>
                    <w:t>设于2号楼楼顶，</w:t>
                  </w:r>
                  <w:r>
                    <w:rPr>
                      <w:rFonts w:hint="default" w:ascii="Times New Roman" w:hAnsi="Times New Roman" w:eastAsia="宋体" w:cs="Times New Roman"/>
                      <w:color w:val="auto"/>
                      <w:sz w:val="21"/>
                      <w:szCs w:val="21"/>
                      <w:highlight w:val="none"/>
                      <w:u w:val="none" w:color="auto"/>
                    </w:rPr>
                    <w:t>总建筑面积</w:t>
                  </w:r>
                  <w:r>
                    <w:rPr>
                      <w:rFonts w:hint="eastAsia" w:cs="Times New Roman"/>
                      <w:color w:val="auto"/>
                      <w:sz w:val="21"/>
                      <w:szCs w:val="21"/>
                      <w:highlight w:val="none"/>
                      <w:u w:val="none" w:color="auto"/>
                      <w:lang w:val="en-US" w:eastAsia="zh-CN"/>
                    </w:rPr>
                    <w:t>约800</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w:t>
                  </w:r>
                </w:p>
              </w:tc>
              <w:tc>
                <w:tcPr>
                  <w:tcW w:w="1759" w:type="dxa"/>
                  <w:vAlign w:val="center"/>
                </w:tcPr>
                <w:p w14:paraId="70164216">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医院自建</w:t>
                  </w:r>
                </w:p>
              </w:tc>
            </w:tr>
            <w:tr w14:paraId="1233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dxa"/>
                  <w:vMerge w:val="continue"/>
                  <w:vAlign w:val="center"/>
                </w:tcPr>
                <w:p w14:paraId="1D1E04FB">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u w:val="none" w:color="auto"/>
                    </w:rPr>
                  </w:pPr>
                </w:p>
              </w:tc>
              <w:tc>
                <w:tcPr>
                  <w:tcW w:w="1479" w:type="dxa"/>
                  <w:gridSpan w:val="2"/>
                  <w:vAlign w:val="center"/>
                </w:tcPr>
                <w:p w14:paraId="5B9FDAE5">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庭院式绿化、文化栏</w:t>
                  </w:r>
                </w:p>
              </w:tc>
              <w:tc>
                <w:tcPr>
                  <w:tcW w:w="4959" w:type="dxa"/>
                  <w:vAlign w:val="center"/>
                </w:tcPr>
                <w:p w14:paraId="4F42C5FF">
                  <w:pPr>
                    <w:keepNext w:val="0"/>
                    <w:keepLines w:val="0"/>
                    <w:pageBreakBefore w:val="0"/>
                    <w:kinsoku/>
                    <w:wordWrap/>
                    <w:overflowPunct/>
                    <w:topLinePunct w:val="0"/>
                    <w:autoSpaceDE/>
                    <w:autoSpaceDN/>
                    <w:bidi w:val="0"/>
                    <w:adjustRightInd/>
                    <w:snapToGrid/>
                    <w:spacing w:line="300" w:lineRule="exact"/>
                    <w:ind w:firstLine="0" w:firstLineChars="0"/>
                    <w:jc w:val="left"/>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2号楼前后空地，占地约600</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w:t>
                  </w:r>
                </w:p>
              </w:tc>
              <w:tc>
                <w:tcPr>
                  <w:tcW w:w="1759" w:type="dxa"/>
                  <w:vAlign w:val="center"/>
                </w:tcPr>
                <w:p w14:paraId="59EDD083">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医院自建</w:t>
                  </w:r>
                </w:p>
              </w:tc>
            </w:tr>
            <w:tr w14:paraId="1D40A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0" w:hRule="atLeast"/>
                <w:jc w:val="center"/>
              </w:trPr>
              <w:tc>
                <w:tcPr>
                  <w:tcW w:w="373" w:type="dxa"/>
                  <w:vMerge w:val="restart"/>
                  <w:vAlign w:val="center"/>
                </w:tcPr>
                <w:p w14:paraId="2BF126D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环保工程</w:t>
                  </w:r>
                </w:p>
              </w:tc>
              <w:tc>
                <w:tcPr>
                  <w:tcW w:w="1479" w:type="dxa"/>
                  <w:gridSpan w:val="2"/>
                  <w:vAlign w:val="center"/>
                </w:tcPr>
                <w:p w14:paraId="0F0E832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eastAsia" w:cs="Times New Roman"/>
                      <w:b w:val="0"/>
                      <w:bCs w:val="0"/>
                      <w:color w:val="auto"/>
                      <w:sz w:val="21"/>
                      <w:szCs w:val="21"/>
                      <w:highlight w:val="none"/>
                      <w:u w:val="none" w:color="auto"/>
                      <w:lang w:val="en-US" w:eastAsia="zh-CN"/>
                    </w:rPr>
                    <w:t>废水</w:t>
                  </w:r>
                </w:p>
              </w:tc>
              <w:tc>
                <w:tcPr>
                  <w:tcW w:w="4959" w:type="dxa"/>
                  <w:vAlign w:val="center"/>
                </w:tcPr>
                <w:p w14:paraId="26419C85">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项目所产各项污、废水均列入医疗废水，特殊医疗废水经中和预处理、食堂废水经隔油池预处理后与其余一般医疗废水进入化粪池+地埋式污水处理站处理，该处理站占地面积约48m</w:t>
                  </w:r>
                  <w:r>
                    <w:rPr>
                      <w:rFonts w:hint="eastAsia" w:cs="Times New Roman"/>
                      <w:color w:val="auto"/>
                      <w:sz w:val="21"/>
                      <w:szCs w:val="21"/>
                      <w:highlight w:val="none"/>
                      <w:u w:val="none" w:color="auto"/>
                      <w:vertAlign w:val="superscript"/>
                      <w:lang w:val="en-US" w:eastAsia="zh-CN"/>
                    </w:rPr>
                    <w:t>2</w:t>
                  </w:r>
                  <w:r>
                    <w:rPr>
                      <w:rFonts w:hint="eastAsia" w:cs="Times New Roman"/>
                      <w:color w:val="auto"/>
                      <w:sz w:val="21"/>
                      <w:szCs w:val="21"/>
                      <w:highlight w:val="none"/>
                      <w:u w:val="none" w:color="auto"/>
                      <w:lang w:val="en-US" w:eastAsia="zh-CN"/>
                    </w:rPr>
                    <w:t>，污水处理站采用格栅+混凝沉淀+A/O生物接触氧化+紫外线消毒处理</w:t>
                  </w:r>
                  <w:r>
                    <w:rPr>
                      <w:rFonts w:hint="default" w:ascii="Times New Roman" w:hAnsi="Times New Roman" w:eastAsia="宋体" w:cs="Times New Roman"/>
                      <w:color w:val="auto"/>
                      <w:sz w:val="21"/>
                      <w:szCs w:val="21"/>
                      <w:highlight w:val="none"/>
                      <w:u w:val="none" w:color="auto"/>
                    </w:rPr>
                    <w:t>工艺，处理能力</w:t>
                  </w:r>
                  <w:r>
                    <w:rPr>
                      <w:rFonts w:hint="eastAsia" w:cs="Times New Roman"/>
                      <w:color w:val="auto"/>
                      <w:sz w:val="21"/>
                      <w:szCs w:val="21"/>
                      <w:highlight w:val="none"/>
                      <w:u w:val="none" w:color="auto"/>
                      <w:lang w:val="en-US" w:eastAsia="zh-CN"/>
                    </w:rPr>
                    <w:t>为100</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/d</w:t>
                  </w:r>
                  <w:r>
                    <w:rPr>
                      <w:rFonts w:hint="eastAsia" w:cs="Times New Roman"/>
                      <w:color w:val="auto"/>
                      <w:sz w:val="21"/>
                      <w:szCs w:val="21"/>
                      <w:highlight w:val="none"/>
                      <w:u w:val="none" w:color="auto"/>
                      <w:lang w:eastAsia="zh-CN"/>
                    </w:rPr>
                    <w:t>，</w:t>
                  </w:r>
                  <w:r>
                    <w:rPr>
                      <w:rFonts w:hint="eastAsia" w:cs="Times New Roman"/>
                      <w:color w:val="auto"/>
                      <w:sz w:val="21"/>
                      <w:szCs w:val="21"/>
                      <w:highlight w:val="none"/>
                      <w:u w:val="none" w:color="auto"/>
                      <w:lang w:val="en-US" w:eastAsia="zh-CN"/>
                    </w:rPr>
                    <w:t>设置方式为地埋式，设置于2号楼西北角空地</w:t>
                  </w:r>
                  <w:r>
                    <w:rPr>
                      <w:rFonts w:hint="default" w:ascii="Times New Roman" w:hAnsi="Times New Roman" w:eastAsia="宋体" w:cs="Times New Roman"/>
                      <w:color w:val="auto"/>
                      <w:sz w:val="21"/>
                      <w:szCs w:val="21"/>
                      <w:highlight w:val="none"/>
                      <w:u w:val="none" w:color="auto"/>
                    </w:rPr>
                    <w:t>。</w:t>
                  </w:r>
                </w:p>
              </w:tc>
              <w:tc>
                <w:tcPr>
                  <w:tcW w:w="1759" w:type="dxa"/>
                  <w:vAlign w:val="center"/>
                </w:tcPr>
                <w:p w14:paraId="2578A58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医院自建</w:t>
                  </w:r>
                </w:p>
              </w:tc>
            </w:tr>
            <w:bookmarkEnd w:id="7"/>
            <w:tr w14:paraId="2482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dxa"/>
                  <w:vMerge w:val="continue"/>
                  <w:vAlign w:val="center"/>
                </w:tcPr>
                <w:p w14:paraId="6482B5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p>
              </w:tc>
              <w:tc>
                <w:tcPr>
                  <w:tcW w:w="1479" w:type="dxa"/>
                  <w:gridSpan w:val="2"/>
                  <w:vAlign w:val="center"/>
                </w:tcPr>
                <w:p w14:paraId="0E5D945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 w:val="0"/>
                      <w:bCs w:val="0"/>
                      <w:color w:val="auto"/>
                      <w:sz w:val="21"/>
                      <w:szCs w:val="21"/>
                      <w:u w:val="none" w:color="auto"/>
                    </w:rPr>
                  </w:pPr>
                  <w:r>
                    <w:rPr>
                      <w:rFonts w:hint="eastAsia" w:cs="Times New Roman"/>
                      <w:b w:val="0"/>
                      <w:bCs w:val="0"/>
                      <w:color w:val="auto"/>
                      <w:kern w:val="0"/>
                      <w:sz w:val="21"/>
                      <w:szCs w:val="21"/>
                      <w:u w:val="none" w:color="auto"/>
                      <w:lang w:val="en-US" w:eastAsia="zh-CN"/>
                    </w:rPr>
                    <w:t>废气</w:t>
                  </w:r>
                </w:p>
              </w:tc>
              <w:tc>
                <w:tcPr>
                  <w:tcW w:w="4959" w:type="dxa"/>
                  <w:vAlign w:val="center"/>
                </w:tcPr>
                <w:p w14:paraId="7F5754A9">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color w:val="auto"/>
                      <w:sz w:val="21"/>
                      <w:szCs w:val="21"/>
                      <w:u w:val="none" w:color="auto"/>
                      <w:lang w:val="en-US" w:eastAsia="zh-CN"/>
                    </w:rPr>
                  </w:pPr>
                  <w:r>
                    <w:rPr>
                      <w:rFonts w:hint="eastAsia"/>
                      <w:color w:val="auto"/>
                      <w:sz w:val="21"/>
                      <w:szCs w:val="21"/>
                      <w:u w:val="none" w:color="auto"/>
                      <w:lang w:val="en-US" w:eastAsia="zh-CN"/>
                    </w:rPr>
                    <w:t>①</w:t>
                  </w:r>
                  <w:r>
                    <w:rPr>
                      <w:rFonts w:hint="default"/>
                      <w:color w:val="auto"/>
                      <w:sz w:val="21"/>
                      <w:szCs w:val="21"/>
                      <w:u w:val="none" w:color="auto"/>
                    </w:rPr>
                    <w:t>食堂油烟</w:t>
                  </w:r>
                  <w:r>
                    <w:rPr>
                      <w:rFonts w:hint="eastAsia"/>
                      <w:color w:val="auto"/>
                      <w:sz w:val="21"/>
                      <w:szCs w:val="21"/>
                      <w:u w:val="none" w:color="auto"/>
                      <w:lang w:val="en-US" w:eastAsia="zh-CN"/>
                    </w:rPr>
                    <w:t>经油烟</w:t>
                  </w:r>
                  <w:r>
                    <w:rPr>
                      <w:rFonts w:hint="default"/>
                      <w:color w:val="auto"/>
                      <w:sz w:val="21"/>
                      <w:szCs w:val="21"/>
                      <w:u w:val="none" w:color="auto"/>
                    </w:rPr>
                    <w:t>净化器</w:t>
                  </w:r>
                  <w:r>
                    <w:rPr>
                      <w:rFonts w:hint="eastAsia"/>
                      <w:color w:val="auto"/>
                      <w:sz w:val="21"/>
                      <w:szCs w:val="21"/>
                      <w:u w:val="none" w:color="auto"/>
                      <w:lang w:val="en-US" w:eastAsia="zh-CN"/>
                    </w:rPr>
                    <w:t>处理后引至楼顶排放。</w:t>
                  </w:r>
                </w:p>
                <w:p w14:paraId="0017C4D8">
                  <w:pPr>
                    <w:pStyle w:val="29"/>
                    <w:keepNext w:val="0"/>
                    <w:keepLines w:val="0"/>
                    <w:pageBreakBefore w:val="0"/>
                    <w:kinsoku/>
                    <w:wordWrap/>
                    <w:overflowPunct/>
                    <w:topLinePunct w:val="0"/>
                    <w:bidi w:val="0"/>
                    <w:adjustRightInd/>
                    <w:snapToGrid/>
                    <w:spacing w:line="300" w:lineRule="exact"/>
                    <w:jc w:val="left"/>
                    <w:textAlignment w:val="auto"/>
                    <w:rPr>
                      <w:rFonts w:hint="eastAsia"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②医疗废物暂存间臭气：项目医疗废物暂存间设于第一层西北角，本项目为精神病专科医院，日常医疗废物为医疗废物的种类主要为：病人使用后的一次性使用医疗用品；医用锐器；过期、淘汰、变质或者被污染的废弃的药品；废弃的化学物品等；极少量病人血液、体液、排泄物污染的物品等，日常通过封闭医疗垃圾桶收集，封闭门窗。</w:t>
                  </w:r>
                </w:p>
                <w:p w14:paraId="216BFB89">
                  <w:pPr>
                    <w:pStyle w:val="29"/>
                    <w:keepNext w:val="0"/>
                    <w:keepLines w:val="0"/>
                    <w:pageBreakBefore w:val="0"/>
                    <w:kinsoku/>
                    <w:wordWrap/>
                    <w:overflowPunct/>
                    <w:topLinePunct w:val="0"/>
                    <w:bidi w:val="0"/>
                    <w:adjustRightInd/>
                    <w:snapToGrid/>
                    <w:spacing w:line="300" w:lineRule="exact"/>
                    <w:jc w:val="left"/>
                    <w:textAlignment w:val="auto"/>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③污水处理站臭气：采用地埋式污水处理站、喷洒除臭剂、加强绿化。</w:t>
                  </w:r>
                </w:p>
              </w:tc>
              <w:tc>
                <w:tcPr>
                  <w:tcW w:w="1759" w:type="dxa"/>
                  <w:vAlign w:val="center"/>
                </w:tcPr>
                <w:p w14:paraId="20E3D264">
                  <w:pPr>
                    <w:pStyle w:val="29"/>
                    <w:keepNext w:val="0"/>
                    <w:keepLines w:val="0"/>
                    <w:pageBreakBefore w:val="0"/>
                    <w:kinsoku/>
                    <w:wordWrap/>
                    <w:overflowPunct/>
                    <w:topLinePunct w:val="0"/>
                    <w:bidi w:val="0"/>
                    <w:adjustRightInd/>
                    <w:snapToGrid/>
                    <w:spacing w:line="300" w:lineRule="exact"/>
                    <w:jc w:val="center"/>
                    <w:textAlignment w:val="auto"/>
                    <w:rPr>
                      <w:rFonts w:hint="eastAsia" w:cs="Times New Roman"/>
                      <w:color w:val="auto"/>
                      <w:kern w:val="0"/>
                      <w:sz w:val="21"/>
                      <w:szCs w:val="21"/>
                      <w:u w:val="none" w:color="auto"/>
                      <w:lang w:val="en-US" w:eastAsia="zh-CN"/>
                    </w:rPr>
                  </w:pPr>
                  <w:r>
                    <w:rPr>
                      <w:rFonts w:hint="eastAsia" w:cs="Times New Roman"/>
                      <w:color w:val="auto"/>
                      <w:sz w:val="21"/>
                      <w:szCs w:val="21"/>
                      <w:highlight w:val="none"/>
                      <w:u w:val="none" w:color="auto"/>
                      <w:lang w:val="en-US" w:eastAsia="zh-CN"/>
                    </w:rPr>
                    <w:t>医院自建</w:t>
                  </w:r>
                </w:p>
              </w:tc>
            </w:tr>
            <w:tr w14:paraId="09A19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dxa"/>
                  <w:vMerge w:val="continue"/>
                  <w:vAlign w:val="center"/>
                </w:tcPr>
                <w:p w14:paraId="72574D5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
                      <w:color w:val="auto"/>
                      <w:kern w:val="0"/>
                      <w:sz w:val="21"/>
                      <w:szCs w:val="21"/>
                      <w:u w:val="none" w:color="auto"/>
                    </w:rPr>
                  </w:pPr>
                </w:p>
              </w:tc>
              <w:tc>
                <w:tcPr>
                  <w:tcW w:w="330" w:type="dxa"/>
                  <w:vMerge w:val="restart"/>
                  <w:vAlign w:val="center"/>
                </w:tcPr>
                <w:p w14:paraId="4F3A29C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固体废物</w:t>
                  </w:r>
                </w:p>
              </w:tc>
              <w:tc>
                <w:tcPr>
                  <w:tcW w:w="1149" w:type="dxa"/>
                  <w:vAlign w:val="center"/>
                </w:tcPr>
                <w:p w14:paraId="6F872E4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医疗废物暂存</w:t>
                  </w:r>
                  <w:r>
                    <w:rPr>
                      <w:rFonts w:hint="eastAsia" w:cs="Times New Roman"/>
                      <w:b w:val="0"/>
                      <w:bCs w:val="0"/>
                      <w:color w:val="auto"/>
                      <w:sz w:val="21"/>
                      <w:szCs w:val="21"/>
                      <w:u w:val="none" w:color="auto"/>
                      <w:lang w:val="en-US" w:eastAsia="zh-CN"/>
                    </w:rPr>
                    <w:t>间</w:t>
                  </w:r>
                </w:p>
              </w:tc>
              <w:tc>
                <w:tcPr>
                  <w:tcW w:w="4959" w:type="dxa"/>
                  <w:vAlign w:val="center"/>
                </w:tcPr>
                <w:p w14:paraId="6DC5084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
                      <w:color w:val="auto"/>
                      <w:sz w:val="21"/>
                      <w:szCs w:val="21"/>
                      <w:u w:val="none" w:color="auto"/>
                    </w:rPr>
                  </w:pPr>
                  <w:r>
                    <w:rPr>
                      <w:rFonts w:hint="eastAsia" w:ascii="Times New Roman" w:hAnsi="Times New Roman" w:eastAsia="宋体" w:cs="Times New Roman"/>
                      <w:color w:val="auto"/>
                      <w:sz w:val="21"/>
                      <w:szCs w:val="21"/>
                      <w:highlight w:val="none"/>
                      <w:u w:val="none" w:color="auto"/>
                      <w:lang w:val="en-US" w:eastAsia="zh-CN"/>
                    </w:rPr>
                    <w:t>医疗废物</w:t>
                  </w:r>
                  <w:r>
                    <w:rPr>
                      <w:rFonts w:hint="default" w:ascii="Times New Roman" w:hAnsi="Times New Roman" w:eastAsia="宋体" w:cs="Times New Roman"/>
                      <w:color w:val="auto"/>
                      <w:sz w:val="21"/>
                      <w:szCs w:val="21"/>
                      <w:highlight w:val="none"/>
                      <w:u w:val="none" w:color="auto"/>
                      <w:lang w:val="en-US" w:eastAsia="zh-CN"/>
                    </w:rPr>
                    <w:t>暂存间：</w:t>
                  </w:r>
                  <w:r>
                    <w:rPr>
                      <w:rFonts w:hint="eastAsia" w:cs="Times New Roman"/>
                      <w:color w:val="auto"/>
                      <w:sz w:val="21"/>
                      <w:szCs w:val="21"/>
                      <w:highlight w:val="none"/>
                      <w:u w:val="none" w:color="auto"/>
                      <w:lang w:val="en-US" w:eastAsia="zh-CN"/>
                    </w:rPr>
                    <w:t>拟设于场地东南角</w:t>
                  </w:r>
                  <w:r>
                    <w:rPr>
                      <w:rFonts w:hint="default" w:ascii="Times New Roman" w:hAnsi="Times New Roman" w:eastAsia="宋体" w:cs="Times New Roman"/>
                      <w:color w:val="auto"/>
                      <w:sz w:val="21"/>
                      <w:szCs w:val="21"/>
                      <w:highlight w:val="none"/>
                      <w:u w:val="none" w:color="auto"/>
                      <w:lang w:val="en-US" w:eastAsia="zh-CN"/>
                    </w:rPr>
                    <w:t>，占地</w:t>
                  </w:r>
                  <w:r>
                    <w:rPr>
                      <w:rFonts w:hint="eastAsia" w:cs="Times New Roman"/>
                      <w:color w:val="auto"/>
                      <w:sz w:val="21"/>
                      <w:szCs w:val="21"/>
                      <w:highlight w:val="none"/>
                      <w:u w:val="none" w:color="auto"/>
                      <w:lang w:val="en-US" w:eastAsia="zh-CN"/>
                    </w:rPr>
                    <w:t>20</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lang w:val="en-US" w:eastAsia="zh-CN"/>
                    </w:rPr>
                    <w:t>，最大储存能力为</w:t>
                  </w:r>
                  <w:r>
                    <w:rPr>
                      <w:rFonts w:hint="eastAsia" w:cs="Times New Roman"/>
                      <w:color w:val="auto"/>
                      <w:sz w:val="21"/>
                      <w:szCs w:val="21"/>
                      <w:highlight w:val="none"/>
                      <w:u w:val="none" w:color="auto"/>
                      <w:lang w:val="en-US" w:eastAsia="zh-CN"/>
                    </w:rPr>
                    <w:t>5</w:t>
                  </w:r>
                  <w:r>
                    <w:rPr>
                      <w:rFonts w:hint="default" w:ascii="Times New Roman" w:hAnsi="Times New Roman" w:eastAsia="宋体" w:cs="Times New Roman"/>
                      <w:color w:val="auto"/>
                      <w:sz w:val="21"/>
                      <w:szCs w:val="21"/>
                      <w:highlight w:val="none"/>
                      <w:u w:val="none" w:color="auto"/>
                      <w:lang w:val="en-US" w:eastAsia="zh-CN"/>
                    </w:rPr>
                    <w:t>吨，</w:t>
                  </w:r>
                  <w:r>
                    <w:rPr>
                      <w:rFonts w:hint="eastAsia" w:cs="Times New Roman"/>
                      <w:color w:val="auto"/>
                      <w:sz w:val="21"/>
                      <w:szCs w:val="21"/>
                      <w:highlight w:val="none"/>
                      <w:u w:val="none" w:color="auto"/>
                      <w:lang w:val="en-US" w:eastAsia="zh-CN"/>
                    </w:rPr>
                    <w:t>拟</w:t>
                  </w:r>
                  <w:r>
                    <w:rPr>
                      <w:rFonts w:hint="eastAsia" w:ascii="Times New Roman" w:hAnsi="Times New Roman" w:eastAsia="宋体" w:cs="Times New Roman"/>
                      <w:color w:val="auto"/>
                      <w:sz w:val="21"/>
                      <w:szCs w:val="21"/>
                      <w:highlight w:val="none"/>
                      <w:u w:val="none" w:color="auto"/>
                      <w:lang w:val="en-US" w:eastAsia="zh-CN"/>
                    </w:rPr>
                    <w:t>按照</w:t>
                  </w:r>
                  <w:r>
                    <w:rPr>
                      <w:rFonts w:hint="default" w:ascii="Times New Roman" w:hAnsi="Times New Roman" w:eastAsia="宋体" w:cs="Times New Roman"/>
                      <w:color w:val="auto"/>
                      <w:sz w:val="21"/>
                      <w:szCs w:val="21"/>
                      <w:highlight w:val="none"/>
                      <w:u w:val="none" w:color="auto"/>
                      <w:lang w:val="en-US" w:eastAsia="zh-CN"/>
                    </w:rPr>
                    <w:t>《危险废物贮存污染控制》（GB185997-20</w:t>
                  </w:r>
                  <w:r>
                    <w:rPr>
                      <w:rFonts w:hint="eastAsia" w:cs="Times New Roman"/>
                      <w:color w:val="auto"/>
                      <w:sz w:val="21"/>
                      <w:szCs w:val="21"/>
                      <w:highlight w:val="none"/>
                      <w:u w:val="none" w:color="auto"/>
                      <w:lang w:val="en-US" w:eastAsia="zh-CN"/>
                    </w:rPr>
                    <w:t>23</w:t>
                  </w:r>
                  <w:r>
                    <w:rPr>
                      <w:rFonts w:hint="default" w:ascii="Times New Roman" w:hAnsi="Times New Roman" w:eastAsia="宋体" w:cs="Times New Roman"/>
                      <w:color w:val="auto"/>
                      <w:sz w:val="21"/>
                      <w:szCs w:val="21"/>
                      <w:highlight w:val="none"/>
                      <w:u w:val="none" w:color="auto"/>
                      <w:lang w:val="en-US" w:eastAsia="zh-CN"/>
                    </w:rPr>
                    <w:t>）</w:t>
                  </w:r>
                  <w:r>
                    <w:rPr>
                      <w:rFonts w:hint="eastAsia" w:cs="Times New Roman"/>
                      <w:color w:val="auto"/>
                      <w:sz w:val="21"/>
                      <w:szCs w:val="21"/>
                      <w:highlight w:val="none"/>
                      <w:u w:val="none" w:color="auto"/>
                      <w:lang w:val="en-US" w:eastAsia="zh-CN"/>
                    </w:rPr>
                    <w:t>建设，</w:t>
                  </w:r>
                  <w:r>
                    <w:rPr>
                      <w:rFonts w:hint="default" w:ascii="Times New Roman" w:hAnsi="Times New Roman" w:eastAsia="宋体" w:cs="Times New Roman"/>
                      <w:color w:val="auto"/>
                      <w:sz w:val="21"/>
                      <w:szCs w:val="21"/>
                      <w:highlight w:val="none"/>
                      <w:u w:val="none" w:color="auto"/>
                      <w:lang w:val="en-US" w:eastAsia="zh-CN"/>
                    </w:rPr>
                    <w:t>全封闭结构，地面、墙裙铺设2毫米厚度高密度聚乙烯膜，渗透系数≤10</w:t>
                  </w:r>
                  <w:r>
                    <w:rPr>
                      <w:rFonts w:hint="default" w:ascii="Times New Roman" w:hAnsi="Times New Roman" w:eastAsia="宋体" w:cs="Times New Roman"/>
                      <w:color w:val="auto"/>
                      <w:sz w:val="21"/>
                      <w:szCs w:val="21"/>
                      <w:highlight w:val="none"/>
                      <w:u w:val="none" w:color="auto"/>
                      <w:vertAlign w:val="superscript"/>
                      <w:lang w:val="en-US" w:eastAsia="zh-CN"/>
                    </w:rPr>
                    <w:t>-10</w:t>
                  </w:r>
                  <w:r>
                    <w:rPr>
                      <w:rFonts w:hint="default" w:ascii="Times New Roman" w:hAnsi="Times New Roman" w:eastAsia="宋体" w:cs="Times New Roman"/>
                      <w:color w:val="auto"/>
                      <w:sz w:val="21"/>
                      <w:szCs w:val="21"/>
                      <w:highlight w:val="none"/>
                      <w:u w:val="none" w:color="auto"/>
                      <w:lang w:val="en-US" w:eastAsia="zh-CN"/>
                    </w:rPr>
                    <w:t>厘米/秒</w:t>
                  </w:r>
                  <w:r>
                    <w:rPr>
                      <w:rFonts w:hint="eastAsia" w:ascii="Times New Roman" w:hAnsi="Times New Roman" w:eastAsia="宋体" w:cs="Times New Roman"/>
                      <w:color w:val="auto"/>
                      <w:sz w:val="21"/>
                      <w:szCs w:val="21"/>
                      <w:highlight w:val="none"/>
                      <w:u w:val="none" w:color="auto"/>
                      <w:lang w:val="en-US" w:eastAsia="zh-CN"/>
                    </w:rPr>
                    <w:t>。</w:t>
                  </w:r>
                </w:p>
              </w:tc>
              <w:tc>
                <w:tcPr>
                  <w:tcW w:w="1759" w:type="dxa"/>
                  <w:vAlign w:val="center"/>
                </w:tcPr>
                <w:p w14:paraId="10E8772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医院自建</w:t>
                  </w:r>
                </w:p>
              </w:tc>
            </w:tr>
            <w:tr w14:paraId="023BB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dxa"/>
                  <w:vMerge w:val="continue"/>
                  <w:vAlign w:val="center"/>
                </w:tcPr>
                <w:p w14:paraId="2CADB2A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
                      <w:color w:val="auto"/>
                      <w:kern w:val="0"/>
                      <w:sz w:val="21"/>
                      <w:szCs w:val="21"/>
                      <w:u w:val="none" w:color="auto"/>
                    </w:rPr>
                  </w:pPr>
                </w:p>
              </w:tc>
              <w:tc>
                <w:tcPr>
                  <w:tcW w:w="330" w:type="dxa"/>
                  <w:vMerge w:val="continue"/>
                  <w:vAlign w:val="center"/>
                </w:tcPr>
                <w:p w14:paraId="481F1F7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 w:val="0"/>
                      <w:bCs w:val="0"/>
                      <w:color w:val="auto"/>
                      <w:sz w:val="21"/>
                      <w:szCs w:val="21"/>
                      <w:u w:val="none" w:color="auto"/>
                      <w:lang w:val="en-US" w:eastAsia="zh-CN"/>
                    </w:rPr>
                  </w:pPr>
                </w:p>
              </w:tc>
              <w:tc>
                <w:tcPr>
                  <w:tcW w:w="1149" w:type="dxa"/>
                  <w:vAlign w:val="center"/>
                </w:tcPr>
                <w:p w14:paraId="0420184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医疗垃圾收集桶</w:t>
                  </w:r>
                </w:p>
              </w:tc>
              <w:tc>
                <w:tcPr>
                  <w:tcW w:w="4959" w:type="dxa"/>
                  <w:vAlign w:val="center"/>
                </w:tcPr>
                <w:p w14:paraId="3B9DC32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u w:val="none" w:color="auto"/>
                      <w:lang w:val="en-US" w:eastAsia="zh-CN"/>
                    </w:rPr>
                    <w:t>不同楼层设置</w:t>
                  </w:r>
                  <w:r>
                    <w:rPr>
                      <w:rFonts w:hint="eastAsia" w:cs="Times New Roman"/>
                      <w:b w:val="0"/>
                      <w:bCs w:val="0"/>
                      <w:color w:val="auto"/>
                      <w:sz w:val="21"/>
                      <w:szCs w:val="21"/>
                      <w:u w:val="none" w:color="auto"/>
                      <w:lang w:val="en-US" w:eastAsia="zh-CN"/>
                    </w:rPr>
                    <w:t>医疗垃圾收集桶</w:t>
                  </w:r>
                  <w:r>
                    <w:rPr>
                      <w:rFonts w:hint="eastAsia" w:cs="Times New Roman"/>
                      <w:color w:val="auto"/>
                      <w:sz w:val="21"/>
                      <w:szCs w:val="21"/>
                      <w:u w:val="none" w:color="auto"/>
                      <w:lang w:val="en-US" w:eastAsia="zh-CN"/>
                    </w:rPr>
                    <w:t>若干，</w:t>
                  </w:r>
                  <w:r>
                    <w:rPr>
                      <w:rFonts w:hint="default" w:ascii="Times New Roman" w:hAnsi="Times New Roman" w:eastAsia="宋体" w:cs="Times New Roman"/>
                      <w:color w:val="auto"/>
                      <w:sz w:val="21"/>
                      <w:szCs w:val="21"/>
                      <w:u w:val="none" w:color="auto"/>
                    </w:rPr>
                    <w:t>加盖</w:t>
                  </w:r>
                  <w:r>
                    <w:rPr>
                      <w:rFonts w:hint="eastAsia"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val="en-US" w:eastAsia="zh-CN"/>
                    </w:rPr>
                    <w:t>经收集后送至医疗废物暂存间。</w:t>
                  </w:r>
                </w:p>
              </w:tc>
              <w:tc>
                <w:tcPr>
                  <w:tcW w:w="1759" w:type="dxa"/>
                  <w:vAlign w:val="center"/>
                </w:tcPr>
                <w:p w14:paraId="7FEA59D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21"/>
                      <w:szCs w:val="21"/>
                      <w:u w:val="none" w:color="auto"/>
                      <w:lang w:val="en-US" w:eastAsia="zh-CN"/>
                    </w:rPr>
                  </w:pPr>
                  <w:r>
                    <w:rPr>
                      <w:rFonts w:hint="eastAsia" w:cs="Times New Roman"/>
                      <w:color w:val="auto"/>
                      <w:sz w:val="21"/>
                      <w:szCs w:val="21"/>
                      <w:highlight w:val="none"/>
                      <w:u w:val="none" w:color="auto"/>
                      <w:lang w:val="en-US" w:eastAsia="zh-CN"/>
                    </w:rPr>
                    <w:t>医院自建</w:t>
                  </w:r>
                </w:p>
              </w:tc>
            </w:tr>
            <w:tr w14:paraId="0F5C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373" w:type="dxa"/>
                  <w:vMerge w:val="continue"/>
                  <w:vAlign w:val="center"/>
                </w:tcPr>
                <w:p w14:paraId="5A3B99D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
                      <w:color w:val="auto"/>
                      <w:kern w:val="0"/>
                      <w:sz w:val="21"/>
                      <w:szCs w:val="21"/>
                      <w:u w:val="none" w:color="auto"/>
                    </w:rPr>
                  </w:pPr>
                </w:p>
              </w:tc>
              <w:tc>
                <w:tcPr>
                  <w:tcW w:w="330" w:type="dxa"/>
                  <w:vMerge w:val="continue"/>
                  <w:vAlign w:val="center"/>
                </w:tcPr>
                <w:p w14:paraId="5A7DF7C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 w:val="0"/>
                      <w:bCs w:val="0"/>
                      <w:color w:val="auto"/>
                      <w:sz w:val="21"/>
                      <w:szCs w:val="21"/>
                      <w:u w:val="none" w:color="auto"/>
                      <w:lang w:val="en-US" w:eastAsia="zh-CN"/>
                    </w:rPr>
                  </w:pPr>
                </w:p>
              </w:tc>
              <w:tc>
                <w:tcPr>
                  <w:tcW w:w="1149" w:type="dxa"/>
                  <w:vAlign w:val="center"/>
                </w:tcPr>
                <w:p w14:paraId="3761367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危险废物暂存间</w:t>
                  </w:r>
                </w:p>
              </w:tc>
              <w:tc>
                <w:tcPr>
                  <w:tcW w:w="4959" w:type="dxa"/>
                  <w:vAlign w:val="center"/>
                </w:tcPr>
                <w:p w14:paraId="2EDEAE5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21"/>
                      <w:szCs w:val="21"/>
                      <w:u w:val="none" w:color="auto"/>
                      <w:lang w:val="en-US" w:eastAsia="zh-CN"/>
                    </w:rPr>
                  </w:pPr>
                  <w:r>
                    <w:rPr>
                      <w:rFonts w:hint="eastAsia" w:cs="Times New Roman"/>
                      <w:color w:val="auto"/>
                      <w:sz w:val="21"/>
                      <w:szCs w:val="21"/>
                      <w:highlight w:val="none"/>
                      <w:u w:val="none" w:color="auto"/>
                      <w:lang w:val="en-US" w:eastAsia="zh-CN"/>
                    </w:rPr>
                    <w:t>拟设于场地东南角</w:t>
                  </w:r>
                  <w:r>
                    <w:rPr>
                      <w:rFonts w:hint="default" w:ascii="Times New Roman" w:hAnsi="Times New Roman" w:eastAsia="宋体" w:cs="Times New Roman"/>
                      <w:color w:val="auto"/>
                      <w:sz w:val="21"/>
                      <w:szCs w:val="21"/>
                      <w:highlight w:val="none"/>
                      <w:u w:val="none" w:color="auto"/>
                      <w:lang w:val="en-US" w:eastAsia="zh-CN"/>
                    </w:rPr>
                    <w:t>，占地</w:t>
                  </w:r>
                  <w:r>
                    <w:rPr>
                      <w:rFonts w:hint="eastAsia" w:cs="Times New Roman"/>
                      <w:color w:val="auto"/>
                      <w:sz w:val="21"/>
                      <w:szCs w:val="21"/>
                      <w:highlight w:val="none"/>
                      <w:u w:val="none" w:color="auto"/>
                      <w:lang w:val="en-US" w:eastAsia="zh-CN"/>
                    </w:rPr>
                    <w:t>5</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lang w:val="en-US" w:eastAsia="zh-CN"/>
                    </w:rPr>
                    <w:t>，最大储存能力为</w:t>
                  </w:r>
                  <w:r>
                    <w:rPr>
                      <w:rFonts w:hint="eastAsia" w:cs="Times New Roman"/>
                      <w:color w:val="auto"/>
                      <w:sz w:val="21"/>
                      <w:szCs w:val="21"/>
                      <w:highlight w:val="none"/>
                      <w:u w:val="none" w:color="auto"/>
                      <w:lang w:val="en-US" w:eastAsia="zh-CN"/>
                    </w:rPr>
                    <w:t>0.5</w:t>
                  </w:r>
                  <w:r>
                    <w:rPr>
                      <w:rFonts w:hint="default" w:ascii="Times New Roman" w:hAnsi="Times New Roman" w:eastAsia="宋体" w:cs="Times New Roman"/>
                      <w:color w:val="auto"/>
                      <w:sz w:val="21"/>
                      <w:szCs w:val="21"/>
                      <w:highlight w:val="none"/>
                      <w:u w:val="none" w:color="auto"/>
                      <w:lang w:val="en-US" w:eastAsia="zh-CN"/>
                    </w:rPr>
                    <w:t>吨，</w:t>
                  </w:r>
                  <w:r>
                    <w:rPr>
                      <w:rFonts w:hint="eastAsia" w:cs="Times New Roman"/>
                      <w:color w:val="auto"/>
                      <w:sz w:val="21"/>
                      <w:szCs w:val="21"/>
                      <w:highlight w:val="none"/>
                      <w:u w:val="none" w:color="auto"/>
                      <w:lang w:val="en-US" w:eastAsia="zh-CN"/>
                    </w:rPr>
                    <w:t>拟</w:t>
                  </w:r>
                  <w:r>
                    <w:rPr>
                      <w:rFonts w:hint="eastAsia" w:ascii="Times New Roman" w:hAnsi="Times New Roman" w:eastAsia="宋体" w:cs="Times New Roman"/>
                      <w:color w:val="auto"/>
                      <w:sz w:val="21"/>
                      <w:szCs w:val="21"/>
                      <w:highlight w:val="none"/>
                      <w:u w:val="none" w:color="auto"/>
                      <w:lang w:val="en-US" w:eastAsia="zh-CN"/>
                    </w:rPr>
                    <w:t>按照</w:t>
                  </w:r>
                  <w:r>
                    <w:rPr>
                      <w:rFonts w:hint="default" w:ascii="Times New Roman" w:hAnsi="Times New Roman" w:eastAsia="宋体" w:cs="Times New Roman"/>
                      <w:color w:val="auto"/>
                      <w:sz w:val="21"/>
                      <w:szCs w:val="21"/>
                      <w:highlight w:val="none"/>
                      <w:u w:val="none" w:color="auto"/>
                      <w:lang w:val="en-US" w:eastAsia="zh-CN"/>
                    </w:rPr>
                    <w:t>《危险废物贮存污染控制》（GB185997-20</w:t>
                  </w:r>
                  <w:r>
                    <w:rPr>
                      <w:rFonts w:hint="eastAsia" w:cs="Times New Roman"/>
                      <w:color w:val="auto"/>
                      <w:sz w:val="21"/>
                      <w:szCs w:val="21"/>
                      <w:highlight w:val="none"/>
                      <w:u w:val="none" w:color="auto"/>
                      <w:lang w:val="en-US" w:eastAsia="zh-CN"/>
                    </w:rPr>
                    <w:t>23</w:t>
                  </w:r>
                  <w:r>
                    <w:rPr>
                      <w:rFonts w:hint="default" w:ascii="Times New Roman" w:hAnsi="Times New Roman" w:eastAsia="宋体" w:cs="Times New Roman"/>
                      <w:color w:val="auto"/>
                      <w:sz w:val="21"/>
                      <w:szCs w:val="21"/>
                      <w:highlight w:val="none"/>
                      <w:u w:val="none" w:color="auto"/>
                      <w:lang w:val="en-US" w:eastAsia="zh-CN"/>
                    </w:rPr>
                    <w:t>）</w:t>
                  </w:r>
                  <w:r>
                    <w:rPr>
                      <w:rFonts w:hint="eastAsia" w:cs="Times New Roman"/>
                      <w:color w:val="auto"/>
                      <w:sz w:val="21"/>
                      <w:szCs w:val="21"/>
                      <w:highlight w:val="none"/>
                      <w:u w:val="none" w:color="auto"/>
                      <w:lang w:val="en-US" w:eastAsia="zh-CN"/>
                    </w:rPr>
                    <w:t>建设，</w:t>
                  </w:r>
                  <w:r>
                    <w:rPr>
                      <w:rFonts w:hint="default" w:ascii="Times New Roman" w:hAnsi="Times New Roman" w:eastAsia="宋体" w:cs="Times New Roman"/>
                      <w:color w:val="auto"/>
                      <w:sz w:val="21"/>
                      <w:szCs w:val="21"/>
                      <w:highlight w:val="none"/>
                      <w:u w:val="none" w:color="auto"/>
                      <w:lang w:val="en-US" w:eastAsia="zh-CN"/>
                    </w:rPr>
                    <w:t>全封闭结构，地面、墙裙铺设2毫米厚度高密度聚乙烯膜，渗透系数≤10</w:t>
                  </w:r>
                  <w:r>
                    <w:rPr>
                      <w:rFonts w:hint="default" w:ascii="Times New Roman" w:hAnsi="Times New Roman" w:eastAsia="宋体" w:cs="Times New Roman"/>
                      <w:color w:val="auto"/>
                      <w:sz w:val="21"/>
                      <w:szCs w:val="21"/>
                      <w:highlight w:val="none"/>
                      <w:u w:val="none" w:color="auto"/>
                      <w:vertAlign w:val="superscript"/>
                      <w:lang w:val="en-US" w:eastAsia="zh-CN"/>
                    </w:rPr>
                    <w:t>-10</w:t>
                  </w:r>
                  <w:r>
                    <w:rPr>
                      <w:rFonts w:hint="default" w:ascii="Times New Roman" w:hAnsi="Times New Roman" w:eastAsia="宋体" w:cs="Times New Roman"/>
                      <w:color w:val="auto"/>
                      <w:sz w:val="21"/>
                      <w:szCs w:val="21"/>
                      <w:highlight w:val="none"/>
                      <w:u w:val="none" w:color="auto"/>
                      <w:lang w:val="en-US" w:eastAsia="zh-CN"/>
                    </w:rPr>
                    <w:t>厘米/秒</w:t>
                  </w:r>
                  <w:r>
                    <w:rPr>
                      <w:rFonts w:hint="eastAsia" w:ascii="Times New Roman" w:hAnsi="Times New Roman" w:eastAsia="宋体" w:cs="Times New Roman"/>
                      <w:color w:val="auto"/>
                      <w:sz w:val="21"/>
                      <w:szCs w:val="21"/>
                      <w:highlight w:val="none"/>
                      <w:u w:val="none" w:color="auto"/>
                      <w:lang w:val="en-US" w:eastAsia="zh-CN"/>
                    </w:rPr>
                    <w:t>。</w:t>
                  </w:r>
                </w:p>
              </w:tc>
              <w:tc>
                <w:tcPr>
                  <w:tcW w:w="1759" w:type="dxa"/>
                  <w:vAlign w:val="center"/>
                </w:tcPr>
                <w:p w14:paraId="7A6983D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医院自建</w:t>
                  </w:r>
                </w:p>
              </w:tc>
            </w:tr>
            <w:tr w14:paraId="6DFB5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373" w:type="dxa"/>
                  <w:vMerge w:val="continue"/>
                  <w:vAlign w:val="center"/>
                </w:tcPr>
                <w:p w14:paraId="764EE58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
                      <w:color w:val="auto"/>
                      <w:kern w:val="0"/>
                      <w:sz w:val="21"/>
                      <w:szCs w:val="21"/>
                      <w:u w:val="none" w:color="auto"/>
                    </w:rPr>
                  </w:pPr>
                </w:p>
              </w:tc>
              <w:tc>
                <w:tcPr>
                  <w:tcW w:w="330" w:type="dxa"/>
                  <w:vMerge w:val="continue"/>
                  <w:vAlign w:val="center"/>
                </w:tcPr>
                <w:p w14:paraId="4C3F177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 w:val="0"/>
                      <w:bCs w:val="0"/>
                      <w:color w:val="auto"/>
                      <w:sz w:val="21"/>
                      <w:szCs w:val="21"/>
                      <w:u w:val="none" w:color="auto"/>
                      <w:lang w:val="en-US" w:eastAsia="zh-CN"/>
                    </w:rPr>
                  </w:pPr>
                </w:p>
              </w:tc>
              <w:tc>
                <w:tcPr>
                  <w:tcW w:w="1149" w:type="dxa"/>
                  <w:vAlign w:val="center"/>
                </w:tcPr>
                <w:p w14:paraId="52B4F3C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一般固体废物</w:t>
                  </w:r>
                </w:p>
              </w:tc>
              <w:tc>
                <w:tcPr>
                  <w:tcW w:w="4959" w:type="dxa"/>
                  <w:vAlign w:val="center"/>
                </w:tcPr>
                <w:p w14:paraId="38DD9C7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一般性固体废物主要是指输液瓶和未被污染的各种玻璃（一次性塑料）输液瓶（袋），不能用于原始用途，交给相关单位回收处置。</w:t>
                  </w:r>
                </w:p>
              </w:tc>
              <w:tc>
                <w:tcPr>
                  <w:tcW w:w="1759" w:type="dxa"/>
                  <w:vAlign w:val="center"/>
                </w:tcPr>
                <w:p w14:paraId="2F67E4D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21"/>
                      <w:szCs w:val="21"/>
                      <w:u w:val="none" w:color="auto"/>
                      <w:lang w:val="en-US" w:eastAsia="zh-CN"/>
                    </w:rPr>
                  </w:pPr>
                  <w:r>
                    <w:rPr>
                      <w:rFonts w:hint="eastAsia" w:cs="Times New Roman"/>
                      <w:color w:val="auto"/>
                      <w:sz w:val="21"/>
                      <w:szCs w:val="21"/>
                      <w:highlight w:val="none"/>
                      <w:u w:val="none" w:color="auto"/>
                      <w:lang w:val="en-US" w:eastAsia="zh-CN"/>
                    </w:rPr>
                    <w:t>医院自建</w:t>
                  </w:r>
                </w:p>
              </w:tc>
            </w:tr>
            <w:tr w14:paraId="7E3A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373" w:type="dxa"/>
                  <w:vMerge w:val="continue"/>
                  <w:vAlign w:val="center"/>
                </w:tcPr>
                <w:p w14:paraId="528B2C6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
                      <w:color w:val="auto"/>
                      <w:kern w:val="0"/>
                      <w:sz w:val="21"/>
                      <w:szCs w:val="21"/>
                      <w:u w:val="none" w:color="auto"/>
                    </w:rPr>
                  </w:pPr>
                </w:p>
              </w:tc>
              <w:tc>
                <w:tcPr>
                  <w:tcW w:w="330" w:type="dxa"/>
                  <w:vMerge w:val="continue"/>
                  <w:vAlign w:val="center"/>
                </w:tcPr>
                <w:p w14:paraId="1B8C7E8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 w:val="0"/>
                      <w:bCs w:val="0"/>
                      <w:color w:val="auto"/>
                      <w:sz w:val="21"/>
                      <w:szCs w:val="21"/>
                      <w:u w:val="none" w:color="auto"/>
                    </w:rPr>
                  </w:pPr>
                </w:p>
              </w:tc>
              <w:tc>
                <w:tcPr>
                  <w:tcW w:w="1149" w:type="dxa"/>
                  <w:vAlign w:val="center"/>
                </w:tcPr>
                <w:p w14:paraId="118D9F8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生活</w:t>
                  </w:r>
                  <w:r>
                    <w:rPr>
                      <w:rFonts w:hint="default" w:ascii="Times New Roman" w:hAnsi="Times New Roman" w:eastAsia="宋体" w:cs="Times New Roman"/>
                      <w:b w:val="0"/>
                      <w:bCs w:val="0"/>
                      <w:color w:val="auto"/>
                      <w:sz w:val="21"/>
                      <w:szCs w:val="21"/>
                      <w:u w:val="none" w:color="auto"/>
                    </w:rPr>
                    <w:t>垃圾收集点</w:t>
                  </w:r>
                </w:p>
              </w:tc>
              <w:tc>
                <w:tcPr>
                  <w:tcW w:w="4959" w:type="dxa"/>
                  <w:vAlign w:val="center"/>
                </w:tcPr>
                <w:p w14:paraId="30DA310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不同楼层设置生活垃圾收集桶若干，</w:t>
                  </w:r>
                  <w:r>
                    <w:rPr>
                      <w:rFonts w:hint="default" w:ascii="Times New Roman" w:hAnsi="Times New Roman" w:eastAsia="宋体" w:cs="Times New Roman"/>
                      <w:color w:val="auto"/>
                      <w:sz w:val="21"/>
                      <w:szCs w:val="21"/>
                      <w:u w:val="none" w:color="auto"/>
                    </w:rPr>
                    <w:t>加盖</w:t>
                  </w:r>
                  <w:r>
                    <w:rPr>
                      <w:rFonts w:hint="eastAsia" w:cs="Times New Roman"/>
                      <w:color w:val="auto"/>
                      <w:sz w:val="21"/>
                      <w:szCs w:val="21"/>
                      <w:u w:val="none" w:color="auto"/>
                      <w:lang w:eastAsia="zh-CN"/>
                    </w:rPr>
                    <w:t>，</w:t>
                  </w:r>
                  <w:r>
                    <w:rPr>
                      <w:rFonts w:hint="eastAsia" w:cs="Times New Roman"/>
                      <w:color w:val="auto"/>
                      <w:sz w:val="21"/>
                      <w:szCs w:val="21"/>
                      <w:u w:val="none" w:color="auto"/>
                      <w:lang w:val="en-US" w:eastAsia="zh-CN"/>
                    </w:rPr>
                    <w:t>集中收集后交给环卫部门处理。</w:t>
                  </w:r>
                </w:p>
              </w:tc>
              <w:tc>
                <w:tcPr>
                  <w:tcW w:w="1759" w:type="dxa"/>
                  <w:vAlign w:val="center"/>
                </w:tcPr>
                <w:p w14:paraId="63A327A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21"/>
                      <w:szCs w:val="21"/>
                      <w:u w:val="none" w:color="auto"/>
                      <w:lang w:val="en-US" w:eastAsia="zh-CN"/>
                    </w:rPr>
                  </w:pPr>
                  <w:r>
                    <w:rPr>
                      <w:rFonts w:hint="eastAsia" w:cs="Times New Roman"/>
                      <w:color w:val="auto"/>
                      <w:sz w:val="21"/>
                      <w:szCs w:val="21"/>
                      <w:highlight w:val="none"/>
                      <w:u w:val="none" w:color="auto"/>
                      <w:lang w:val="en-US" w:eastAsia="zh-CN"/>
                    </w:rPr>
                    <w:t>医院自建</w:t>
                  </w:r>
                </w:p>
              </w:tc>
            </w:tr>
            <w:tr w14:paraId="31BD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373" w:type="dxa"/>
                  <w:vMerge w:val="continue"/>
                  <w:vAlign w:val="center"/>
                </w:tcPr>
                <w:p w14:paraId="5F9C890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
                      <w:color w:val="auto"/>
                      <w:kern w:val="0"/>
                      <w:sz w:val="21"/>
                      <w:szCs w:val="21"/>
                      <w:u w:val="none" w:color="auto"/>
                    </w:rPr>
                  </w:pPr>
                </w:p>
              </w:tc>
              <w:tc>
                <w:tcPr>
                  <w:tcW w:w="1479" w:type="dxa"/>
                  <w:gridSpan w:val="2"/>
                  <w:vAlign w:val="center"/>
                </w:tcPr>
                <w:p w14:paraId="46601B0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其他</w:t>
                  </w:r>
                </w:p>
              </w:tc>
              <w:tc>
                <w:tcPr>
                  <w:tcW w:w="4959" w:type="dxa"/>
                  <w:vAlign w:val="center"/>
                </w:tcPr>
                <w:p w14:paraId="72D34D8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配套建设应急事故池一处，位于污水处理站旁，容积为40m</w:t>
                  </w:r>
                  <w:r>
                    <w:rPr>
                      <w:rFonts w:hint="eastAsia" w:cs="Times New Roman"/>
                      <w:color w:val="auto"/>
                      <w:sz w:val="21"/>
                      <w:szCs w:val="21"/>
                      <w:u w:val="none" w:color="auto"/>
                      <w:vertAlign w:val="superscript"/>
                      <w:lang w:val="en-US" w:eastAsia="zh-CN"/>
                    </w:rPr>
                    <w:t>3</w:t>
                  </w:r>
                  <w:r>
                    <w:rPr>
                      <w:rFonts w:hint="eastAsia" w:cs="Times New Roman"/>
                      <w:color w:val="auto"/>
                      <w:sz w:val="21"/>
                      <w:szCs w:val="21"/>
                      <w:u w:val="none" w:color="auto"/>
                      <w:lang w:val="en-US" w:eastAsia="zh-CN"/>
                    </w:rPr>
                    <w:t>。</w:t>
                  </w:r>
                </w:p>
              </w:tc>
              <w:tc>
                <w:tcPr>
                  <w:tcW w:w="1759" w:type="dxa"/>
                  <w:vAlign w:val="center"/>
                </w:tcPr>
                <w:p w14:paraId="1F824E4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21"/>
                      <w:szCs w:val="21"/>
                      <w:u w:val="none" w:color="auto"/>
                      <w:lang w:val="en-US" w:eastAsia="zh-CN"/>
                    </w:rPr>
                  </w:pPr>
                  <w:r>
                    <w:rPr>
                      <w:rFonts w:hint="eastAsia" w:cs="Times New Roman"/>
                      <w:color w:val="auto"/>
                      <w:sz w:val="21"/>
                      <w:szCs w:val="21"/>
                      <w:highlight w:val="none"/>
                      <w:u w:val="none" w:color="auto"/>
                      <w:lang w:val="en-US" w:eastAsia="zh-CN"/>
                    </w:rPr>
                    <w:t>医院自建</w:t>
                  </w:r>
                </w:p>
              </w:tc>
            </w:tr>
          </w:tbl>
          <w:p w14:paraId="028BD00F">
            <w:pPr>
              <w:rPr>
                <w:rFonts w:hint="default" w:eastAsia="宋体"/>
                <w:color w:val="auto"/>
                <w:sz w:val="21"/>
                <w:szCs w:val="21"/>
                <w:u w:val="none" w:color="auto"/>
                <w:lang w:val="en-US" w:eastAsia="zh-CN"/>
              </w:rPr>
            </w:pPr>
            <w:r>
              <w:rPr>
                <w:rFonts w:hint="eastAsia"/>
                <w:color w:val="auto"/>
                <w:sz w:val="21"/>
                <w:szCs w:val="21"/>
                <w:u w:val="none" w:color="auto"/>
                <w:lang w:val="en-US" w:eastAsia="zh-CN"/>
              </w:rPr>
              <w:t>备注：项目为精神病专科医院，主要治疗的疾病是精神疾病，不设置其他疾病及发热科室。</w:t>
            </w:r>
          </w:p>
          <w:p w14:paraId="2C0F5324">
            <w:pPr>
              <w:pStyle w:val="36"/>
              <w:numPr>
                <w:ilvl w:val="0"/>
                <w:numId w:val="4"/>
              </w:numPr>
              <w:spacing w:before="120" w:beforeLines="50"/>
              <w:ind w:left="902" w:firstLineChars="0"/>
              <w:rPr>
                <w:b/>
                <w:color w:val="auto"/>
                <w:u w:val="none" w:color="auto"/>
              </w:rPr>
            </w:pPr>
            <w:r>
              <w:rPr>
                <w:b/>
                <w:color w:val="auto"/>
                <w:u w:val="none" w:color="auto"/>
              </w:rPr>
              <w:t>主要原辅材料</w:t>
            </w:r>
          </w:p>
          <w:p w14:paraId="55B7BE3E">
            <w:pPr>
              <w:pStyle w:val="10"/>
              <w:numPr>
                <w:ilvl w:val="0"/>
                <w:numId w:val="3"/>
              </w:numPr>
              <w:ind w:left="0" w:firstLine="0" w:firstLineChars="0"/>
              <w:jc w:val="center"/>
              <w:rPr>
                <w:rFonts w:hint="eastAsia" w:ascii="黑体" w:hAnsi="黑体" w:eastAsia="黑体"/>
                <w:b w:val="0"/>
                <w:color w:val="auto"/>
                <w:u w:val="none" w:color="auto"/>
              </w:rPr>
            </w:pPr>
            <w:r>
              <w:rPr>
                <w:rFonts w:hint="eastAsia" w:ascii="黑体" w:hAnsi="黑体" w:eastAsia="黑体"/>
                <w:b w:val="0"/>
                <w:color w:val="auto"/>
                <w:u w:val="none" w:color="auto"/>
              </w:rPr>
              <w:t>项目原辅材料及消耗一览表</w:t>
            </w:r>
          </w:p>
          <w:tbl>
            <w:tblPr>
              <w:tblStyle w:val="22"/>
              <w:tblW w:w="81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73"/>
              <w:gridCol w:w="2325"/>
              <w:gridCol w:w="1433"/>
              <w:gridCol w:w="1743"/>
              <w:gridCol w:w="1875"/>
            </w:tblGrid>
            <w:tr w14:paraId="66E7A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73" w:type="dxa"/>
                  <w:tcBorders>
                    <w:tl2br w:val="nil"/>
                    <w:tr2bl w:val="nil"/>
                  </w:tcBorders>
                  <w:shd w:val="clear" w:color="auto" w:fill="auto"/>
                  <w:vAlign w:val="center"/>
                </w:tcPr>
                <w:p w14:paraId="4D67382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序号</w:t>
                  </w:r>
                </w:p>
              </w:tc>
              <w:tc>
                <w:tcPr>
                  <w:tcW w:w="2325" w:type="dxa"/>
                  <w:tcBorders>
                    <w:tl2br w:val="nil"/>
                    <w:tr2bl w:val="nil"/>
                  </w:tcBorders>
                  <w:shd w:val="clear" w:color="auto" w:fill="auto"/>
                  <w:vAlign w:val="center"/>
                </w:tcPr>
                <w:p w14:paraId="46698E0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名称</w:t>
                  </w:r>
                </w:p>
              </w:tc>
              <w:tc>
                <w:tcPr>
                  <w:tcW w:w="1433" w:type="dxa"/>
                  <w:tcBorders>
                    <w:tl2br w:val="nil"/>
                    <w:tr2bl w:val="nil"/>
                  </w:tcBorders>
                  <w:shd w:val="clear" w:color="auto" w:fill="auto"/>
                  <w:vAlign w:val="center"/>
                </w:tcPr>
                <w:p w14:paraId="21D1460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单位</w:t>
                  </w:r>
                </w:p>
              </w:tc>
              <w:tc>
                <w:tcPr>
                  <w:tcW w:w="1743" w:type="dxa"/>
                  <w:tcBorders>
                    <w:tl2br w:val="nil"/>
                    <w:tr2bl w:val="nil"/>
                  </w:tcBorders>
                  <w:shd w:val="clear" w:color="auto" w:fill="auto"/>
                  <w:vAlign w:val="center"/>
                </w:tcPr>
                <w:p w14:paraId="701225C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年用量</w:t>
                  </w:r>
                </w:p>
              </w:tc>
              <w:tc>
                <w:tcPr>
                  <w:tcW w:w="1875" w:type="dxa"/>
                  <w:tcBorders>
                    <w:tl2br w:val="nil"/>
                    <w:tr2bl w:val="nil"/>
                  </w:tcBorders>
                  <w:shd w:val="clear" w:color="auto" w:fill="auto"/>
                  <w:vAlign w:val="center"/>
                </w:tcPr>
                <w:p w14:paraId="41578A6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规格</w:t>
                  </w:r>
                </w:p>
              </w:tc>
            </w:tr>
            <w:tr w14:paraId="7E437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73" w:type="dxa"/>
                  <w:tcBorders>
                    <w:tl2br w:val="nil"/>
                    <w:tr2bl w:val="nil"/>
                  </w:tcBorders>
                  <w:shd w:val="clear" w:color="auto" w:fill="auto"/>
                  <w:vAlign w:val="center"/>
                </w:tcPr>
                <w:p w14:paraId="294CEE7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2325" w:type="dxa"/>
                  <w:tcBorders>
                    <w:tl2br w:val="nil"/>
                    <w:tr2bl w:val="nil"/>
                  </w:tcBorders>
                  <w:shd w:val="clear" w:color="auto" w:fill="auto"/>
                  <w:vAlign w:val="center"/>
                </w:tcPr>
                <w:p w14:paraId="28B2674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3M网纹易撕胶</w:t>
                  </w:r>
                </w:p>
              </w:tc>
              <w:tc>
                <w:tcPr>
                  <w:tcW w:w="1433" w:type="dxa"/>
                  <w:tcBorders>
                    <w:tl2br w:val="nil"/>
                    <w:tr2bl w:val="nil"/>
                  </w:tcBorders>
                  <w:shd w:val="clear" w:color="auto" w:fill="auto"/>
                  <w:vAlign w:val="center"/>
                </w:tcPr>
                <w:p w14:paraId="4921027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lang w:val="en-US"/>
                    </w:rPr>
                  </w:pPr>
                  <w:r>
                    <w:rPr>
                      <w:rFonts w:hint="default" w:ascii="Times New Roman" w:hAnsi="Times New Roman" w:eastAsia="宋体" w:cs="Times New Roman"/>
                      <w:i w:val="0"/>
                      <w:iCs w:val="0"/>
                      <w:color w:val="auto"/>
                      <w:kern w:val="0"/>
                      <w:sz w:val="21"/>
                      <w:szCs w:val="21"/>
                      <w:u w:val="none" w:color="auto"/>
                      <w:lang w:val="en-US" w:eastAsia="zh-CN" w:bidi="ar"/>
                    </w:rPr>
                    <w:t>个</w:t>
                  </w:r>
                  <w:r>
                    <w:rPr>
                      <w:rFonts w:hint="eastAsia" w:cs="Times New Roman"/>
                      <w:i w:val="0"/>
                      <w:iCs w:val="0"/>
                      <w:color w:val="auto"/>
                      <w:kern w:val="0"/>
                      <w:sz w:val="21"/>
                      <w:szCs w:val="21"/>
                      <w:u w:val="none" w:color="auto"/>
                      <w:lang w:val="en-US" w:eastAsia="zh-CN" w:bidi="ar"/>
                    </w:rPr>
                    <w:t>/年</w:t>
                  </w:r>
                </w:p>
              </w:tc>
              <w:tc>
                <w:tcPr>
                  <w:tcW w:w="1743" w:type="dxa"/>
                  <w:tcBorders>
                    <w:tl2br w:val="nil"/>
                    <w:tr2bl w:val="nil"/>
                  </w:tcBorders>
                  <w:shd w:val="clear" w:color="auto" w:fill="auto"/>
                  <w:vAlign w:val="center"/>
                </w:tcPr>
                <w:p w14:paraId="2175ED7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cs="Times New Roman"/>
                      <w:i w:val="0"/>
                      <w:iCs w:val="0"/>
                      <w:color w:val="auto"/>
                      <w:sz w:val="21"/>
                      <w:szCs w:val="21"/>
                      <w:u w:val="none" w:color="auto"/>
                      <w:lang w:val="en-US" w:eastAsia="zh-CN"/>
                    </w:rPr>
                    <w:t>按实际需求配备</w:t>
                  </w:r>
                </w:p>
              </w:tc>
              <w:tc>
                <w:tcPr>
                  <w:tcW w:w="1875" w:type="dxa"/>
                  <w:tcBorders>
                    <w:tl2br w:val="nil"/>
                    <w:tr2bl w:val="nil"/>
                  </w:tcBorders>
                  <w:shd w:val="clear" w:color="auto" w:fill="auto"/>
                  <w:vAlign w:val="center"/>
                </w:tcPr>
                <w:p w14:paraId="628E1FF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1.2cm*9.1m</w:t>
                  </w:r>
                </w:p>
              </w:tc>
            </w:tr>
            <w:tr w14:paraId="3AC4E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73" w:type="dxa"/>
                  <w:tcBorders>
                    <w:tl2br w:val="nil"/>
                    <w:tr2bl w:val="nil"/>
                  </w:tcBorders>
                  <w:shd w:val="clear" w:color="auto" w:fill="auto"/>
                  <w:vAlign w:val="center"/>
                </w:tcPr>
                <w:p w14:paraId="197A580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w:t>
                  </w:r>
                </w:p>
              </w:tc>
              <w:tc>
                <w:tcPr>
                  <w:tcW w:w="2325" w:type="dxa"/>
                  <w:tcBorders>
                    <w:tl2br w:val="nil"/>
                    <w:tr2bl w:val="nil"/>
                  </w:tcBorders>
                  <w:shd w:val="clear" w:color="auto" w:fill="auto"/>
                  <w:vAlign w:val="center"/>
                </w:tcPr>
                <w:p w14:paraId="09025B9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75%乙醇消毒液（酒精）</w:t>
                  </w:r>
                </w:p>
              </w:tc>
              <w:tc>
                <w:tcPr>
                  <w:tcW w:w="1433" w:type="dxa"/>
                  <w:tcBorders>
                    <w:tl2br w:val="nil"/>
                    <w:tr2bl w:val="nil"/>
                  </w:tcBorders>
                  <w:shd w:val="clear" w:color="auto" w:fill="auto"/>
                  <w:vAlign w:val="center"/>
                </w:tcPr>
                <w:p w14:paraId="2F74C6A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瓶</w:t>
                  </w:r>
                  <w:r>
                    <w:rPr>
                      <w:rFonts w:hint="eastAsia" w:cs="Times New Roman"/>
                      <w:i w:val="0"/>
                      <w:iCs w:val="0"/>
                      <w:color w:val="auto"/>
                      <w:kern w:val="0"/>
                      <w:sz w:val="21"/>
                      <w:szCs w:val="21"/>
                      <w:u w:val="none" w:color="auto"/>
                      <w:lang w:val="en-US" w:eastAsia="zh-CN" w:bidi="ar"/>
                    </w:rPr>
                    <w:t>/年</w:t>
                  </w:r>
                </w:p>
              </w:tc>
              <w:tc>
                <w:tcPr>
                  <w:tcW w:w="1743" w:type="dxa"/>
                  <w:tcBorders>
                    <w:tl2br w:val="nil"/>
                    <w:tr2bl w:val="nil"/>
                  </w:tcBorders>
                  <w:shd w:val="clear" w:color="auto" w:fill="auto"/>
                  <w:vAlign w:val="center"/>
                </w:tcPr>
                <w:p w14:paraId="0DCE865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3</w:t>
                  </w:r>
                  <w:r>
                    <w:rPr>
                      <w:rFonts w:hint="default" w:ascii="Times New Roman" w:hAnsi="Times New Roman" w:eastAsia="宋体" w:cs="Times New Roman"/>
                      <w:i w:val="0"/>
                      <w:iCs w:val="0"/>
                      <w:color w:val="auto"/>
                      <w:kern w:val="0"/>
                      <w:sz w:val="21"/>
                      <w:szCs w:val="21"/>
                      <w:u w:val="none" w:color="auto"/>
                      <w:lang w:val="en-US" w:eastAsia="zh-CN" w:bidi="ar"/>
                    </w:rPr>
                    <w:t>0</w:t>
                  </w:r>
                  <w:r>
                    <w:rPr>
                      <w:rFonts w:hint="eastAsia" w:cs="Times New Roman"/>
                      <w:i w:val="0"/>
                      <w:iCs w:val="0"/>
                      <w:color w:val="auto"/>
                      <w:kern w:val="0"/>
                      <w:sz w:val="21"/>
                      <w:szCs w:val="21"/>
                      <w:u w:val="none" w:color="auto"/>
                      <w:lang w:val="en-US" w:eastAsia="zh-CN" w:bidi="ar"/>
                    </w:rPr>
                    <w:t>0</w:t>
                  </w:r>
                </w:p>
              </w:tc>
              <w:tc>
                <w:tcPr>
                  <w:tcW w:w="1875" w:type="dxa"/>
                  <w:tcBorders>
                    <w:tl2br w:val="nil"/>
                    <w:tr2bl w:val="nil"/>
                  </w:tcBorders>
                  <w:shd w:val="clear" w:color="auto" w:fill="auto"/>
                  <w:vAlign w:val="center"/>
                </w:tcPr>
                <w:p w14:paraId="2D5CF7A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500mL</w:t>
                  </w:r>
                </w:p>
              </w:tc>
            </w:tr>
            <w:tr w14:paraId="0C983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73" w:type="dxa"/>
                  <w:tcBorders>
                    <w:tl2br w:val="nil"/>
                    <w:tr2bl w:val="nil"/>
                  </w:tcBorders>
                  <w:shd w:val="clear" w:color="auto" w:fill="auto"/>
                  <w:vAlign w:val="center"/>
                </w:tcPr>
                <w:p w14:paraId="7E995F6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3</w:t>
                  </w:r>
                </w:p>
              </w:tc>
              <w:tc>
                <w:tcPr>
                  <w:tcW w:w="2325" w:type="dxa"/>
                  <w:tcBorders>
                    <w:tl2br w:val="nil"/>
                    <w:tr2bl w:val="nil"/>
                  </w:tcBorders>
                  <w:shd w:val="clear" w:color="auto" w:fill="auto"/>
                  <w:vAlign w:val="center"/>
                </w:tcPr>
                <w:p w14:paraId="525DA82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95%医用酒精</w:t>
                  </w:r>
                </w:p>
              </w:tc>
              <w:tc>
                <w:tcPr>
                  <w:tcW w:w="1433" w:type="dxa"/>
                  <w:tcBorders>
                    <w:tl2br w:val="nil"/>
                    <w:tr2bl w:val="nil"/>
                  </w:tcBorders>
                  <w:shd w:val="clear" w:color="auto" w:fill="auto"/>
                  <w:vAlign w:val="center"/>
                </w:tcPr>
                <w:p w14:paraId="312789A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瓶</w:t>
                  </w:r>
                  <w:r>
                    <w:rPr>
                      <w:rFonts w:hint="eastAsia" w:cs="Times New Roman"/>
                      <w:i w:val="0"/>
                      <w:iCs w:val="0"/>
                      <w:color w:val="auto"/>
                      <w:kern w:val="0"/>
                      <w:sz w:val="21"/>
                      <w:szCs w:val="21"/>
                      <w:u w:val="none" w:color="auto"/>
                      <w:lang w:val="en-US" w:eastAsia="zh-CN" w:bidi="ar"/>
                    </w:rPr>
                    <w:t>/年</w:t>
                  </w:r>
                </w:p>
              </w:tc>
              <w:tc>
                <w:tcPr>
                  <w:tcW w:w="1743" w:type="dxa"/>
                  <w:tcBorders>
                    <w:tl2br w:val="nil"/>
                    <w:tr2bl w:val="nil"/>
                  </w:tcBorders>
                  <w:shd w:val="clear" w:color="auto" w:fill="auto"/>
                  <w:vAlign w:val="center"/>
                </w:tcPr>
                <w:p w14:paraId="1ECCF95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200</w:t>
                  </w:r>
                </w:p>
              </w:tc>
              <w:tc>
                <w:tcPr>
                  <w:tcW w:w="1875" w:type="dxa"/>
                  <w:tcBorders>
                    <w:tl2br w:val="nil"/>
                    <w:tr2bl w:val="nil"/>
                  </w:tcBorders>
                  <w:shd w:val="clear" w:color="auto" w:fill="auto"/>
                  <w:vAlign w:val="center"/>
                </w:tcPr>
                <w:p w14:paraId="6EAF03F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95%500ML</w:t>
                  </w:r>
                </w:p>
              </w:tc>
            </w:tr>
            <w:tr w14:paraId="53CA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73" w:type="dxa"/>
                  <w:tcBorders>
                    <w:tl2br w:val="nil"/>
                    <w:tr2bl w:val="nil"/>
                  </w:tcBorders>
                  <w:shd w:val="clear" w:color="auto" w:fill="auto"/>
                  <w:vAlign w:val="center"/>
                </w:tcPr>
                <w:p w14:paraId="6EA7BFE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4</w:t>
                  </w:r>
                </w:p>
              </w:tc>
              <w:tc>
                <w:tcPr>
                  <w:tcW w:w="2325" w:type="dxa"/>
                  <w:tcBorders>
                    <w:tl2br w:val="nil"/>
                    <w:tr2bl w:val="nil"/>
                  </w:tcBorders>
                  <w:shd w:val="clear" w:color="auto" w:fill="auto"/>
                  <w:vAlign w:val="center"/>
                </w:tcPr>
                <w:p w14:paraId="3B26DE6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84消毒液</w:t>
                  </w:r>
                </w:p>
              </w:tc>
              <w:tc>
                <w:tcPr>
                  <w:tcW w:w="1433" w:type="dxa"/>
                  <w:tcBorders>
                    <w:tl2br w:val="nil"/>
                    <w:tr2bl w:val="nil"/>
                  </w:tcBorders>
                  <w:shd w:val="clear" w:color="auto" w:fill="auto"/>
                  <w:vAlign w:val="center"/>
                </w:tcPr>
                <w:p w14:paraId="7A74A20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瓶</w:t>
                  </w:r>
                  <w:r>
                    <w:rPr>
                      <w:rFonts w:hint="eastAsia" w:cs="Times New Roman"/>
                      <w:i w:val="0"/>
                      <w:iCs w:val="0"/>
                      <w:color w:val="auto"/>
                      <w:kern w:val="0"/>
                      <w:sz w:val="21"/>
                      <w:szCs w:val="21"/>
                      <w:u w:val="none" w:color="auto"/>
                      <w:lang w:val="en-US" w:eastAsia="zh-CN" w:bidi="ar"/>
                    </w:rPr>
                    <w:t>/年</w:t>
                  </w:r>
                </w:p>
              </w:tc>
              <w:tc>
                <w:tcPr>
                  <w:tcW w:w="1743" w:type="dxa"/>
                  <w:tcBorders>
                    <w:tl2br w:val="nil"/>
                    <w:tr2bl w:val="nil"/>
                  </w:tcBorders>
                  <w:shd w:val="clear" w:color="auto" w:fill="auto"/>
                  <w:vAlign w:val="center"/>
                </w:tcPr>
                <w:p w14:paraId="498BDF0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cs="Times New Roman"/>
                      <w:i w:val="0"/>
                      <w:iCs w:val="0"/>
                      <w:color w:val="auto"/>
                      <w:kern w:val="0"/>
                      <w:sz w:val="21"/>
                      <w:szCs w:val="21"/>
                      <w:u w:val="none" w:color="auto"/>
                      <w:lang w:val="en-US" w:eastAsia="zh-CN" w:bidi="ar"/>
                    </w:rPr>
                  </w:pPr>
                  <w:r>
                    <w:rPr>
                      <w:rFonts w:hint="eastAsia" w:cs="Times New Roman"/>
                      <w:i w:val="0"/>
                      <w:iCs w:val="0"/>
                      <w:color w:val="auto"/>
                      <w:sz w:val="21"/>
                      <w:szCs w:val="21"/>
                      <w:u w:val="none" w:color="auto"/>
                      <w:lang w:val="en-US" w:eastAsia="zh-CN"/>
                    </w:rPr>
                    <w:t>按实际需求配备</w:t>
                  </w:r>
                </w:p>
              </w:tc>
              <w:tc>
                <w:tcPr>
                  <w:tcW w:w="1875" w:type="dxa"/>
                  <w:tcBorders>
                    <w:tl2br w:val="nil"/>
                    <w:tr2bl w:val="nil"/>
                  </w:tcBorders>
                  <w:shd w:val="clear" w:color="auto" w:fill="auto"/>
                  <w:vAlign w:val="center"/>
                </w:tcPr>
                <w:p w14:paraId="315CA55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r>
            <w:tr w14:paraId="125B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73" w:type="dxa"/>
                  <w:tcBorders>
                    <w:tl2br w:val="nil"/>
                    <w:tr2bl w:val="nil"/>
                  </w:tcBorders>
                  <w:shd w:val="clear" w:color="auto" w:fill="auto"/>
                  <w:vAlign w:val="center"/>
                </w:tcPr>
                <w:p w14:paraId="6EE260A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5</w:t>
                  </w:r>
                </w:p>
              </w:tc>
              <w:tc>
                <w:tcPr>
                  <w:tcW w:w="2325" w:type="dxa"/>
                  <w:tcBorders>
                    <w:tl2br w:val="nil"/>
                    <w:tr2bl w:val="nil"/>
                  </w:tcBorders>
                  <w:shd w:val="clear" w:color="auto" w:fill="auto"/>
                  <w:vAlign w:val="center"/>
                </w:tcPr>
                <w:p w14:paraId="023E45B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碘伏</w:t>
                  </w:r>
                </w:p>
              </w:tc>
              <w:tc>
                <w:tcPr>
                  <w:tcW w:w="1433" w:type="dxa"/>
                  <w:tcBorders>
                    <w:tl2br w:val="nil"/>
                    <w:tr2bl w:val="nil"/>
                  </w:tcBorders>
                  <w:shd w:val="clear" w:color="auto" w:fill="auto"/>
                  <w:vAlign w:val="center"/>
                </w:tcPr>
                <w:p w14:paraId="62032E5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瓶</w:t>
                  </w:r>
                  <w:r>
                    <w:rPr>
                      <w:rFonts w:hint="eastAsia" w:cs="Times New Roman"/>
                      <w:i w:val="0"/>
                      <w:iCs w:val="0"/>
                      <w:color w:val="auto"/>
                      <w:kern w:val="0"/>
                      <w:sz w:val="21"/>
                      <w:szCs w:val="21"/>
                      <w:u w:val="none" w:color="auto"/>
                      <w:lang w:val="en-US" w:eastAsia="zh-CN" w:bidi="ar"/>
                    </w:rPr>
                    <w:t>/年</w:t>
                  </w:r>
                </w:p>
              </w:tc>
              <w:tc>
                <w:tcPr>
                  <w:tcW w:w="1743" w:type="dxa"/>
                  <w:tcBorders>
                    <w:tl2br w:val="nil"/>
                    <w:tr2bl w:val="nil"/>
                  </w:tcBorders>
                  <w:shd w:val="clear" w:color="auto" w:fill="auto"/>
                  <w:vAlign w:val="center"/>
                </w:tcPr>
                <w:p w14:paraId="3F08DC0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lang w:val="en-US"/>
                    </w:rPr>
                  </w:pPr>
                  <w:r>
                    <w:rPr>
                      <w:rFonts w:hint="eastAsia" w:cs="Times New Roman"/>
                      <w:i w:val="0"/>
                      <w:iCs w:val="0"/>
                      <w:color w:val="auto"/>
                      <w:sz w:val="21"/>
                      <w:szCs w:val="21"/>
                      <w:u w:val="none" w:color="auto"/>
                      <w:lang w:val="en-US" w:eastAsia="zh-CN"/>
                    </w:rPr>
                    <w:t>按实际需求配备</w:t>
                  </w:r>
                </w:p>
              </w:tc>
              <w:tc>
                <w:tcPr>
                  <w:tcW w:w="1875" w:type="dxa"/>
                  <w:tcBorders>
                    <w:tl2br w:val="nil"/>
                    <w:tr2bl w:val="nil"/>
                  </w:tcBorders>
                  <w:shd w:val="clear" w:color="auto" w:fill="auto"/>
                  <w:vAlign w:val="center"/>
                </w:tcPr>
                <w:p w14:paraId="605D075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500ml</w:t>
                  </w:r>
                </w:p>
              </w:tc>
            </w:tr>
            <w:tr w14:paraId="3D612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73" w:type="dxa"/>
                  <w:tcBorders>
                    <w:tl2br w:val="nil"/>
                    <w:tr2bl w:val="nil"/>
                  </w:tcBorders>
                  <w:shd w:val="clear" w:color="auto" w:fill="auto"/>
                  <w:vAlign w:val="center"/>
                </w:tcPr>
                <w:p w14:paraId="70A5288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6</w:t>
                  </w:r>
                </w:p>
              </w:tc>
              <w:tc>
                <w:tcPr>
                  <w:tcW w:w="2325" w:type="dxa"/>
                  <w:tcBorders>
                    <w:tl2br w:val="nil"/>
                    <w:tr2bl w:val="nil"/>
                  </w:tcBorders>
                  <w:shd w:val="clear" w:color="auto" w:fill="auto"/>
                  <w:vAlign w:val="center"/>
                </w:tcPr>
                <w:p w14:paraId="0085CCE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医用外科手套</w:t>
                  </w:r>
                </w:p>
              </w:tc>
              <w:tc>
                <w:tcPr>
                  <w:tcW w:w="1433" w:type="dxa"/>
                  <w:tcBorders>
                    <w:tl2br w:val="nil"/>
                    <w:tr2bl w:val="nil"/>
                  </w:tcBorders>
                  <w:shd w:val="clear" w:color="auto" w:fill="auto"/>
                  <w:vAlign w:val="center"/>
                </w:tcPr>
                <w:p w14:paraId="57E5D3F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套</w:t>
                  </w:r>
                  <w:r>
                    <w:rPr>
                      <w:rFonts w:hint="eastAsia" w:cs="Times New Roman"/>
                      <w:i w:val="0"/>
                      <w:iCs w:val="0"/>
                      <w:color w:val="auto"/>
                      <w:kern w:val="0"/>
                      <w:sz w:val="21"/>
                      <w:szCs w:val="21"/>
                      <w:u w:val="none" w:color="auto"/>
                      <w:lang w:val="en-US" w:eastAsia="zh-CN" w:bidi="ar"/>
                    </w:rPr>
                    <w:t>/年</w:t>
                  </w:r>
                </w:p>
              </w:tc>
              <w:tc>
                <w:tcPr>
                  <w:tcW w:w="1743" w:type="dxa"/>
                  <w:tcBorders>
                    <w:tl2br w:val="nil"/>
                    <w:tr2bl w:val="nil"/>
                  </w:tcBorders>
                  <w:shd w:val="clear" w:color="auto" w:fill="auto"/>
                  <w:vAlign w:val="center"/>
                </w:tcPr>
                <w:p w14:paraId="40AE95D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sz w:val="21"/>
                      <w:szCs w:val="21"/>
                      <w:u w:val="none" w:color="auto"/>
                      <w:lang w:val="en-US" w:eastAsia="zh-CN"/>
                    </w:rPr>
                    <w:t>按实际需求配备</w:t>
                  </w:r>
                </w:p>
              </w:tc>
              <w:tc>
                <w:tcPr>
                  <w:tcW w:w="1875" w:type="dxa"/>
                  <w:tcBorders>
                    <w:tl2br w:val="nil"/>
                    <w:tr2bl w:val="nil"/>
                  </w:tcBorders>
                  <w:shd w:val="clear" w:color="auto" w:fill="auto"/>
                  <w:vAlign w:val="center"/>
                </w:tcPr>
                <w:p w14:paraId="31CE83B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w:t>
                  </w:r>
                </w:p>
              </w:tc>
            </w:tr>
            <w:tr w14:paraId="2D31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73" w:type="dxa"/>
                  <w:tcBorders>
                    <w:tl2br w:val="nil"/>
                    <w:tr2bl w:val="nil"/>
                  </w:tcBorders>
                  <w:shd w:val="clear" w:color="auto" w:fill="auto"/>
                  <w:vAlign w:val="center"/>
                </w:tcPr>
                <w:p w14:paraId="0EA6F85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7</w:t>
                  </w:r>
                </w:p>
              </w:tc>
              <w:tc>
                <w:tcPr>
                  <w:tcW w:w="2325" w:type="dxa"/>
                  <w:tcBorders>
                    <w:tl2br w:val="nil"/>
                    <w:tr2bl w:val="nil"/>
                  </w:tcBorders>
                  <w:shd w:val="clear" w:color="auto" w:fill="auto"/>
                  <w:vAlign w:val="center"/>
                </w:tcPr>
                <w:p w14:paraId="45D5144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隔离衣</w:t>
                  </w:r>
                </w:p>
              </w:tc>
              <w:tc>
                <w:tcPr>
                  <w:tcW w:w="1433" w:type="dxa"/>
                  <w:tcBorders>
                    <w:tl2br w:val="nil"/>
                    <w:tr2bl w:val="nil"/>
                  </w:tcBorders>
                  <w:shd w:val="clear" w:color="auto" w:fill="auto"/>
                  <w:vAlign w:val="center"/>
                </w:tcPr>
                <w:p w14:paraId="1AE2F79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个</w:t>
                  </w:r>
                  <w:r>
                    <w:rPr>
                      <w:rFonts w:hint="eastAsia" w:cs="Times New Roman"/>
                      <w:i w:val="0"/>
                      <w:iCs w:val="0"/>
                      <w:color w:val="auto"/>
                      <w:kern w:val="0"/>
                      <w:sz w:val="21"/>
                      <w:szCs w:val="21"/>
                      <w:u w:val="none" w:color="auto"/>
                      <w:lang w:val="en-US" w:eastAsia="zh-CN" w:bidi="ar"/>
                    </w:rPr>
                    <w:t>/年</w:t>
                  </w:r>
                </w:p>
              </w:tc>
              <w:tc>
                <w:tcPr>
                  <w:tcW w:w="1743" w:type="dxa"/>
                  <w:tcBorders>
                    <w:tl2br w:val="nil"/>
                    <w:tr2bl w:val="nil"/>
                  </w:tcBorders>
                  <w:shd w:val="clear" w:color="auto" w:fill="auto"/>
                  <w:vAlign w:val="center"/>
                </w:tcPr>
                <w:p w14:paraId="0283E01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lang w:val="en-US"/>
                    </w:rPr>
                  </w:pPr>
                  <w:r>
                    <w:rPr>
                      <w:rFonts w:hint="eastAsia" w:cs="Times New Roman"/>
                      <w:i w:val="0"/>
                      <w:iCs w:val="0"/>
                      <w:color w:val="auto"/>
                      <w:sz w:val="21"/>
                      <w:szCs w:val="21"/>
                      <w:u w:val="none" w:color="auto"/>
                      <w:lang w:val="en-US" w:eastAsia="zh-CN"/>
                    </w:rPr>
                    <w:t>按实际需求配备</w:t>
                  </w:r>
                </w:p>
              </w:tc>
              <w:tc>
                <w:tcPr>
                  <w:tcW w:w="1875" w:type="dxa"/>
                  <w:tcBorders>
                    <w:tl2br w:val="nil"/>
                    <w:tr2bl w:val="nil"/>
                  </w:tcBorders>
                  <w:shd w:val="clear" w:color="auto" w:fill="auto"/>
                  <w:vAlign w:val="center"/>
                </w:tcPr>
                <w:p w14:paraId="7BDAA62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w:t>
                  </w:r>
                </w:p>
              </w:tc>
            </w:tr>
            <w:tr w14:paraId="4B35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73" w:type="dxa"/>
                  <w:tcBorders>
                    <w:tl2br w:val="nil"/>
                    <w:tr2bl w:val="nil"/>
                  </w:tcBorders>
                  <w:shd w:val="clear" w:color="auto" w:fill="auto"/>
                  <w:vAlign w:val="center"/>
                </w:tcPr>
                <w:p w14:paraId="7109294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8</w:t>
                  </w:r>
                </w:p>
              </w:tc>
              <w:tc>
                <w:tcPr>
                  <w:tcW w:w="2325" w:type="dxa"/>
                  <w:tcBorders>
                    <w:tl2br w:val="nil"/>
                    <w:tr2bl w:val="nil"/>
                  </w:tcBorders>
                  <w:shd w:val="clear" w:color="auto" w:fill="auto"/>
                  <w:vAlign w:val="center"/>
                </w:tcPr>
                <w:p w14:paraId="722E6F0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含氯泡腾消毒片</w:t>
                  </w:r>
                </w:p>
              </w:tc>
              <w:tc>
                <w:tcPr>
                  <w:tcW w:w="1433" w:type="dxa"/>
                  <w:tcBorders>
                    <w:tl2br w:val="nil"/>
                    <w:tr2bl w:val="nil"/>
                  </w:tcBorders>
                  <w:shd w:val="clear" w:color="auto" w:fill="auto"/>
                  <w:vAlign w:val="center"/>
                </w:tcPr>
                <w:p w14:paraId="25ECB9D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盒</w:t>
                  </w:r>
                  <w:r>
                    <w:rPr>
                      <w:rFonts w:hint="eastAsia" w:cs="Times New Roman"/>
                      <w:i w:val="0"/>
                      <w:iCs w:val="0"/>
                      <w:color w:val="auto"/>
                      <w:kern w:val="0"/>
                      <w:sz w:val="21"/>
                      <w:szCs w:val="21"/>
                      <w:u w:val="none" w:color="auto"/>
                      <w:lang w:val="en-US" w:eastAsia="zh-CN" w:bidi="ar"/>
                    </w:rPr>
                    <w:t>/年</w:t>
                  </w:r>
                </w:p>
              </w:tc>
              <w:tc>
                <w:tcPr>
                  <w:tcW w:w="1743" w:type="dxa"/>
                  <w:tcBorders>
                    <w:tl2br w:val="nil"/>
                    <w:tr2bl w:val="nil"/>
                  </w:tcBorders>
                  <w:shd w:val="clear" w:color="auto" w:fill="auto"/>
                  <w:vAlign w:val="center"/>
                </w:tcPr>
                <w:p w14:paraId="3D92E7D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lang w:val="en-US"/>
                    </w:rPr>
                  </w:pPr>
                  <w:r>
                    <w:rPr>
                      <w:rFonts w:hint="eastAsia" w:cs="Times New Roman"/>
                      <w:i w:val="0"/>
                      <w:iCs w:val="0"/>
                      <w:color w:val="auto"/>
                      <w:sz w:val="21"/>
                      <w:szCs w:val="21"/>
                      <w:u w:val="none" w:color="auto"/>
                      <w:lang w:val="en-US" w:eastAsia="zh-CN"/>
                    </w:rPr>
                    <w:t>按实际需求配备</w:t>
                  </w:r>
                </w:p>
              </w:tc>
              <w:tc>
                <w:tcPr>
                  <w:tcW w:w="1875" w:type="dxa"/>
                  <w:tcBorders>
                    <w:tl2br w:val="nil"/>
                    <w:tr2bl w:val="nil"/>
                  </w:tcBorders>
                  <w:shd w:val="clear" w:color="auto" w:fill="auto"/>
                  <w:vAlign w:val="center"/>
                </w:tcPr>
                <w:p w14:paraId="1EE943E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2g*100 片</w:t>
                  </w:r>
                </w:p>
              </w:tc>
            </w:tr>
            <w:tr w14:paraId="6D5C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73" w:type="dxa"/>
                  <w:tcBorders>
                    <w:tl2br w:val="nil"/>
                    <w:tr2bl w:val="nil"/>
                  </w:tcBorders>
                  <w:shd w:val="clear" w:color="auto" w:fill="auto"/>
                  <w:vAlign w:val="center"/>
                </w:tcPr>
                <w:p w14:paraId="6AAD31D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9</w:t>
                  </w:r>
                </w:p>
              </w:tc>
              <w:tc>
                <w:tcPr>
                  <w:tcW w:w="2325" w:type="dxa"/>
                  <w:tcBorders>
                    <w:tl2br w:val="nil"/>
                    <w:tr2bl w:val="nil"/>
                  </w:tcBorders>
                  <w:shd w:val="clear" w:color="auto" w:fill="auto"/>
                  <w:vAlign w:val="center"/>
                </w:tcPr>
                <w:p w14:paraId="222309C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检查手套</w:t>
                  </w:r>
                </w:p>
              </w:tc>
              <w:tc>
                <w:tcPr>
                  <w:tcW w:w="1433" w:type="dxa"/>
                  <w:tcBorders>
                    <w:tl2br w:val="nil"/>
                    <w:tr2bl w:val="nil"/>
                  </w:tcBorders>
                  <w:shd w:val="clear" w:color="auto" w:fill="auto"/>
                  <w:vAlign w:val="center"/>
                </w:tcPr>
                <w:p w14:paraId="4534E7A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包</w:t>
                  </w:r>
                  <w:r>
                    <w:rPr>
                      <w:rFonts w:hint="eastAsia" w:cs="Times New Roman"/>
                      <w:i w:val="0"/>
                      <w:iCs w:val="0"/>
                      <w:color w:val="auto"/>
                      <w:kern w:val="0"/>
                      <w:sz w:val="21"/>
                      <w:szCs w:val="21"/>
                      <w:u w:val="none" w:color="auto"/>
                      <w:lang w:val="en-US" w:eastAsia="zh-CN" w:bidi="ar"/>
                    </w:rPr>
                    <w:t>/年</w:t>
                  </w:r>
                </w:p>
              </w:tc>
              <w:tc>
                <w:tcPr>
                  <w:tcW w:w="1743" w:type="dxa"/>
                  <w:tcBorders>
                    <w:tl2br w:val="nil"/>
                    <w:tr2bl w:val="nil"/>
                  </w:tcBorders>
                  <w:shd w:val="clear" w:color="auto" w:fill="auto"/>
                  <w:vAlign w:val="center"/>
                </w:tcPr>
                <w:p w14:paraId="463D513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lang w:val="en-US"/>
                    </w:rPr>
                  </w:pPr>
                  <w:r>
                    <w:rPr>
                      <w:rFonts w:hint="eastAsia" w:cs="Times New Roman"/>
                      <w:i w:val="0"/>
                      <w:iCs w:val="0"/>
                      <w:color w:val="auto"/>
                      <w:sz w:val="21"/>
                      <w:szCs w:val="21"/>
                      <w:u w:val="none" w:color="auto"/>
                      <w:lang w:val="en-US" w:eastAsia="zh-CN"/>
                    </w:rPr>
                    <w:t>按实际需求配备</w:t>
                  </w:r>
                </w:p>
              </w:tc>
              <w:tc>
                <w:tcPr>
                  <w:tcW w:w="1875" w:type="dxa"/>
                  <w:tcBorders>
                    <w:tl2br w:val="nil"/>
                    <w:tr2bl w:val="nil"/>
                  </w:tcBorders>
                  <w:shd w:val="clear" w:color="auto" w:fill="auto"/>
                  <w:vAlign w:val="center"/>
                </w:tcPr>
                <w:p w14:paraId="7ED3A63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FHJ-800</w:t>
                  </w:r>
                </w:p>
              </w:tc>
            </w:tr>
            <w:tr w14:paraId="043FA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73" w:type="dxa"/>
                  <w:tcBorders>
                    <w:tl2br w:val="nil"/>
                    <w:tr2bl w:val="nil"/>
                  </w:tcBorders>
                  <w:shd w:val="clear" w:color="auto" w:fill="auto"/>
                  <w:vAlign w:val="center"/>
                </w:tcPr>
                <w:p w14:paraId="1994300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10</w:t>
                  </w:r>
                </w:p>
              </w:tc>
              <w:tc>
                <w:tcPr>
                  <w:tcW w:w="2325" w:type="dxa"/>
                  <w:tcBorders>
                    <w:tl2br w:val="nil"/>
                    <w:tr2bl w:val="nil"/>
                  </w:tcBorders>
                  <w:shd w:val="clear" w:color="auto" w:fill="auto"/>
                  <w:vAlign w:val="center"/>
                </w:tcPr>
                <w:p w14:paraId="7EA4DC2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一次性使用无菌注射器</w:t>
                  </w:r>
                </w:p>
              </w:tc>
              <w:tc>
                <w:tcPr>
                  <w:tcW w:w="1433" w:type="dxa"/>
                  <w:tcBorders>
                    <w:tl2br w:val="nil"/>
                    <w:tr2bl w:val="nil"/>
                  </w:tcBorders>
                  <w:shd w:val="clear" w:color="auto" w:fill="auto"/>
                  <w:vAlign w:val="center"/>
                </w:tcPr>
                <w:p w14:paraId="1261353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盒</w:t>
                  </w:r>
                  <w:r>
                    <w:rPr>
                      <w:rFonts w:hint="eastAsia" w:cs="Times New Roman"/>
                      <w:i w:val="0"/>
                      <w:iCs w:val="0"/>
                      <w:color w:val="auto"/>
                      <w:kern w:val="0"/>
                      <w:sz w:val="21"/>
                      <w:szCs w:val="21"/>
                      <w:u w:val="none" w:color="auto"/>
                      <w:lang w:val="en-US" w:eastAsia="zh-CN" w:bidi="ar"/>
                    </w:rPr>
                    <w:t>/年</w:t>
                  </w:r>
                </w:p>
              </w:tc>
              <w:tc>
                <w:tcPr>
                  <w:tcW w:w="1743" w:type="dxa"/>
                  <w:tcBorders>
                    <w:tl2br w:val="nil"/>
                    <w:tr2bl w:val="nil"/>
                  </w:tcBorders>
                  <w:shd w:val="clear" w:color="auto" w:fill="auto"/>
                  <w:vAlign w:val="center"/>
                </w:tcPr>
                <w:p w14:paraId="657EB07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lang w:val="en-US"/>
                    </w:rPr>
                  </w:pPr>
                  <w:r>
                    <w:rPr>
                      <w:rFonts w:hint="eastAsia" w:cs="Times New Roman"/>
                      <w:i w:val="0"/>
                      <w:iCs w:val="0"/>
                      <w:color w:val="auto"/>
                      <w:kern w:val="0"/>
                      <w:sz w:val="21"/>
                      <w:szCs w:val="21"/>
                      <w:u w:val="none" w:color="auto"/>
                      <w:lang w:val="en-US" w:eastAsia="zh-CN" w:bidi="ar"/>
                    </w:rPr>
                    <w:t>若干</w:t>
                  </w:r>
                </w:p>
              </w:tc>
              <w:tc>
                <w:tcPr>
                  <w:tcW w:w="1875" w:type="dxa"/>
                  <w:tcBorders>
                    <w:tl2br w:val="nil"/>
                    <w:tr2bl w:val="nil"/>
                  </w:tcBorders>
                  <w:shd w:val="clear" w:color="auto" w:fill="auto"/>
                  <w:vAlign w:val="center"/>
                </w:tcPr>
                <w:p w14:paraId="23DEC27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10ml/12#*100 支</w:t>
                  </w:r>
                </w:p>
              </w:tc>
            </w:tr>
            <w:tr w14:paraId="3F360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73" w:type="dxa"/>
                  <w:tcBorders>
                    <w:tl2br w:val="nil"/>
                    <w:tr2bl w:val="nil"/>
                  </w:tcBorders>
                  <w:shd w:val="clear" w:color="auto" w:fill="auto"/>
                  <w:vAlign w:val="center"/>
                </w:tcPr>
                <w:p w14:paraId="548A835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11</w:t>
                  </w:r>
                </w:p>
              </w:tc>
              <w:tc>
                <w:tcPr>
                  <w:tcW w:w="2325" w:type="dxa"/>
                  <w:tcBorders>
                    <w:tl2br w:val="nil"/>
                    <w:tr2bl w:val="nil"/>
                  </w:tcBorders>
                  <w:shd w:val="clear" w:color="auto" w:fill="auto"/>
                  <w:vAlign w:val="center"/>
                </w:tcPr>
                <w:p w14:paraId="581AF54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医用口罩包</w:t>
                  </w:r>
                </w:p>
              </w:tc>
              <w:tc>
                <w:tcPr>
                  <w:tcW w:w="1433" w:type="dxa"/>
                  <w:tcBorders>
                    <w:tl2br w:val="nil"/>
                    <w:tr2bl w:val="nil"/>
                  </w:tcBorders>
                  <w:shd w:val="clear" w:color="auto" w:fill="auto"/>
                  <w:vAlign w:val="center"/>
                </w:tcPr>
                <w:p w14:paraId="3EA7FDD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u w:val="none" w:color="auto"/>
                      <w:lang w:val="en-US" w:eastAsia="zh-CN"/>
                    </w:rPr>
                  </w:pPr>
                  <w:r>
                    <w:rPr>
                      <w:rFonts w:hint="eastAsia" w:cs="Times New Roman"/>
                      <w:i w:val="0"/>
                      <w:iCs w:val="0"/>
                      <w:color w:val="auto"/>
                      <w:sz w:val="21"/>
                      <w:szCs w:val="21"/>
                      <w:u w:val="none" w:color="auto"/>
                      <w:lang w:val="en-US" w:eastAsia="zh-CN"/>
                    </w:rPr>
                    <w:t>/</w:t>
                  </w:r>
                </w:p>
              </w:tc>
              <w:tc>
                <w:tcPr>
                  <w:tcW w:w="1743" w:type="dxa"/>
                  <w:tcBorders>
                    <w:tl2br w:val="nil"/>
                    <w:tr2bl w:val="nil"/>
                  </w:tcBorders>
                  <w:shd w:val="clear" w:color="auto" w:fill="auto"/>
                  <w:vAlign w:val="center"/>
                </w:tcPr>
                <w:p w14:paraId="3A9BBD8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若干</w:t>
                  </w:r>
                </w:p>
              </w:tc>
              <w:tc>
                <w:tcPr>
                  <w:tcW w:w="1875" w:type="dxa"/>
                  <w:tcBorders>
                    <w:tl2br w:val="nil"/>
                    <w:tr2bl w:val="nil"/>
                  </w:tcBorders>
                  <w:shd w:val="clear" w:color="auto" w:fill="auto"/>
                  <w:vAlign w:val="center"/>
                </w:tcPr>
                <w:p w14:paraId="6A23848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u w:val="none" w:color="auto"/>
                    </w:rPr>
                  </w:pPr>
                </w:p>
              </w:tc>
            </w:tr>
            <w:tr w14:paraId="124A1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73" w:type="dxa"/>
                  <w:tcBorders>
                    <w:tl2br w:val="nil"/>
                    <w:tr2bl w:val="nil"/>
                  </w:tcBorders>
                  <w:shd w:val="clear" w:color="auto" w:fill="auto"/>
                  <w:vAlign w:val="center"/>
                </w:tcPr>
                <w:p w14:paraId="1D10A93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12</w:t>
                  </w:r>
                </w:p>
              </w:tc>
              <w:tc>
                <w:tcPr>
                  <w:tcW w:w="2325" w:type="dxa"/>
                  <w:tcBorders>
                    <w:tl2br w:val="nil"/>
                    <w:tr2bl w:val="nil"/>
                  </w:tcBorders>
                  <w:shd w:val="clear" w:color="auto" w:fill="auto"/>
                  <w:vAlign w:val="center"/>
                </w:tcPr>
                <w:p w14:paraId="720A2AD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医用纱布</w:t>
                  </w:r>
                </w:p>
              </w:tc>
              <w:tc>
                <w:tcPr>
                  <w:tcW w:w="1433" w:type="dxa"/>
                  <w:tcBorders>
                    <w:tl2br w:val="nil"/>
                    <w:tr2bl w:val="nil"/>
                  </w:tcBorders>
                  <w:shd w:val="clear" w:color="auto" w:fill="auto"/>
                  <w:vAlign w:val="center"/>
                </w:tcPr>
                <w:p w14:paraId="681F17B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eastAsia" w:ascii="Times New Roman" w:hAnsi="Times New Roman" w:eastAsia="宋体" w:cs="Times New Roman"/>
                      <w:i w:val="0"/>
                      <w:iCs w:val="0"/>
                      <w:color w:val="auto"/>
                      <w:sz w:val="21"/>
                      <w:szCs w:val="21"/>
                      <w:u w:val="none" w:color="auto"/>
                      <w:lang w:val="en-US" w:eastAsia="zh-CN"/>
                    </w:rPr>
                  </w:pPr>
                  <w:r>
                    <w:rPr>
                      <w:rFonts w:hint="eastAsia" w:cs="Times New Roman"/>
                      <w:i w:val="0"/>
                      <w:iCs w:val="0"/>
                      <w:color w:val="auto"/>
                      <w:sz w:val="21"/>
                      <w:szCs w:val="21"/>
                      <w:u w:val="none" w:color="auto"/>
                      <w:lang w:val="en-US" w:eastAsia="zh-CN"/>
                    </w:rPr>
                    <w:t>/</w:t>
                  </w:r>
                </w:p>
              </w:tc>
              <w:tc>
                <w:tcPr>
                  <w:tcW w:w="1743" w:type="dxa"/>
                  <w:tcBorders>
                    <w:tl2br w:val="nil"/>
                    <w:tr2bl w:val="nil"/>
                  </w:tcBorders>
                  <w:shd w:val="clear" w:color="auto" w:fill="auto"/>
                  <w:vAlign w:val="center"/>
                </w:tcPr>
                <w:p w14:paraId="786B309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若干</w:t>
                  </w:r>
                </w:p>
              </w:tc>
              <w:tc>
                <w:tcPr>
                  <w:tcW w:w="1875" w:type="dxa"/>
                  <w:tcBorders>
                    <w:tl2br w:val="nil"/>
                    <w:tr2bl w:val="nil"/>
                  </w:tcBorders>
                  <w:shd w:val="clear" w:color="auto" w:fill="auto"/>
                  <w:vAlign w:val="center"/>
                </w:tcPr>
                <w:p w14:paraId="205EE79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u w:val="none" w:color="auto"/>
                    </w:rPr>
                  </w:pPr>
                </w:p>
              </w:tc>
            </w:tr>
            <w:tr w14:paraId="7A8E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73" w:type="dxa"/>
                  <w:tcBorders>
                    <w:tl2br w:val="nil"/>
                    <w:tr2bl w:val="nil"/>
                  </w:tcBorders>
                  <w:shd w:val="clear" w:color="auto" w:fill="auto"/>
                  <w:vAlign w:val="center"/>
                </w:tcPr>
                <w:p w14:paraId="2914E40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w:t>
                  </w:r>
                  <w:r>
                    <w:rPr>
                      <w:rFonts w:hint="eastAsia" w:cs="Times New Roman"/>
                      <w:i w:val="0"/>
                      <w:iCs w:val="0"/>
                      <w:color w:val="auto"/>
                      <w:kern w:val="0"/>
                      <w:sz w:val="21"/>
                      <w:szCs w:val="21"/>
                      <w:u w:val="none" w:color="auto"/>
                      <w:lang w:val="en-US" w:eastAsia="zh-CN" w:bidi="ar"/>
                    </w:rPr>
                    <w:t>3</w:t>
                  </w:r>
                </w:p>
              </w:tc>
              <w:tc>
                <w:tcPr>
                  <w:tcW w:w="2325" w:type="dxa"/>
                  <w:tcBorders>
                    <w:tl2br w:val="nil"/>
                    <w:tr2bl w:val="nil"/>
                  </w:tcBorders>
                  <w:shd w:val="clear" w:color="auto" w:fill="auto"/>
                  <w:vAlign w:val="center"/>
                </w:tcPr>
                <w:p w14:paraId="3D975CF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医用棉签</w:t>
                  </w:r>
                </w:p>
              </w:tc>
              <w:tc>
                <w:tcPr>
                  <w:tcW w:w="1433" w:type="dxa"/>
                  <w:tcBorders>
                    <w:tl2br w:val="nil"/>
                    <w:tr2bl w:val="nil"/>
                  </w:tcBorders>
                  <w:shd w:val="clear" w:color="auto" w:fill="auto"/>
                  <w:vAlign w:val="center"/>
                </w:tcPr>
                <w:p w14:paraId="7C2091A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eastAsia" w:ascii="Times New Roman" w:hAnsi="Times New Roman" w:eastAsia="宋体" w:cs="Times New Roman"/>
                      <w:i w:val="0"/>
                      <w:iCs w:val="0"/>
                      <w:color w:val="auto"/>
                      <w:sz w:val="21"/>
                      <w:szCs w:val="21"/>
                      <w:u w:val="none" w:color="auto"/>
                      <w:lang w:val="en-US" w:eastAsia="zh-CN"/>
                    </w:rPr>
                  </w:pPr>
                  <w:r>
                    <w:rPr>
                      <w:rFonts w:hint="eastAsia" w:cs="Times New Roman"/>
                      <w:i w:val="0"/>
                      <w:iCs w:val="0"/>
                      <w:color w:val="auto"/>
                      <w:sz w:val="21"/>
                      <w:szCs w:val="21"/>
                      <w:u w:val="none" w:color="auto"/>
                      <w:lang w:val="en-US" w:eastAsia="zh-CN"/>
                    </w:rPr>
                    <w:t>/</w:t>
                  </w:r>
                </w:p>
              </w:tc>
              <w:tc>
                <w:tcPr>
                  <w:tcW w:w="1743" w:type="dxa"/>
                  <w:tcBorders>
                    <w:tl2br w:val="nil"/>
                    <w:tr2bl w:val="nil"/>
                  </w:tcBorders>
                  <w:shd w:val="clear" w:color="auto" w:fill="auto"/>
                  <w:vAlign w:val="center"/>
                </w:tcPr>
                <w:p w14:paraId="08F1E8E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若干</w:t>
                  </w:r>
                </w:p>
              </w:tc>
              <w:tc>
                <w:tcPr>
                  <w:tcW w:w="1875" w:type="dxa"/>
                  <w:tcBorders>
                    <w:tl2br w:val="nil"/>
                    <w:tr2bl w:val="nil"/>
                  </w:tcBorders>
                  <w:shd w:val="clear" w:color="auto" w:fill="auto"/>
                  <w:vAlign w:val="center"/>
                </w:tcPr>
                <w:p w14:paraId="29DB9F9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u w:val="none" w:color="auto"/>
                    </w:rPr>
                  </w:pPr>
                </w:p>
              </w:tc>
            </w:tr>
            <w:tr w14:paraId="5A58E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73" w:type="dxa"/>
                  <w:tcBorders>
                    <w:tl2br w:val="nil"/>
                    <w:tr2bl w:val="nil"/>
                  </w:tcBorders>
                  <w:shd w:val="clear" w:color="auto" w:fill="auto"/>
                  <w:vAlign w:val="center"/>
                </w:tcPr>
                <w:p w14:paraId="1EED278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w:t>
                  </w:r>
                  <w:r>
                    <w:rPr>
                      <w:rFonts w:hint="eastAsia" w:cs="Times New Roman"/>
                      <w:i w:val="0"/>
                      <w:iCs w:val="0"/>
                      <w:color w:val="auto"/>
                      <w:kern w:val="0"/>
                      <w:sz w:val="21"/>
                      <w:szCs w:val="21"/>
                      <w:u w:val="none" w:color="auto"/>
                      <w:lang w:val="en-US" w:eastAsia="zh-CN" w:bidi="ar"/>
                    </w:rPr>
                    <w:t>4</w:t>
                  </w:r>
                </w:p>
              </w:tc>
              <w:tc>
                <w:tcPr>
                  <w:tcW w:w="2325" w:type="dxa"/>
                  <w:tcBorders>
                    <w:tl2br w:val="nil"/>
                    <w:tr2bl w:val="nil"/>
                  </w:tcBorders>
                  <w:shd w:val="clear" w:color="auto" w:fill="auto"/>
                  <w:vAlign w:val="center"/>
                </w:tcPr>
                <w:p w14:paraId="5014BC5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水</w:t>
                  </w:r>
                </w:p>
              </w:tc>
              <w:tc>
                <w:tcPr>
                  <w:tcW w:w="1433" w:type="dxa"/>
                  <w:tcBorders>
                    <w:tl2br w:val="nil"/>
                    <w:tr2bl w:val="nil"/>
                  </w:tcBorders>
                  <w:shd w:val="clear" w:color="auto" w:fill="auto"/>
                  <w:vAlign w:val="center"/>
                </w:tcPr>
                <w:p w14:paraId="440F521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u w:val="none" w:color="auto"/>
                      <w:lang w:val="en-US" w:eastAsia="zh-CN"/>
                    </w:rPr>
                  </w:pPr>
                  <w:r>
                    <w:rPr>
                      <w:rFonts w:hint="eastAsia" w:ascii="Times New Roman" w:hAnsi="Times New Roman" w:cs="Times New Roman"/>
                      <w:i w:val="0"/>
                      <w:iCs w:val="0"/>
                      <w:color w:val="auto"/>
                      <w:sz w:val="21"/>
                      <w:szCs w:val="21"/>
                      <w:u w:val="none" w:color="auto"/>
                      <w:lang w:val="en-US" w:eastAsia="zh-CN"/>
                    </w:rPr>
                    <w:t>t</w:t>
                  </w:r>
                  <w:r>
                    <w:rPr>
                      <w:rFonts w:hint="eastAsia" w:cs="Times New Roman"/>
                      <w:i w:val="0"/>
                      <w:iCs w:val="0"/>
                      <w:color w:val="auto"/>
                      <w:kern w:val="0"/>
                      <w:sz w:val="21"/>
                      <w:szCs w:val="21"/>
                      <w:u w:val="none" w:color="auto"/>
                      <w:lang w:val="en-US" w:eastAsia="zh-CN" w:bidi="ar"/>
                    </w:rPr>
                    <w:t>/年</w:t>
                  </w:r>
                </w:p>
              </w:tc>
              <w:tc>
                <w:tcPr>
                  <w:tcW w:w="1743" w:type="dxa"/>
                  <w:tcBorders>
                    <w:tl2br w:val="nil"/>
                    <w:tr2bl w:val="nil"/>
                  </w:tcBorders>
                  <w:shd w:val="clear" w:color="auto" w:fill="auto"/>
                  <w:vAlign w:val="center"/>
                </w:tcPr>
                <w:p w14:paraId="2069774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eastAsia" w:ascii="Times New Roman" w:hAnsi="Times New Roman" w:eastAsia="宋体" w:cs="Times New Roman"/>
                      <w:i w:val="0"/>
                      <w:iCs w:val="0"/>
                      <w:color w:val="auto"/>
                      <w:sz w:val="21"/>
                      <w:szCs w:val="21"/>
                      <w:u w:val="none" w:color="auto"/>
                      <w:lang w:eastAsia="zh-CN"/>
                    </w:rPr>
                  </w:pPr>
                  <w:r>
                    <w:rPr>
                      <w:rFonts w:hint="eastAsia" w:cs="Times New Roman"/>
                      <w:i w:val="0"/>
                      <w:iCs w:val="0"/>
                      <w:color w:val="auto"/>
                      <w:sz w:val="21"/>
                      <w:szCs w:val="21"/>
                      <w:u w:val="none" w:color="auto"/>
                      <w:lang w:val="en-US" w:eastAsia="zh-CN"/>
                    </w:rPr>
                    <w:t>6.14</w:t>
                  </w:r>
                  <w:r>
                    <w:rPr>
                      <w:rFonts w:hint="default" w:ascii="Times New Roman" w:hAnsi="Times New Roman" w:eastAsia="宋体" w:cs="Times New Roman"/>
                      <w:i w:val="0"/>
                      <w:iCs w:val="0"/>
                      <w:color w:val="auto"/>
                      <w:sz w:val="21"/>
                      <w:szCs w:val="21"/>
                      <w:u w:val="none" w:color="auto"/>
                    </w:rPr>
                    <w:t>×10</w:t>
                  </w:r>
                  <w:r>
                    <w:rPr>
                      <w:rFonts w:hint="eastAsia" w:cs="Times New Roman"/>
                      <w:i w:val="0"/>
                      <w:iCs w:val="0"/>
                      <w:color w:val="auto"/>
                      <w:sz w:val="21"/>
                      <w:szCs w:val="21"/>
                      <w:u w:val="none" w:color="auto"/>
                      <w:vertAlign w:val="superscript"/>
                      <w:lang w:val="en-US" w:eastAsia="zh-CN"/>
                    </w:rPr>
                    <w:t>4</w:t>
                  </w:r>
                </w:p>
              </w:tc>
              <w:tc>
                <w:tcPr>
                  <w:tcW w:w="1875" w:type="dxa"/>
                  <w:tcBorders>
                    <w:tl2br w:val="nil"/>
                    <w:tr2bl w:val="nil"/>
                  </w:tcBorders>
                  <w:shd w:val="clear" w:color="auto" w:fill="auto"/>
                  <w:vAlign w:val="center"/>
                </w:tcPr>
                <w:p w14:paraId="6D958D2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u w:val="none" w:color="auto"/>
                    </w:rPr>
                  </w:pPr>
                </w:p>
              </w:tc>
            </w:tr>
            <w:tr w14:paraId="65A9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73" w:type="dxa"/>
                  <w:tcBorders>
                    <w:tl2br w:val="nil"/>
                    <w:tr2bl w:val="nil"/>
                  </w:tcBorders>
                  <w:shd w:val="clear" w:color="auto" w:fill="auto"/>
                  <w:vAlign w:val="center"/>
                </w:tcPr>
                <w:p w14:paraId="01EC9EB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cs="Times New Roman"/>
                      <w:i w:val="0"/>
                      <w:iCs w:val="0"/>
                      <w:color w:val="auto"/>
                      <w:sz w:val="21"/>
                      <w:szCs w:val="21"/>
                      <w:u w:val="none" w:color="auto"/>
                      <w:lang w:val="en-US" w:eastAsia="zh-CN"/>
                    </w:rPr>
                    <w:t>15</w:t>
                  </w:r>
                </w:p>
              </w:tc>
              <w:tc>
                <w:tcPr>
                  <w:tcW w:w="2325" w:type="dxa"/>
                  <w:tcBorders>
                    <w:tl2br w:val="nil"/>
                    <w:tr2bl w:val="nil"/>
                  </w:tcBorders>
                  <w:shd w:val="clear" w:color="auto" w:fill="auto"/>
                  <w:vAlign w:val="center"/>
                </w:tcPr>
                <w:p w14:paraId="7327B54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电</w:t>
                  </w:r>
                </w:p>
              </w:tc>
              <w:tc>
                <w:tcPr>
                  <w:tcW w:w="1433" w:type="dxa"/>
                  <w:tcBorders>
                    <w:tl2br w:val="nil"/>
                    <w:tr2bl w:val="nil"/>
                  </w:tcBorders>
                  <w:shd w:val="clear" w:color="auto" w:fill="auto"/>
                  <w:vAlign w:val="center"/>
                </w:tcPr>
                <w:p w14:paraId="2FA1AAE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sz w:val="21"/>
                      <w:szCs w:val="21"/>
                      <w:u w:val="none" w:color="auto"/>
                    </w:rPr>
                    <w:t>kWh</w:t>
                  </w:r>
                  <w:r>
                    <w:rPr>
                      <w:rFonts w:hint="eastAsia" w:cs="Times New Roman"/>
                      <w:i w:val="0"/>
                      <w:iCs w:val="0"/>
                      <w:color w:val="auto"/>
                      <w:kern w:val="0"/>
                      <w:sz w:val="21"/>
                      <w:szCs w:val="21"/>
                      <w:u w:val="none" w:color="auto"/>
                      <w:lang w:val="en-US" w:eastAsia="zh-CN" w:bidi="ar"/>
                    </w:rPr>
                    <w:t>/年</w:t>
                  </w:r>
                </w:p>
              </w:tc>
              <w:tc>
                <w:tcPr>
                  <w:tcW w:w="1743" w:type="dxa"/>
                  <w:tcBorders>
                    <w:tl2br w:val="nil"/>
                    <w:tr2bl w:val="nil"/>
                  </w:tcBorders>
                  <w:shd w:val="clear" w:color="auto" w:fill="auto"/>
                  <w:vAlign w:val="center"/>
                </w:tcPr>
                <w:p w14:paraId="78E9B05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eastAsia" w:ascii="Times New Roman" w:hAnsi="Times New Roman" w:eastAsia="宋体" w:cs="Times New Roman"/>
                      <w:i w:val="0"/>
                      <w:iCs w:val="0"/>
                      <w:color w:val="auto"/>
                      <w:sz w:val="21"/>
                      <w:szCs w:val="21"/>
                      <w:u w:val="none" w:color="auto"/>
                      <w:lang w:eastAsia="zh-CN"/>
                    </w:rPr>
                  </w:pPr>
                  <w:r>
                    <w:rPr>
                      <w:rFonts w:hint="eastAsia" w:cs="Times New Roman"/>
                      <w:i w:val="0"/>
                      <w:iCs w:val="0"/>
                      <w:color w:val="auto"/>
                      <w:sz w:val="21"/>
                      <w:szCs w:val="21"/>
                      <w:u w:val="none" w:color="auto"/>
                      <w:lang w:val="en-US" w:eastAsia="zh-CN"/>
                    </w:rPr>
                    <w:t>1.50</w:t>
                  </w:r>
                  <w:r>
                    <w:rPr>
                      <w:rFonts w:hint="default" w:ascii="Times New Roman" w:hAnsi="Times New Roman" w:eastAsia="宋体" w:cs="Times New Roman"/>
                      <w:i w:val="0"/>
                      <w:iCs w:val="0"/>
                      <w:color w:val="auto"/>
                      <w:sz w:val="21"/>
                      <w:szCs w:val="21"/>
                      <w:u w:val="none" w:color="auto"/>
                    </w:rPr>
                    <w:t>×10</w:t>
                  </w:r>
                  <w:r>
                    <w:rPr>
                      <w:rFonts w:hint="eastAsia" w:cs="Times New Roman"/>
                      <w:i w:val="0"/>
                      <w:iCs w:val="0"/>
                      <w:color w:val="auto"/>
                      <w:sz w:val="21"/>
                      <w:szCs w:val="21"/>
                      <w:u w:val="none" w:color="auto"/>
                      <w:vertAlign w:val="superscript"/>
                      <w:lang w:val="en-US" w:eastAsia="zh-CN"/>
                    </w:rPr>
                    <w:t>6</w:t>
                  </w:r>
                </w:p>
              </w:tc>
              <w:tc>
                <w:tcPr>
                  <w:tcW w:w="1875" w:type="dxa"/>
                  <w:tcBorders>
                    <w:tl2br w:val="nil"/>
                    <w:tr2bl w:val="nil"/>
                  </w:tcBorders>
                  <w:shd w:val="clear" w:color="auto" w:fill="auto"/>
                  <w:vAlign w:val="center"/>
                </w:tcPr>
                <w:p w14:paraId="627FF24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i w:val="0"/>
                      <w:iCs w:val="0"/>
                      <w:color w:val="auto"/>
                      <w:sz w:val="21"/>
                      <w:szCs w:val="21"/>
                      <w:u w:val="none" w:color="auto"/>
                    </w:rPr>
                  </w:pPr>
                </w:p>
              </w:tc>
            </w:tr>
          </w:tbl>
          <w:p w14:paraId="56E81423">
            <w:pPr>
              <w:numPr>
                <w:numId w:val="0"/>
              </w:numPr>
              <w:ind w:left="480" w:leftChars="0"/>
              <w:rPr>
                <w:b/>
                <w:bCs/>
                <w:color w:val="auto"/>
                <w:szCs w:val="22"/>
                <w:u w:val="none" w:color="auto"/>
              </w:rPr>
            </w:pPr>
          </w:p>
          <w:p w14:paraId="1B89AB39">
            <w:pPr>
              <w:numPr>
                <w:ilvl w:val="0"/>
                <w:numId w:val="4"/>
              </w:numPr>
              <w:ind w:firstLineChars="0"/>
              <w:rPr>
                <w:b/>
                <w:bCs/>
                <w:color w:val="auto"/>
                <w:szCs w:val="22"/>
                <w:u w:val="none" w:color="auto"/>
              </w:rPr>
            </w:pPr>
            <w:r>
              <w:rPr>
                <w:b/>
                <w:bCs/>
                <w:color w:val="auto"/>
                <w:szCs w:val="22"/>
                <w:u w:val="none" w:color="auto"/>
              </w:rPr>
              <w:t>项目主要设备</w:t>
            </w:r>
          </w:p>
          <w:p w14:paraId="283E0F84">
            <w:pPr>
              <w:ind w:firstLine="480"/>
              <w:rPr>
                <w:color w:val="auto"/>
                <w:szCs w:val="22"/>
                <w:u w:val="none" w:color="auto"/>
              </w:rPr>
            </w:pPr>
            <w:r>
              <w:rPr>
                <w:color w:val="auto"/>
                <w:szCs w:val="22"/>
                <w:u w:val="none" w:color="auto"/>
              </w:rPr>
              <w:t>项目主要设备及数量见下表：</w:t>
            </w:r>
          </w:p>
          <w:p w14:paraId="1F67735D">
            <w:pPr>
              <w:pStyle w:val="10"/>
              <w:numPr>
                <w:ilvl w:val="0"/>
                <w:numId w:val="3"/>
              </w:numPr>
              <w:ind w:left="0" w:firstLine="0" w:firstLineChars="0"/>
              <w:jc w:val="center"/>
              <w:rPr>
                <w:rFonts w:hint="eastAsia" w:ascii="黑体" w:hAnsi="黑体" w:eastAsia="黑体"/>
                <w:b w:val="0"/>
                <w:color w:val="auto"/>
                <w:u w:val="none" w:color="auto"/>
              </w:rPr>
            </w:pPr>
            <w:bookmarkStart w:id="8" w:name="_Ref516244879"/>
            <w:r>
              <w:rPr>
                <w:rFonts w:hint="eastAsia" w:ascii="黑体" w:hAnsi="黑体" w:eastAsia="黑体"/>
                <w:b w:val="0"/>
                <w:color w:val="auto"/>
                <w:u w:val="none" w:color="auto"/>
              </w:rPr>
              <w:t>项目主要</w:t>
            </w:r>
            <w:r>
              <w:rPr>
                <w:rFonts w:ascii="黑体" w:hAnsi="黑体" w:eastAsia="黑体"/>
                <w:b w:val="0"/>
                <w:color w:val="auto"/>
                <w:u w:val="none" w:color="auto"/>
              </w:rPr>
              <w:t>设备清单</w:t>
            </w:r>
            <w:bookmarkEnd w:id="8"/>
          </w:p>
          <w:tbl>
            <w:tblPr>
              <w:tblStyle w:val="22"/>
              <w:tblW w:w="822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646"/>
              <w:gridCol w:w="2473"/>
              <w:gridCol w:w="1215"/>
              <w:gridCol w:w="675"/>
              <w:gridCol w:w="1841"/>
              <w:gridCol w:w="1370"/>
            </w:tblGrid>
            <w:tr w14:paraId="100E4A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27" w:hRule="atLeast"/>
                <w:jc w:val="center"/>
              </w:trPr>
              <w:tc>
                <w:tcPr>
                  <w:tcW w:w="646" w:type="dxa"/>
                  <w:tcBorders>
                    <w:tl2br w:val="nil"/>
                    <w:tr2bl w:val="nil"/>
                  </w:tcBorders>
                  <w:shd w:val="clear" w:color="auto" w:fill="auto"/>
                  <w:vAlign w:val="center"/>
                </w:tcPr>
                <w:p w14:paraId="05DDE31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序号</w:t>
                  </w:r>
                </w:p>
              </w:tc>
              <w:tc>
                <w:tcPr>
                  <w:tcW w:w="2473" w:type="dxa"/>
                  <w:tcBorders>
                    <w:tl2br w:val="nil"/>
                    <w:tr2bl w:val="nil"/>
                  </w:tcBorders>
                  <w:shd w:val="clear" w:color="auto" w:fill="auto"/>
                  <w:vAlign w:val="center"/>
                </w:tcPr>
                <w:p w14:paraId="4ABF5DB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名</w:t>
                  </w:r>
                  <w:r>
                    <w:rPr>
                      <w:rStyle w:val="47"/>
                      <w:rFonts w:hint="default" w:ascii="Times New Roman" w:hAnsi="Times New Roman" w:eastAsia="宋体" w:cs="Times New Roman"/>
                      <w:color w:val="auto"/>
                      <w:sz w:val="21"/>
                      <w:szCs w:val="21"/>
                      <w:u w:val="none" w:color="auto"/>
                      <w:lang w:val="en-US" w:eastAsia="zh-CN" w:bidi="ar"/>
                    </w:rPr>
                    <w:t xml:space="preserve">  </w:t>
                  </w:r>
                  <w:r>
                    <w:rPr>
                      <w:rFonts w:hint="default" w:ascii="Times New Roman" w:hAnsi="Times New Roman" w:eastAsia="宋体" w:cs="Times New Roman"/>
                      <w:i w:val="0"/>
                      <w:iCs w:val="0"/>
                      <w:color w:val="auto"/>
                      <w:kern w:val="0"/>
                      <w:sz w:val="21"/>
                      <w:szCs w:val="21"/>
                      <w:u w:val="none" w:color="auto"/>
                      <w:lang w:val="en-US" w:eastAsia="zh-CN" w:bidi="ar"/>
                    </w:rPr>
                    <w:t>称</w:t>
                  </w:r>
                </w:p>
              </w:tc>
              <w:tc>
                <w:tcPr>
                  <w:tcW w:w="1215" w:type="dxa"/>
                  <w:tcBorders>
                    <w:tl2br w:val="nil"/>
                    <w:tr2bl w:val="nil"/>
                  </w:tcBorders>
                  <w:shd w:val="clear" w:color="auto" w:fill="auto"/>
                  <w:vAlign w:val="center"/>
                </w:tcPr>
                <w:p w14:paraId="635DA5D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数量</w:t>
                  </w:r>
                </w:p>
              </w:tc>
              <w:tc>
                <w:tcPr>
                  <w:tcW w:w="675" w:type="dxa"/>
                  <w:tcBorders>
                    <w:tl2br w:val="nil"/>
                    <w:tr2bl w:val="nil"/>
                  </w:tcBorders>
                  <w:shd w:val="clear" w:color="auto" w:fill="auto"/>
                  <w:vAlign w:val="center"/>
                </w:tcPr>
                <w:p w14:paraId="4287013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序号</w:t>
                  </w:r>
                </w:p>
              </w:tc>
              <w:tc>
                <w:tcPr>
                  <w:tcW w:w="1841" w:type="dxa"/>
                  <w:tcBorders>
                    <w:tl2br w:val="nil"/>
                    <w:tr2bl w:val="nil"/>
                  </w:tcBorders>
                  <w:shd w:val="clear" w:color="auto" w:fill="auto"/>
                  <w:vAlign w:val="center"/>
                </w:tcPr>
                <w:p w14:paraId="65B496C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名</w:t>
                  </w:r>
                  <w:r>
                    <w:rPr>
                      <w:rStyle w:val="47"/>
                      <w:rFonts w:hint="default" w:ascii="Times New Roman" w:hAnsi="Times New Roman" w:eastAsia="宋体" w:cs="Times New Roman"/>
                      <w:color w:val="auto"/>
                      <w:sz w:val="21"/>
                      <w:szCs w:val="21"/>
                      <w:u w:val="none" w:color="auto"/>
                      <w:lang w:val="en-US" w:eastAsia="zh-CN" w:bidi="ar"/>
                    </w:rPr>
                    <w:t xml:space="preserve">  </w:t>
                  </w:r>
                  <w:r>
                    <w:rPr>
                      <w:rFonts w:hint="default" w:ascii="Times New Roman" w:hAnsi="Times New Roman" w:eastAsia="宋体" w:cs="Times New Roman"/>
                      <w:i w:val="0"/>
                      <w:iCs w:val="0"/>
                      <w:color w:val="auto"/>
                      <w:kern w:val="0"/>
                      <w:sz w:val="21"/>
                      <w:szCs w:val="21"/>
                      <w:u w:val="none" w:color="auto"/>
                      <w:lang w:val="en-US" w:eastAsia="zh-CN" w:bidi="ar"/>
                    </w:rPr>
                    <w:t>称</w:t>
                  </w:r>
                </w:p>
              </w:tc>
              <w:tc>
                <w:tcPr>
                  <w:tcW w:w="1370" w:type="dxa"/>
                  <w:tcBorders>
                    <w:tl2br w:val="nil"/>
                    <w:tr2bl w:val="nil"/>
                  </w:tcBorders>
                  <w:shd w:val="clear" w:color="auto" w:fill="auto"/>
                  <w:vAlign w:val="center"/>
                </w:tcPr>
                <w:p w14:paraId="4E81B9B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数量</w:t>
                  </w:r>
                </w:p>
              </w:tc>
            </w:tr>
            <w:tr w14:paraId="75F2FE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27" w:hRule="atLeast"/>
                <w:jc w:val="center"/>
              </w:trPr>
              <w:tc>
                <w:tcPr>
                  <w:tcW w:w="646" w:type="dxa"/>
                  <w:tcBorders>
                    <w:tl2br w:val="nil"/>
                    <w:tr2bl w:val="nil"/>
                  </w:tcBorders>
                  <w:shd w:val="clear" w:color="auto" w:fill="auto"/>
                  <w:vAlign w:val="center"/>
                </w:tcPr>
                <w:p w14:paraId="76D26A7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2473" w:type="dxa"/>
                  <w:tcBorders>
                    <w:tl2br w:val="nil"/>
                    <w:tr2bl w:val="nil"/>
                  </w:tcBorders>
                  <w:shd w:val="clear" w:color="auto" w:fill="auto"/>
                  <w:vAlign w:val="center"/>
                </w:tcPr>
                <w:p w14:paraId="0637DA5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全自动生化分析仪器</w:t>
                  </w:r>
                </w:p>
              </w:tc>
              <w:tc>
                <w:tcPr>
                  <w:tcW w:w="1215" w:type="dxa"/>
                  <w:tcBorders>
                    <w:tl2br w:val="nil"/>
                    <w:tr2bl w:val="nil"/>
                  </w:tcBorders>
                  <w:shd w:val="clear" w:color="auto" w:fill="auto"/>
                  <w:vAlign w:val="center"/>
                </w:tcPr>
                <w:p w14:paraId="2B52DB6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2</w:t>
                  </w:r>
                  <w:r>
                    <w:rPr>
                      <w:rFonts w:hint="default" w:ascii="Times New Roman" w:hAnsi="Times New Roman" w:eastAsia="宋体" w:cs="Times New Roman"/>
                      <w:i w:val="0"/>
                      <w:iCs w:val="0"/>
                      <w:color w:val="auto"/>
                      <w:kern w:val="0"/>
                      <w:sz w:val="21"/>
                      <w:szCs w:val="21"/>
                      <w:u w:val="none" w:color="auto"/>
                      <w:lang w:val="en-US" w:eastAsia="zh-CN" w:bidi="ar"/>
                    </w:rPr>
                    <w:t>台</w:t>
                  </w:r>
                </w:p>
              </w:tc>
              <w:tc>
                <w:tcPr>
                  <w:tcW w:w="675" w:type="dxa"/>
                  <w:tcBorders>
                    <w:tl2br w:val="nil"/>
                    <w:tr2bl w:val="nil"/>
                  </w:tcBorders>
                  <w:shd w:val="clear" w:color="auto" w:fill="auto"/>
                  <w:vAlign w:val="center"/>
                </w:tcPr>
                <w:p w14:paraId="79C0B0D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20</w:t>
                  </w:r>
                </w:p>
              </w:tc>
              <w:tc>
                <w:tcPr>
                  <w:tcW w:w="1841" w:type="dxa"/>
                  <w:tcBorders>
                    <w:tl2br w:val="nil"/>
                    <w:tr2bl w:val="nil"/>
                  </w:tcBorders>
                  <w:shd w:val="clear" w:color="auto" w:fill="auto"/>
                  <w:vAlign w:val="center"/>
                </w:tcPr>
                <w:p w14:paraId="24122AF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生物反馈治疗机</w:t>
                  </w:r>
                </w:p>
              </w:tc>
              <w:tc>
                <w:tcPr>
                  <w:tcW w:w="1370" w:type="dxa"/>
                  <w:tcBorders>
                    <w:tl2br w:val="nil"/>
                    <w:tr2bl w:val="nil"/>
                  </w:tcBorders>
                  <w:shd w:val="clear" w:color="auto" w:fill="auto"/>
                  <w:vAlign w:val="center"/>
                </w:tcPr>
                <w:p w14:paraId="4340F4F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2</w:t>
                  </w:r>
                  <w:r>
                    <w:rPr>
                      <w:rFonts w:hint="default" w:ascii="Times New Roman" w:hAnsi="Times New Roman" w:eastAsia="宋体" w:cs="Times New Roman"/>
                      <w:i w:val="0"/>
                      <w:iCs w:val="0"/>
                      <w:color w:val="auto"/>
                      <w:kern w:val="0"/>
                      <w:sz w:val="21"/>
                      <w:szCs w:val="21"/>
                      <w:u w:val="none" w:color="auto"/>
                      <w:lang w:val="en-US" w:eastAsia="zh-CN" w:bidi="ar"/>
                    </w:rPr>
                    <w:t>台</w:t>
                  </w:r>
                </w:p>
              </w:tc>
            </w:tr>
            <w:tr w14:paraId="0A280B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27" w:hRule="atLeast"/>
                <w:jc w:val="center"/>
              </w:trPr>
              <w:tc>
                <w:tcPr>
                  <w:tcW w:w="646" w:type="dxa"/>
                  <w:tcBorders>
                    <w:tl2br w:val="nil"/>
                    <w:tr2bl w:val="nil"/>
                  </w:tcBorders>
                  <w:shd w:val="clear" w:color="auto" w:fill="auto"/>
                  <w:vAlign w:val="center"/>
                </w:tcPr>
                <w:p w14:paraId="6763708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w:t>
                  </w:r>
                </w:p>
              </w:tc>
              <w:tc>
                <w:tcPr>
                  <w:tcW w:w="2473" w:type="dxa"/>
                  <w:tcBorders>
                    <w:tl2br w:val="nil"/>
                    <w:tr2bl w:val="nil"/>
                  </w:tcBorders>
                  <w:shd w:val="clear" w:color="auto" w:fill="auto"/>
                  <w:vAlign w:val="center"/>
                </w:tcPr>
                <w:p w14:paraId="4195EC3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五分类血球分析仪</w:t>
                  </w:r>
                </w:p>
              </w:tc>
              <w:tc>
                <w:tcPr>
                  <w:tcW w:w="1215" w:type="dxa"/>
                  <w:tcBorders>
                    <w:tl2br w:val="nil"/>
                    <w:tr2bl w:val="nil"/>
                  </w:tcBorders>
                  <w:shd w:val="clear" w:color="auto" w:fill="auto"/>
                  <w:vAlign w:val="center"/>
                </w:tcPr>
                <w:p w14:paraId="364CBD9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2</w:t>
                  </w:r>
                  <w:r>
                    <w:rPr>
                      <w:rFonts w:hint="default" w:ascii="Times New Roman" w:hAnsi="Times New Roman" w:eastAsia="宋体" w:cs="Times New Roman"/>
                      <w:i w:val="0"/>
                      <w:iCs w:val="0"/>
                      <w:color w:val="auto"/>
                      <w:kern w:val="0"/>
                      <w:sz w:val="21"/>
                      <w:szCs w:val="21"/>
                      <w:u w:val="none" w:color="auto"/>
                      <w:lang w:val="en-US" w:eastAsia="zh-CN" w:bidi="ar"/>
                    </w:rPr>
                    <w:t xml:space="preserve"> 台</w:t>
                  </w:r>
                </w:p>
              </w:tc>
              <w:tc>
                <w:tcPr>
                  <w:tcW w:w="675" w:type="dxa"/>
                  <w:tcBorders>
                    <w:tl2br w:val="nil"/>
                    <w:tr2bl w:val="nil"/>
                  </w:tcBorders>
                  <w:shd w:val="clear" w:color="auto" w:fill="auto"/>
                  <w:vAlign w:val="center"/>
                </w:tcPr>
                <w:p w14:paraId="3FFD7F6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21</w:t>
                  </w:r>
                </w:p>
              </w:tc>
              <w:tc>
                <w:tcPr>
                  <w:tcW w:w="1841" w:type="dxa"/>
                  <w:tcBorders>
                    <w:tl2br w:val="nil"/>
                    <w:tr2bl w:val="nil"/>
                  </w:tcBorders>
                  <w:shd w:val="clear" w:color="auto" w:fill="auto"/>
                  <w:vAlign w:val="center"/>
                </w:tcPr>
                <w:p w14:paraId="454A749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电针治疗仪</w:t>
                  </w:r>
                </w:p>
              </w:tc>
              <w:tc>
                <w:tcPr>
                  <w:tcW w:w="1370" w:type="dxa"/>
                  <w:tcBorders>
                    <w:tl2br w:val="nil"/>
                    <w:tr2bl w:val="nil"/>
                  </w:tcBorders>
                  <w:shd w:val="clear" w:color="auto" w:fill="auto"/>
                  <w:vAlign w:val="center"/>
                </w:tcPr>
                <w:p w14:paraId="3757005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2</w:t>
                  </w:r>
                  <w:r>
                    <w:rPr>
                      <w:rFonts w:hint="default" w:ascii="Times New Roman" w:hAnsi="Times New Roman" w:eastAsia="宋体" w:cs="Times New Roman"/>
                      <w:i w:val="0"/>
                      <w:iCs w:val="0"/>
                      <w:color w:val="auto"/>
                      <w:kern w:val="0"/>
                      <w:sz w:val="21"/>
                      <w:szCs w:val="21"/>
                      <w:u w:val="none" w:color="auto"/>
                      <w:lang w:val="en-US" w:eastAsia="zh-CN" w:bidi="ar"/>
                    </w:rPr>
                    <w:t>台</w:t>
                  </w:r>
                </w:p>
              </w:tc>
            </w:tr>
            <w:tr w14:paraId="5D141D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646" w:type="dxa"/>
                  <w:tcBorders>
                    <w:tl2br w:val="nil"/>
                    <w:tr2bl w:val="nil"/>
                  </w:tcBorders>
                  <w:shd w:val="clear" w:color="auto" w:fill="auto"/>
                  <w:vAlign w:val="center"/>
                </w:tcPr>
                <w:p w14:paraId="5C92E39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3</w:t>
                  </w:r>
                </w:p>
              </w:tc>
              <w:tc>
                <w:tcPr>
                  <w:tcW w:w="2473" w:type="dxa"/>
                  <w:tcBorders>
                    <w:tl2br w:val="nil"/>
                    <w:tr2bl w:val="nil"/>
                  </w:tcBorders>
                  <w:shd w:val="clear" w:color="auto" w:fill="auto"/>
                  <w:vAlign w:val="center"/>
                </w:tcPr>
                <w:p w14:paraId="59604EF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电解质分析仪</w:t>
                  </w:r>
                </w:p>
              </w:tc>
              <w:tc>
                <w:tcPr>
                  <w:tcW w:w="1215" w:type="dxa"/>
                  <w:tcBorders>
                    <w:tl2br w:val="nil"/>
                    <w:tr2bl w:val="nil"/>
                  </w:tcBorders>
                  <w:shd w:val="clear" w:color="auto" w:fill="auto"/>
                  <w:vAlign w:val="center"/>
                </w:tcPr>
                <w:p w14:paraId="291A3FA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2</w:t>
                  </w:r>
                  <w:r>
                    <w:rPr>
                      <w:rFonts w:hint="default" w:ascii="Times New Roman" w:hAnsi="Times New Roman" w:eastAsia="宋体" w:cs="Times New Roman"/>
                      <w:i w:val="0"/>
                      <w:iCs w:val="0"/>
                      <w:color w:val="auto"/>
                      <w:kern w:val="0"/>
                      <w:sz w:val="21"/>
                      <w:szCs w:val="21"/>
                      <w:u w:val="none" w:color="auto"/>
                      <w:lang w:val="en-US" w:eastAsia="zh-CN" w:bidi="ar"/>
                    </w:rPr>
                    <w:t>台</w:t>
                  </w:r>
                </w:p>
              </w:tc>
              <w:tc>
                <w:tcPr>
                  <w:tcW w:w="675" w:type="dxa"/>
                  <w:tcBorders>
                    <w:tl2br w:val="nil"/>
                    <w:tr2bl w:val="nil"/>
                  </w:tcBorders>
                  <w:shd w:val="clear" w:color="auto" w:fill="auto"/>
                  <w:vAlign w:val="center"/>
                </w:tcPr>
                <w:p w14:paraId="3BBB4FF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22</w:t>
                  </w:r>
                </w:p>
              </w:tc>
              <w:tc>
                <w:tcPr>
                  <w:tcW w:w="1841" w:type="dxa"/>
                  <w:tcBorders>
                    <w:tl2br w:val="nil"/>
                    <w:tr2bl w:val="nil"/>
                  </w:tcBorders>
                  <w:shd w:val="clear" w:color="auto" w:fill="auto"/>
                  <w:vAlign w:val="center"/>
                </w:tcPr>
                <w:p w14:paraId="36AB19C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超声治疗仪</w:t>
                  </w:r>
                </w:p>
              </w:tc>
              <w:tc>
                <w:tcPr>
                  <w:tcW w:w="1370" w:type="dxa"/>
                  <w:tcBorders>
                    <w:tl2br w:val="nil"/>
                    <w:tr2bl w:val="nil"/>
                  </w:tcBorders>
                  <w:shd w:val="clear" w:color="auto" w:fill="auto"/>
                  <w:vAlign w:val="center"/>
                </w:tcPr>
                <w:p w14:paraId="44778C4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2</w:t>
                  </w:r>
                  <w:r>
                    <w:rPr>
                      <w:rFonts w:hint="default" w:ascii="Times New Roman" w:hAnsi="Times New Roman" w:eastAsia="宋体" w:cs="Times New Roman"/>
                      <w:i w:val="0"/>
                      <w:iCs w:val="0"/>
                      <w:color w:val="auto"/>
                      <w:kern w:val="0"/>
                      <w:sz w:val="21"/>
                      <w:szCs w:val="21"/>
                      <w:u w:val="none" w:color="auto"/>
                      <w:lang w:val="en-US" w:eastAsia="zh-CN" w:bidi="ar"/>
                    </w:rPr>
                    <w:t>台</w:t>
                  </w:r>
                </w:p>
              </w:tc>
            </w:tr>
            <w:tr w14:paraId="0E2D92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27" w:hRule="atLeast"/>
                <w:jc w:val="center"/>
              </w:trPr>
              <w:tc>
                <w:tcPr>
                  <w:tcW w:w="646" w:type="dxa"/>
                  <w:tcBorders>
                    <w:tl2br w:val="nil"/>
                    <w:tr2bl w:val="nil"/>
                  </w:tcBorders>
                  <w:shd w:val="clear" w:color="auto" w:fill="auto"/>
                  <w:vAlign w:val="center"/>
                </w:tcPr>
                <w:p w14:paraId="70BD556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4</w:t>
                  </w:r>
                </w:p>
              </w:tc>
              <w:tc>
                <w:tcPr>
                  <w:tcW w:w="2473" w:type="dxa"/>
                  <w:tcBorders>
                    <w:tl2br w:val="nil"/>
                    <w:tr2bl w:val="nil"/>
                  </w:tcBorders>
                  <w:shd w:val="clear" w:color="auto" w:fill="auto"/>
                  <w:vAlign w:val="center"/>
                </w:tcPr>
                <w:p w14:paraId="3D90C4C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尿液分析仪</w:t>
                  </w:r>
                </w:p>
              </w:tc>
              <w:tc>
                <w:tcPr>
                  <w:tcW w:w="1215" w:type="dxa"/>
                  <w:tcBorders>
                    <w:tl2br w:val="nil"/>
                    <w:tr2bl w:val="nil"/>
                  </w:tcBorders>
                  <w:shd w:val="clear" w:color="auto" w:fill="auto"/>
                  <w:vAlign w:val="center"/>
                </w:tcPr>
                <w:p w14:paraId="2FF829C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2</w:t>
                  </w:r>
                  <w:r>
                    <w:rPr>
                      <w:rFonts w:hint="default" w:ascii="Times New Roman" w:hAnsi="Times New Roman" w:eastAsia="宋体" w:cs="Times New Roman"/>
                      <w:i w:val="0"/>
                      <w:iCs w:val="0"/>
                      <w:color w:val="auto"/>
                      <w:kern w:val="0"/>
                      <w:sz w:val="21"/>
                      <w:szCs w:val="21"/>
                      <w:u w:val="none" w:color="auto"/>
                      <w:lang w:val="en-US" w:eastAsia="zh-CN" w:bidi="ar"/>
                    </w:rPr>
                    <w:t>台</w:t>
                  </w:r>
                </w:p>
              </w:tc>
              <w:tc>
                <w:tcPr>
                  <w:tcW w:w="675" w:type="dxa"/>
                  <w:tcBorders>
                    <w:tl2br w:val="nil"/>
                    <w:tr2bl w:val="nil"/>
                  </w:tcBorders>
                  <w:shd w:val="clear" w:color="auto" w:fill="auto"/>
                  <w:vAlign w:val="center"/>
                </w:tcPr>
                <w:p w14:paraId="7B8AC4E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23</w:t>
                  </w:r>
                </w:p>
              </w:tc>
              <w:tc>
                <w:tcPr>
                  <w:tcW w:w="1841" w:type="dxa"/>
                  <w:tcBorders>
                    <w:tl2br w:val="nil"/>
                    <w:tr2bl w:val="nil"/>
                  </w:tcBorders>
                  <w:shd w:val="clear" w:color="auto" w:fill="auto"/>
                  <w:vAlign w:val="center"/>
                </w:tcPr>
                <w:p w14:paraId="30772B4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音乐治疗仪</w:t>
                  </w:r>
                </w:p>
              </w:tc>
              <w:tc>
                <w:tcPr>
                  <w:tcW w:w="1370" w:type="dxa"/>
                  <w:tcBorders>
                    <w:tl2br w:val="nil"/>
                    <w:tr2bl w:val="nil"/>
                  </w:tcBorders>
                  <w:shd w:val="clear" w:color="auto" w:fill="auto"/>
                  <w:vAlign w:val="center"/>
                </w:tcPr>
                <w:p w14:paraId="042B2B3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2</w:t>
                  </w:r>
                  <w:r>
                    <w:rPr>
                      <w:rStyle w:val="47"/>
                      <w:rFonts w:hint="default" w:ascii="Times New Roman" w:hAnsi="Times New Roman" w:eastAsia="宋体" w:cs="Times New Roman"/>
                      <w:color w:val="auto"/>
                      <w:sz w:val="21"/>
                      <w:szCs w:val="21"/>
                      <w:u w:val="none" w:color="auto"/>
                      <w:lang w:val="en-US" w:eastAsia="zh-CN" w:bidi="ar"/>
                    </w:rPr>
                    <w:t xml:space="preserve"> </w:t>
                  </w:r>
                  <w:r>
                    <w:rPr>
                      <w:rFonts w:hint="default" w:ascii="Times New Roman" w:hAnsi="Times New Roman" w:eastAsia="宋体" w:cs="Times New Roman"/>
                      <w:i w:val="0"/>
                      <w:iCs w:val="0"/>
                      <w:color w:val="auto"/>
                      <w:kern w:val="0"/>
                      <w:sz w:val="21"/>
                      <w:szCs w:val="21"/>
                      <w:u w:val="none" w:color="auto"/>
                      <w:lang w:val="en-US" w:eastAsia="zh-CN" w:bidi="ar"/>
                    </w:rPr>
                    <w:t>套</w:t>
                  </w:r>
                </w:p>
              </w:tc>
            </w:tr>
            <w:tr w14:paraId="6237B5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27" w:hRule="atLeast"/>
                <w:jc w:val="center"/>
              </w:trPr>
              <w:tc>
                <w:tcPr>
                  <w:tcW w:w="646" w:type="dxa"/>
                  <w:tcBorders>
                    <w:tl2br w:val="nil"/>
                    <w:tr2bl w:val="nil"/>
                  </w:tcBorders>
                  <w:shd w:val="clear" w:color="auto" w:fill="auto"/>
                  <w:vAlign w:val="center"/>
                </w:tcPr>
                <w:p w14:paraId="4F00C31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5</w:t>
                  </w:r>
                </w:p>
              </w:tc>
              <w:tc>
                <w:tcPr>
                  <w:tcW w:w="2473" w:type="dxa"/>
                  <w:tcBorders>
                    <w:tl2br w:val="nil"/>
                    <w:tr2bl w:val="nil"/>
                  </w:tcBorders>
                  <w:shd w:val="clear" w:color="auto" w:fill="auto"/>
                  <w:vAlign w:val="center"/>
                </w:tcPr>
                <w:p w14:paraId="7C7248D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微量</w:t>
                  </w:r>
                  <w:r>
                    <w:rPr>
                      <w:rFonts w:hint="eastAsia" w:cs="Times New Roman"/>
                      <w:i w:val="0"/>
                      <w:iCs w:val="0"/>
                      <w:color w:val="auto"/>
                      <w:kern w:val="0"/>
                      <w:sz w:val="21"/>
                      <w:szCs w:val="21"/>
                      <w:u w:val="none" w:color="auto"/>
                      <w:lang w:val="en-US" w:eastAsia="zh-CN" w:bidi="ar"/>
                    </w:rPr>
                    <w:t>振荡</w:t>
                  </w:r>
                  <w:r>
                    <w:rPr>
                      <w:rFonts w:hint="default" w:ascii="Times New Roman" w:hAnsi="Times New Roman" w:eastAsia="宋体" w:cs="Times New Roman"/>
                      <w:i w:val="0"/>
                      <w:iCs w:val="0"/>
                      <w:color w:val="auto"/>
                      <w:kern w:val="0"/>
                      <w:sz w:val="21"/>
                      <w:szCs w:val="21"/>
                      <w:u w:val="none" w:color="auto"/>
                      <w:lang w:val="en-US" w:eastAsia="zh-CN" w:bidi="ar"/>
                    </w:rPr>
                    <w:t>仪</w:t>
                  </w:r>
                </w:p>
              </w:tc>
              <w:tc>
                <w:tcPr>
                  <w:tcW w:w="1215" w:type="dxa"/>
                  <w:tcBorders>
                    <w:tl2br w:val="nil"/>
                    <w:tr2bl w:val="nil"/>
                  </w:tcBorders>
                  <w:shd w:val="clear" w:color="auto" w:fill="auto"/>
                  <w:vAlign w:val="center"/>
                </w:tcPr>
                <w:p w14:paraId="00FD0C7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2</w:t>
                  </w:r>
                  <w:r>
                    <w:rPr>
                      <w:rFonts w:hint="default" w:ascii="Times New Roman" w:hAnsi="Times New Roman" w:eastAsia="宋体" w:cs="Times New Roman"/>
                      <w:i w:val="0"/>
                      <w:iCs w:val="0"/>
                      <w:color w:val="auto"/>
                      <w:kern w:val="0"/>
                      <w:sz w:val="21"/>
                      <w:szCs w:val="21"/>
                      <w:u w:val="none" w:color="auto"/>
                      <w:lang w:val="en-US" w:eastAsia="zh-CN" w:bidi="ar"/>
                    </w:rPr>
                    <w:t xml:space="preserve"> 台</w:t>
                  </w:r>
                </w:p>
              </w:tc>
              <w:tc>
                <w:tcPr>
                  <w:tcW w:w="675" w:type="dxa"/>
                  <w:tcBorders>
                    <w:tl2br w:val="nil"/>
                    <w:tr2bl w:val="nil"/>
                  </w:tcBorders>
                  <w:shd w:val="clear" w:color="auto" w:fill="auto"/>
                  <w:vAlign w:val="center"/>
                </w:tcPr>
                <w:p w14:paraId="49BDF02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24</w:t>
                  </w:r>
                </w:p>
              </w:tc>
              <w:tc>
                <w:tcPr>
                  <w:tcW w:w="1841" w:type="dxa"/>
                  <w:tcBorders>
                    <w:tl2br w:val="nil"/>
                    <w:tr2bl w:val="nil"/>
                  </w:tcBorders>
                  <w:shd w:val="clear" w:color="auto" w:fill="auto"/>
                  <w:vAlign w:val="center"/>
                </w:tcPr>
                <w:p w14:paraId="65D4F02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常用处置器械</w:t>
                  </w:r>
                </w:p>
              </w:tc>
              <w:tc>
                <w:tcPr>
                  <w:tcW w:w="1370" w:type="dxa"/>
                  <w:tcBorders>
                    <w:tl2br w:val="nil"/>
                    <w:tr2bl w:val="nil"/>
                  </w:tcBorders>
                  <w:shd w:val="clear" w:color="auto" w:fill="auto"/>
                  <w:vAlign w:val="center"/>
                </w:tcPr>
                <w:p w14:paraId="30D3494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若干</w:t>
                  </w:r>
                </w:p>
              </w:tc>
            </w:tr>
            <w:tr w14:paraId="0F8321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27" w:hRule="atLeast"/>
                <w:jc w:val="center"/>
              </w:trPr>
              <w:tc>
                <w:tcPr>
                  <w:tcW w:w="646" w:type="dxa"/>
                  <w:tcBorders>
                    <w:tl2br w:val="nil"/>
                    <w:tr2bl w:val="nil"/>
                  </w:tcBorders>
                  <w:shd w:val="clear" w:color="auto" w:fill="auto"/>
                  <w:vAlign w:val="center"/>
                </w:tcPr>
                <w:p w14:paraId="6993AE7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6</w:t>
                  </w:r>
                </w:p>
              </w:tc>
              <w:tc>
                <w:tcPr>
                  <w:tcW w:w="2473" w:type="dxa"/>
                  <w:tcBorders>
                    <w:tl2br w:val="nil"/>
                    <w:tr2bl w:val="nil"/>
                  </w:tcBorders>
                  <w:shd w:val="clear" w:color="auto" w:fill="auto"/>
                  <w:vAlign w:val="center"/>
                </w:tcPr>
                <w:p w14:paraId="5203565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电热恒温水箱</w:t>
                  </w:r>
                </w:p>
              </w:tc>
              <w:tc>
                <w:tcPr>
                  <w:tcW w:w="1215" w:type="dxa"/>
                  <w:tcBorders>
                    <w:tl2br w:val="nil"/>
                    <w:tr2bl w:val="nil"/>
                  </w:tcBorders>
                  <w:shd w:val="clear" w:color="auto" w:fill="auto"/>
                  <w:vAlign w:val="center"/>
                </w:tcPr>
                <w:p w14:paraId="5EB1586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4</w:t>
                  </w:r>
                  <w:r>
                    <w:rPr>
                      <w:rFonts w:hint="default" w:ascii="Times New Roman" w:hAnsi="Times New Roman" w:eastAsia="宋体" w:cs="Times New Roman"/>
                      <w:i w:val="0"/>
                      <w:iCs w:val="0"/>
                      <w:color w:val="auto"/>
                      <w:kern w:val="0"/>
                      <w:sz w:val="21"/>
                      <w:szCs w:val="21"/>
                      <w:u w:val="none" w:color="auto"/>
                      <w:lang w:val="en-US" w:eastAsia="zh-CN" w:bidi="ar"/>
                    </w:rPr>
                    <w:t>台</w:t>
                  </w:r>
                </w:p>
              </w:tc>
              <w:tc>
                <w:tcPr>
                  <w:tcW w:w="675" w:type="dxa"/>
                  <w:tcBorders>
                    <w:tl2br w:val="nil"/>
                    <w:tr2bl w:val="nil"/>
                  </w:tcBorders>
                  <w:shd w:val="clear" w:color="auto" w:fill="auto"/>
                  <w:vAlign w:val="center"/>
                </w:tcPr>
                <w:p w14:paraId="036237F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25</w:t>
                  </w:r>
                </w:p>
              </w:tc>
              <w:tc>
                <w:tcPr>
                  <w:tcW w:w="1841" w:type="dxa"/>
                  <w:tcBorders>
                    <w:tl2br w:val="nil"/>
                    <w:tr2bl w:val="nil"/>
                  </w:tcBorders>
                  <w:shd w:val="clear" w:color="auto" w:fill="auto"/>
                  <w:vAlign w:val="center"/>
                </w:tcPr>
                <w:p w14:paraId="4999587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病床单元设备</w:t>
                  </w:r>
                </w:p>
              </w:tc>
              <w:tc>
                <w:tcPr>
                  <w:tcW w:w="1370" w:type="dxa"/>
                  <w:tcBorders>
                    <w:tl2br w:val="nil"/>
                    <w:tr2bl w:val="nil"/>
                  </w:tcBorders>
                  <w:shd w:val="clear" w:color="auto" w:fill="auto"/>
                  <w:vAlign w:val="center"/>
                </w:tcPr>
                <w:p w14:paraId="0CCD6A9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标配</w:t>
                  </w:r>
                </w:p>
              </w:tc>
            </w:tr>
            <w:tr w14:paraId="149941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27" w:hRule="atLeast"/>
                <w:jc w:val="center"/>
              </w:trPr>
              <w:tc>
                <w:tcPr>
                  <w:tcW w:w="646" w:type="dxa"/>
                  <w:tcBorders>
                    <w:tl2br w:val="nil"/>
                    <w:tr2bl w:val="nil"/>
                  </w:tcBorders>
                  <w:shd w:val="clear" w:color="auto" w:fill="auto"/>
                  <w:vAlign w:val="center"/>
                </w:tcPr>
                <w:p w14:paraId="50E5E5B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7</w:t>
                  </w:r>
                </w:p>
              </w:tc>
              <w:tc>
                <w:tcPr>
                  <w:tcW w:w="2473" w:type="dxa"/>
                  <w:tcBorders>
                    <w:tl2br w:val="nil"/>
                    <w:tr2bl w:val="nil"/>
                  </w:tcBorders>
                  <w:shd w:val="clear" w:color="auto" w:fill="auto"/>
                  <w:vAlign w:val="center"/>
                </w:tcPr>
                <w:p w14:paraId="14EAC92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电热鼓风干燥箱</w:t>
                  </w:r>
                </w:p>
              </w:tc>
              <w:tc>
                <w:tcPr>
                  <w:tcW w:w="1215" w:type="dxa"/>
                  <w:tcBorders>
                    <w:tl2br w:val="nil"/>
                    <w:tr2bl w:val="nil"/>
                  </w:tcBorders>
                  <w:shd w:val="clear" w:color="auto" w:fill="auto"/>
                  <w:vAlign w:val="center"/>
                </w:tcPr>
                <w:p w14:paraId="34931C5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2</w:t>
                  </w:r>
                  <w:r>
                    <w:rPr>
                      <w:rFonts w:hint="default" w:ascii="Times New Roman" w:hAnsi="Times New Roman" w:eastAsia="宋体" w:cs="Times New Roman"/>
                      <w:i w:val="0"/>
                      <w:iCs w:val="0"/>
                      <w:color w:val="auto"/>
                      <w:kern w:val="0"/>
                      <w:sz w:val="21"/>
                      <w:szCs w:val="21"/>
                      <w:u w:val="none" w:color="auto"/>
                      <w:lang w:val="en-US" w:eastAsia="zh-CN" w:bidi="ar"/>
                    </w:rPr>
                    <w:t>台</w:t>
                  </w:r>
                </w:p>
              </w:tc>
              <w:tc>
                <w:tcPr>
                  <w:tcW w:w="675" w:type="dxa"/>
                  <w:tcBorders>
                    <w:tl2br w:val="nil"/>
                    <w:tr2bl w:val="nil"/>
                  </w:tcBorders>
                  <w:shd w:val="clear" w:color="auto" w:fill="auto"/>
                  <w:vAlign w:val="center"/>
                </w:tcPr>
                <w:p w14:paraId="2E121DE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26</w:t>
                  </w:r>
                </w:p>
              </w:tc>
              <w:tc>
                <w:tcPr>
                  <w:tcW w:w="1841" w:type="dxa"/>
                  <w:tcBorders>
                    <w:tl2br w:val="nil"/>
                    <w:tr2bl w:val="nil"/>
                  </w:tcBorders>
                  <w:shd w:val="clear" w:color="auto" w:fill="auto"/>
                  <w:vAlign w:val="center"/>
                </w:tcPr>
                <w:p w14:paraId="1D24AFB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血压计</w:t>
                  </w:r>
                </w:p>
              </w:tc>
              <w:tc>
                <w:tcPr>
                  <w:tcW w:w="1370" w:type="dxa"/>
                  <w:tcBorders>
                    <w:tl2br w:val="nil"/>
                    <w:tr2bl w:val="nil"/>
                  </w:tcBorders>
                  <w:shd w:val="clear" w:color="auto" w:fill="auto"/>
                  <w:vAlign w:val="center"/>
                </w:tcPr>
                <w:p w14:paraId="3BBFB00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若干</w:t>
                  </w:r>
                </w:p>
              </w:tc>
            </w:tr>
            <w:tr w14:paraId="2D1201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27" w:hRule="atLeast"/>
                <w:jc w:val="center"/>
              </w:trPr>
              <w:tc>
                <w:tcPr>
                  <w:tcW w:w="646" w:type="dxa"/>
                  <w:tcBorders>
                    <w:tl2br w:val="nil"/>
                    <w:tr2bl w:val="nil"/>
                  </w:tcBorders>
                  <w:shd w:val="clear" w:color="auto" w:fill="auto"/>
                  <w:vAlign w:val="center"/>
                </w:tcPr>
                <w:p w14:paraId="2E7CECA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8</w:t>
                  </w:r>
                </w:p>
              </w:tc>
              <w:tc>
                <w:tcPr>
                  <w:tcW w:w="2473" w:type="dxa"/>
                  <w:tcBorders>
                    <w:tl2br w:val="nil"/>
                    <w:tr2bl w:val="nil"/>
                  </w:tcBorders>
                  <w:shd w:val="clear" w:color="auto" w:fill="auto"/>
                  <w:vAlign w:val="center"/>
                </w:tcPr>
                <w:p w14:paraId="5B91CCA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离心机</w:t>
                  </w:r>
                </w:p>
              </w:tc>
              <w:tc>
                <w:tcPr>
                  <w:tcW w:w="1215" w:type="dxa"/>
                  <w:tcBorders>
                    <w:tl2br w:val="nil"/>
                    <w:tr2bl w:val="nil"/>
                  </w:tcBorders>
                  <w:shd w:val="clear" w:color="auto" w:fill="auto"/>
                  <w:vAlign w:val="center"/>
                </w:tcPr>
                <w:p w14:paraId="1AE0AF1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2</w:t>
                  </w:r>
                  <w:r>
                    <w:rPr>
                      <w:rFonts w:hint="default" w:ascii="Times New Roman" w:hAnsi="Times New Roman" w:eastAsia="宋体" w:cs="Times New Roman"/>
                      <w:i w:val="0"/>
                      <w:iCs w:val="0"/>
                      <w:color w:val="auto"/>
                      <w:kern w:val="0"/>
                      <w:sz w:val="21"/>
                      <w:szCs w:val="21"/>
                      <w:u w:val="none" w:color="auto"/>
                      <w:lang w:val="en-US" w:eastAsia="zh-CN" w:bidi="ar"/>
                    </w:rPr>
                    <w:t>台</w:t>
                  </w:r>
                </w:p>
              </w:tc>
              <w:tc>
                <w:tcPr>
                  <w:tcW w:w="675" w:type="dxa"/>
                  <w:tcBorders>
                    <w:tl2br w:val="nil"/>
                    <w:tr2bl w:val="nil"/>
                  </w:tcBorders>
                  <w:shd w:val="clear" w:color="auto" w:fill="auto"/>
                  <w:vAlign w:val="center"/>
                </w:tcPr>
                <w:p w14:paraId="702B7F1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27</w:t>
                  </w:r>
                </w:p>
              </w:tc>
              <w:tc>
                <w:tcPr>
                  <w:tcW w:w="1841" w:type="dxa"/>
                  <w:tcBorders>
                    <w:tl2br w:val="nil"/>
                    <w:tr2bl w:val="nil"/>
                  </w:tcBorders>
                  <w:shd w:val="clear" w:color="auto" w:fill="auto"/>
                  <w:vAlign w:val="center"/>
                </w:tcPr>
                <w:p w14:paraId="6583403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听诊器</w:t>
                  </w:r>
                </w:p>
              </w:tc>
              <w:tc>
                <w:tcPr>
                  <w:tcW w:w="1370" w:type="dxa"/>
                  <w:tcBorders>
                    <w:tl2br w:val="nil"/>
                    <w:tr2bl w:val="nil"/>
                  </w:tcBorders>
                  <w:shd w:val="clear" w:color="auto" w:fill="auto"/>
                  <w:vAlign w:val="center"/>
                </w:tcPr>
                <w:p w14:paraId="4A7C001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若干</w:t>
                  </w:r>
                </w:p>
              </w:tc>
            </w:tr>
            <w:tr w14:paraId="5268A0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27" w:hRule="atLeast"/>
                <w:jc w:val="center"/>
              </w:trPr>
              <w:tc>
                <w:tcPr>
                  <w:tcW w:w="646" w:type="dxa"/>
                  <w:tcBorders>
                    <w:tl2br w:val="nil"/>
                    <w:tr2bl w:val="nil"/>
                  </w:tcBorders>
                  <w:shd w:val="clear" w:color="auto" w:fill="auto"/>
                  <w:vAlign w:val="center"/>
                </w:tcPr>
                <w:p w14:paraId="0F448EF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9</w:t>
                  </w:r>
                </w:p>
              </w:tc>
              <w:tc>
                <w:tcPr>
                  <w:tcW w:w="2473" w:type="dxa"/>
                  <w:tcBorders>
                    <w:tl2br w:val="nil"/>
                    <w:tr2bl w:val="nil"/>
                  </w:tcBorders>
                  <w:shd w:val="clear" w:color="auto" w:fill="auto"/>
                  <w:vAlign w:val="center"/>
                </w:tcPr>
                <w:p w14:paraId="1E082EC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电子显微镜</w:t>
                  </w:r>
                </w:p>
              </w:tc>
              <w:tc>
                <w:tcPr>
                  <w:tcW w:w="1215" w:type="dxa"/>
                  <w:tcBorders>
                    <w:tl2br w:val="nil"/>
                    <w:tr2bl w:val="nil"/>
                  </w:tcBorders>
                  <w:shd w:val="clear" w:color="auto" w:fill="auto"/>
                  <w:vAlign w:val="center"/>
                </w:tcPr>
                <w:p w14:paraId="4B416D5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2</w:t>
                  </w:r>
                  <w:r>
                    <w:rPr>
                      <w:rFonts w:hint="default" w:ascii="Times New Roman" w:hAnsi="Times New Roman" w:eastAsia="宋体" w:cs="Times New Roman"/>
                      <w:i w:val="0"/>
                      <w:iCs w:val="0"/>
                      <w:color w:val="auto"/>
                      <w:kern w:val="0"/>
                      <w:sz w:val="21"/>
                      <w:szCs w:val="21"/>
                      <w:u w:val="none" w:color="auto"/>
                      <w:lang w:val="en-US" w:eastAsia="zh-CN" w:bidi="ar"/>
                    </w:rPr>
                    <w:t xml:space="preserve"> 台</w:t>
                  </w:r>
                </w:p>
              </w:tc>
              <w:tc>
                <w:tcPr>
                  <w:tcW w:w="675" w:type="dxa"/>
                  <w:tcBorders>
                    <w:tl2br w:val="nil"/>
                    <w:tr2bl w:val="nil"/>
                  </w:tcBorders>
                  <w:shd w:val="clear" w:color="auto" w:fill="auto"/>
                  <w:vAlign w:val="center"/>
                </w:tcPr>
                <w:p w14:paraId="613C4EE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28</w:t>
                  </w:r>
                </w:p>
              </w:tc>
              <w:tc>
                <w:tcPr>
                  <w:tcW w:w="1841" w:type="dxa"/>
                  <w:tcBorders>
                    <w:tl2br w:val="nil"/>
                    <w:tr2bl w:val="nil"/>
                  </w:tcBorders>
                  <w:shd w:val="clear" w:color="auto" w:fill="auto"/>
                  <w:vAlign w:val="center"/>
                </w:tcPr>
                <w:p w14:paraId="659C129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叩诊锤</w:t>
                  </w:r>
                </w:p>
              </w:tc>
              <w:tc>
                <w:tcPr>
                  <w:tcW w:w="1370" w:type="dxa"/>
                  <w:tcBorders>
                    <w:tl2br w:val="nil"/>
                    <w:tr2bl w:val="nil"/>
                  </w:tcBorders>
                  <w:shd w:val="clear" w:color="auto" w:fill="auto"/>
                  <w:vAlign w:val="center"/>
                </w:tcPr>
                <w:p w14:paraId="68C7736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若干</w:t>
                  </w:r>
                </w:p>
              </w:tc>
            </w:tr>
            <w:tr w14:paraId="0608FF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27" w:hRule="atLeast"/>
                <w:jc w:val="center"/>
              </w:trPr>
              <w:tc>
                <w:tcPr>
                  <w:tcW w:w="646" w:type="dxa"/>
                  <w:tcBorders>
                    <w:tl2br w:val="nil"/>
                    <w:tr2bl w:val="nil"/>
                  </w:tcBorders>
                  <w:shd w:val="clear" w:color="auto" w:fill="auto"/>
                  <w:vAlign w:val="center"/>
                </w:tcPr>
                <w:p w14:paraId="40B5917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10</w:t>
                  </w:r>
                </w:p>
              </w:tc>
              <w:tc>
                <w:tcPr>
                  <w:tcW w:w="2473" w:type="dxa"/>
                  <w:tcBorders>
                    <w:tl2br w:val="nil"/>
                    <w:tr2bl w:val="nil"/>
                  </w:tcBorders>
                  <w:shd w:val="clear" w:color="auto" w:fill="auto"/>
                  <w:vAlign w:val="center"/>
                </w:tcPr>
                <w:p w14:paraId="1BC17AC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不锈钢蒸馏水器</w:t>
                  </w:r>
                </w:p>
              </w:tc>
              <w:tc>
                <w:tcPr>
                  <w:tcW w:w="1215" w:type="dxa"/>
                  <w:tcBorders>
                    <w:tl2br w:val="nil"/>
                    <w:tr2bl w:val="nil"/>
                  </w:tcBorders>
                  <w:shd w:val="clear" w:color="auto" w:fill="auto"/>
                  <w:vAlign w:val="center"/>
                </w:tcPr>
                <w:p w14:paraId="2A9D956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2</w:t>
                  </w:r>
                  <w:r>
                    <w:rPr>
                      <w:rFonts w:hint="default" w:ascii="Times New Roman" w:hAnsi="Times New Roman" w:eastAsia="宋体" w:cs="Times New Roman"/>
                      <w:i w:val="0"/>
                      <w:iCs w:val="0"/>
                      <w:color w:val="auto"/>
                      <w:kern w:val="0"/>
                      <w:sz w:val="21"/>
                      <w:szCs w:val="21"/>
                      <w:u w:val="none" w:color="auto"/>
                      <w:lang w:val="en-US" w:eastAsia="zh-CN" w:bidi="ar"/>
                    </w:rPr>
                    <w:t>台</w:t>
                  </w:r>
                </w:p>
              </w:tc>
              <w:tc>
                <w:tcPr>
                  <w:tcW w:w="675" w:type="dxa"/>
                  <w:tcBorders>
                    <w:tl2br w:val="nil"/>
                    <w:tr2bl w:val="nil"/>
                  </w:tcBorders>
                  <w:shd w:val="clear" w:color="auto" w:fill="auto"/>
                  <w:vAlign w:val="center"/>
                </w:tcPr>
                <w:p w14:paraId="21F3885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29</w:t>
                  </w:r>
                </w:p>
              </w:tc>
              <w:tc>
                <w:tcPr>
                  <w:tcW w:w="1841" w:type="dxa"/>
                  <w:tcBorders>
                    <w:tl2br w:val="nil"/>
                    <w:tr2bl w:val="nil"/>
                  </w:tcBorders>
                  <w:shd w:val="clear" w:color="auto" w:fill="auto"/>
                  <w:vAlign w:val="center"/>
                </w:tcPr>
                <w:p w14:paraId="7F02640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体重、身高计</w:t>
                  </w:r>
                </w:p>
              </w:tc>
              <w:tc>
                <w:tcPr>
                  <w:tcW w:w="1370" w:type="dxa"/>
                  <w:tcBorders>
                    <w:tl2br w:val="nil"/>
                    <w:tr2bl w:val="nil"/>
                  </w:tcBorders>
                  <w:shd w:val="clear" w:color="auto" w:fill="auto"/>
                  <w:vAlign w:val="center"/>
                </w:tcPr>
                <w:p w14:paraId="6578FC8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w:t>
                  </w:r>
                  <w:r>
                    <w:rPr>
                      <w:rStyle w:val="47"/>
                      <w:rFonts w:hint="default" w:ascii="Times New Roman" w:hAnsi="Times New Roman" w:eastAsia="宋体" w:cs="Times New Roman"/>
                      <w:color w:val="auto"/>
                      <w:sz w:val="21"/>
                      <w:szCs w:val="21"/>
                      <w:u w:val="none" w:color="auto"/>
                      <w:lang w:val="en-US" w:eastAsia="zh-CN" w:bidi="ar"/>
                    </w:rPr>
                    <w:t xml:space="preserve"> </w:t>
                  </w:r>
                  <w:r>
                    <w:rPr>
                      <w:rFonts w:hint="default" w:ascii="Times New Roman" w:hAnsi="Times New Roman" w:eastAsia="宋体" w:cs="Times New Roman"/>
                      <w:i w:val="0"/>
                      <w:iCs w:val="0"/>
                      <w:color w:val="auto"/>
                      <w:kern w:val="0"/>
                      <w:sz w:val="21"/>
                      <w:szCs w:val="21"/>
                      <w:u w:val="none" w:color="auto"/>
                      <w:lang w:val="en-US" w:eastAsia="zh-CN" w:bidi="ar"/>
                    </w:rPr>
                    <w:t>台</w:t>
                  </w:r>
                </w:p>
              </w:tc>
            </w:tr>
            <w:tr w14:paraId="23880D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27" w:hRule="atLeast"/>
                <w:jc w:val="center"/>
              </w:trPr>
              <w:tc>
                <w:tcPr>
                  <w:tcW w:w="646" w:type="dxa"/>
                  <w:tcBorders>
                    <w:tl2br w:val="nil"/>
                    <w:tr2bl w:val="nil"/>
                  </w:tcBorders>
                  <w:shd w:val="clear" w:color="auto" w:fill="auto"/>
                  <w:vAlign w:val="center"/>
                </w:tcPr>
                <w:p w14:paraId="4252019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11</w:t>
                  </w:r>
                </w:p>
              </w:tc>
              <w:tc>
                <w:tcPr>
                  <w:tcW w:w="2473" w:type="dxa"/>
                  <w:tcBorders>
                    <w:tl2br w:val="nil"/>
                    <w:tr2bl w:val="nil"/>
                  </w:tcBorders>
                  <w:shd w:val="clear" w:color="auto" w:fill="auto"/>
                  <w:vAlign w:val="center"/>
                </w:tcPr>
                <w:p w14:paraId="5C0FBFE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吸痰器</w:t>
                  </w:r>
                </w:p>
              </w:tc>
              <w:tc>
                <w:tcPr>
                  <w:tcW w:w="1215" w:type="dxa"/>
                  <w:tcBorders>
                    <w:tl2br w:val="nil"/>
                    <w:tr2bl w:val="nil"/>
                  </w:tcBorders>
                  <w:shd w:val="clear" w:color="auto" w:fill="auto"/>
                  <w:vAlign w:val="center"/>
                </w:tcPr>
                <w:p w14:paraId="556E390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3</w:t>
                  </w:r>
                  <w:r>
                    <w:rPr>
                      <w:rFonts w:hint="default" w:ascii="Times New Roman" w:hAnsi="Times New Roman" w:eastAsia="宋体" w:cs="Times New Roman"/>
                      <w:i w:val="0"/>
                      <w:iCs w:val="0"/>
                      <w:color w:val="auto"/>
                      <w:kern w:val="0"/>
                      <w:sz w:val="21"/>
                      <w:szCs w:val="21"/>
                      <w:u w:val="none" w:color="auto"/>
                      <w:lang w:val="en-US" w:eastAsia="zh-CN" w:bidi="ar"/>
                    </w:rPr>
                    <w:t>台</w:t>
                  </w:r>
                </w:p>
              </w:tc>
              <w:tc>
                <w:tcPr>
                  <w:tcW w:w="675" w:type="dxa"/>
                  <w:tcBorders>
                    <w:tl2br w:val="nil"/>
                    <w:tr2bl w:val="nil"/>
                  </w:tcBorders>
                  <w:shd w:val="clear" w:color="auto" w:fill="auto"/>
                  <w:vAlign w:val="center"/>
                </w:tcPr>
                <w:p w14:paraId="05BA14A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30</w:t>
                  </w:r>
                </w:p>
              </w:tc>
              <w:tc>
                <w:tcPr>
                  <w:tcW w:w="1841" w:type="dxa"/>
                  <w:tcBorders>
                    <w:tl2br w:val="nil"/>
                    <w:tr2bl w:val="nil"/>
                  </w:tcBorders>
                  <w:shd w:val="clear" w:color="auto" w:fill="auto"/>
                  <w:vAlign w:val="center"/>
                </w:tcPr>
                <w:p w14:paraId="792A89A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电脑设备</w:t>
                  </w:r>
                </w:p>
              </w:tc>
              <w:tc>
                <w:tcPr>
                  <w:tcW w:w="1370" w:type="dxa"/>
                  <w:tcBorders>
                    <w:tl2br w:val="nil"/>
                    <w:tr2bl w:val="nil"/>
                  </w:tcBorders>
                  <w:shd w:val="clear" w:color="auto" w:fill="auto"/>
                  <w:vAlign w:val="center"/>
                </w:tcPr>
                <w:p w14:paraId="65EA359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w:t>
                  </w:r>
                  <w:r>
                    <w:rPr>
                      <w:rStyle w:val="47"/>
                      <w:rFonts w:hint="default" w:ascii="Times New Roman" w:hAnsi="Times New Roman" w:eastAsia="宋体" w:cs="Times New Roman"/>
                      <w:color w:val="auto"/>
                      <w:sz w:val="21"/>
                      <w:szCs w:val="21"/>
                      <w:u w:val="none" w:color="auto"/>
                      <w:lang w:val="en-US" w:eastAsia="zh-CN" w:bidi="ar"/>
                    </w:rPr>
                    <w:t xml:space="preserve">0 </w:t>
                  </w:r>
                  <w:r>
                    <w:rPr>
                      <w:rFonts w:hint="default" w:ascii="Times New Roman" w:hAnsi="Times New Roman" w:eastAsia="宋体" w:cs="Times New Roman"/>
                      <w:i w:val="0"/>
                      <w:iCs w:val="0"/>
                      <w:color w:val="auto"/>
                      <w:kern w:val="0"/>
                      <w:sz w:val="21"/>
                      <w:szCs w:val="21"/>
                      <w:u w:val="none" w:color="auto"/>
                      <w:lang w:val="en-US" w:eastAsia="zh-CN" w:bidi="ar"/>
                    </w:rPr>
                    <w:t>套</w:t>
                  </w:r>
                </w:p>
              </w:tc>
            </w:tr>
            <w:tr w14:paraId="2279A1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646" w:type="dxa"/>
                  <w:tcBorders>
                    <w:tl2br w:val="nil"/>
                    <w:tr2bl w:val="nil"/>
                  </w:tcBorders>
                  <w:shd w:val="clear" w:color="auto" w:fill="auto"/>
                  <w:vAlign w:val="center"/>
                </w:tcPr>
                <w:p w14:paraId="53A77F1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12</w:t>
                  </w:r>
                </w:p>
              </w:tc>
              <w:tc>
                <w:tcPr>
                  <w:tcW w:w="2473" w:type="dxa"/>
                  <w:tcBorders>
                    <w:tl2br w:val="nil"/>
                    <w:tr2bl w:val="nil"/>
                  </w:tcBorders>
                  <w:shd w:val="clear" w:color="auto" w:fill="auto"/>
                  <w:vAlign w:val="center"/>
                </w:tcPr>
                <w:p w14:paraId="20F6723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供氧装置</w:t>
                  </w:r>
                </w:p>
              </w:tc>
              <w:tc>
                <w:tcPr>
                  <w:tcW w:w="1215" w:type="dxa"/>
                  <w:tcBorders>
                    <w:tl2br w:val="nil"/>
                    <w:tr2bl w:val="nil"/>
                  </w:tcBorders>
                  <w:shd w:val="clear" w:color="auto" w:fill="auto"/>
                  <w:vAlign w:val="center"/>
                </w:tcPr>
                <w:p w14:paraId="5107033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w:t>
                  </w:r>
                  <w:r>
                    <w:rPr>
                      <w:rStyle w:val="47"/>
                      <w:rFonts w:hint="eastAsia" w:cs="Times New Roman"/>
                      <w:color w:val="auto"/>
                      <w:sz w:val="21"/>
                      <w:szCs w:val="21"/>
                      <w:u w:val="none" w:color="auto"/>
                      <w:lang w:val="en-US" w:eastAsia="zh-CN" w:bidi="ar"/>
                    </w:rPr>
                    <w:t>5</w:t>
                  </w:r>
                  <w:r>
                    <w:rPr>
                      <w:rStyle w:val="47"/>
                      <w:rFonts w:hint="default" w:ascii="Times New Roman" w:hAnsi="Times New Roman" w:eastAsia="宋体" w:cs="Times New Roman"/>
                      <w:color w:val="auto"/>
                      <w:sz w:val="21"/>
                      <w:szCs w:val="21"/>
                      <w:u w:val="none" w:color="auto"/>
                      <w:lang w:val="en-US" w:eastAsia="zh-CN" w:bidi="ar"/>
                    </w:rPr>
                    <w:t xml:space="preserve"> </w:t>
                  </w:r>
                  <w:r>
                    <w:rPr>
                      <w:rFonts w:hint="default" w:ascii="Times New Roman" w:hAnsi="Times New Roman" w:eastAsia="宋体" w:cs="Times New Roman"/>
                      <w:i w:val="0"/>
                      <w:iCs w:val="0"/>
                      <w:color w:val="auto"/>
                      <w:kern w:val="0"/>
                      <w:sz w:val="21"/>
                      <w:szCs w:val="21"/>
                      <w:u w:val="none" w:color="auto"/>
                      <w:lang w:val="en-US" w:eastAsia="zh-CN" w:bidi="ar"/>
                    </w:rPr>
                    <w:t>台</w:t>
                  </w:r>
                </w:p>
              </w:tc>
              <w:tc>
                <w:tcPr>
                  <w:tcW w:w="675" w:type="dxa"/>
                  <w:tcBorders>
                    <w:tl2br w:val="nil"/>
                    <w:tr2bl w:val="nil"/>
                  </w:tcBorders>
                  <w:shd w:val="clear" w:color="auto" w:fill="auto"/>
                  <w:vAlign w:val="center"/>
                </w:tcPr>
                <w:p w14:paraId="37211BC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31</w:t>
                  </w:r>
                </w:p>
              </w:tc>
              <w:tc>
                <w:tcPr>
                  <w:tcW w:w="1841" w:type="dxa"/>
                  <w:tcBorders>
                    <w:tl2br w:val="nil"/>
                    <w:tr2bl w:val="nil"/>
                  </w:tcBorders>
                  <w:shd w:val="clear" w:color="auto" w:fill="auto"/>
                  <w:vAlign w:val="center"/>
                </w:tcPr>
                <w:p w14:paraId="2CA7D99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电视机</w:t>
                  </w:r>
                </w:p>
              </w:tc>
              <w:tc>
                <w:tcPr>
                  <w:tcW w:w="1370" w:type="dxa"/>
                  <w:tcBorders>
                    <w:tl2br w:val="nil"/>
                    <w:tr2bl w:val="nil"/>
                  </w:tcBorders>
                  <w:shd w:val="clear" w:color="auto" w:fill="auto"/>
                  <w:vAlign w:val="center"/>
                </w:tcPr>
                <w:p w14:paraId="3D199B7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w:t>
                  </w:r>
                  <w:r>
                    <w:rPr>
                      <w:rStyle w:val="47"/>
                      <w:rFonts w:hint="default" w:ascii="Times New Roman" w:hAnsi="Times New Roman" w:eastAsia="宋体" w:cs="Times New Roman"/>
                      <w:color w:val="auto"/>
                      <w:sz w:val="21"/>
                      <w:szCs w:val="21"/>
                      <w:u w:val="none" w:color="auto"/>
                      <w:lang w:val="en-US" w:eastAsia="zh-CN" w:bidi="ar"/>
                    </w:rPr>
                    <w:t xml:space="preserve">0 </w:t>
                  </w:r>
                  <w:r>
                    <w:rPr>
                      <w:rFonts w:hint="default" w:ascii="Times New Roman" w:hAnsi="Times New Roman" w:eastAsia="宋体" w:cs="Times New Roman"/>
                      <w:i w:val="0"/>
                      <w:iCs w:val="0"/>
                      <w:color w:val="auto"/>
                      <w:kern w:val="0"/>
                      <w:sz w:val="21"/>
                      <w:szCs w:val="21"/>
                      <w:u w:val="none" w:color="auto"/>
                      <w:lang w:val="en-US" w:eastAsia="zh-CN" w:bidi="ar"/>
                    </w:rPr>
                    <w:t>台</w:t>
                  </w:r>
                </w:p>
              </w:tc>
            </w:tr>
            <w:tr w14:paraId="47372C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27" w:hRule="atLeast"/>
                <w:jc w:val="center"/>
              </w:trPr>
              <w:tc>
                <w:tcPr>
                  <w:tcW w:w="646" w:type="dxa"/>
                  <w:tcBorders>
                    <w:tl2br w:val="nil"/>
                    <w:tr2bl w:val="nil"/>
                  </w:tcBorders>
                  <w:shd w:val="clear" w:color="auto" w:fill="auto"/>
                  <w:vAlign w:val="center"/>
                </w:tcPr>
                <w:p w14:paraId="1CCE22C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13</w:t>
                  </w:r>
                </w:p>
              </w:tc>
              <w:tc>
                <w:tcPr>
                  <w:tcW w:w="2473" w:type="dxa"/>
                  <w:tcBorders>
                    <w:tl2br w:val="nil"/>
                    <w:tr2bl w:val="nil"/>
                  </w:tcBorders>
                  <w:shd w:val="clear" w:color="auto" w:fill="auto"/>
                  <w:vAlign w:val="center"/>
                </w:tcPr>
                <w:p w14:paraId="63B1B07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心电图机</w:t>
                  </w:r>
                </w:p>
              </w:tc>
              <w:tc>
                <w:tcPr>
                  <w:tcW w:w="1215" w:type="dxa"/>
                  <w:tcBorders>
                    <w:tl2br w:val="nil"/>
                    <w:tr2bl w:val="nil"/>
                  </w:tcBorders>
                  <w:shd w:val="clear" w:color="auto" w:fill="auto"/>
                  <w:vAlign w:val="center"/>
                </w:tcPr>
                <w:p w14:paraId="43479AE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5</w:t>
                  </w:r>
                  <w:r>
                    <w:rPr>
                      <w:rStyle w:val="47"/>
                      <w:rFonts w:hint="default" w:ascii="Times New Roman" w:hAnsi="Times New Roman" w:eastAsia="宋体" w:cs="Times New Roman"/>
                      <w:color w:val="auto"/>
                      <w:sz w:val="21"/>
                      <w:szCs w:val="21"/>
                      <w:u w:val="none" w:color="auto"/>
                      <w:lang w:val="en-US" w:eastAsia="zh-CN" w:bidi="ar"/>
                    </w:rPr>
                    <w:t xml:space="preserve"> </w:t>
                  </w:r>
                  <w:r>
                    <w:rPr>
                      <w:rFonts w:hint="default" w:ascii="Times New Roman" w:hAnsi="Times New Roman" w:eastAsia="宋体" w:cs="Times New Roman"/>
                      <w:i w:val="0"/>
                      <w:iCs w:val="0"/>
                      <w:color w:val="auto"/>
                      <w:kern w:val="0"/>
                      <w:sz w:val="21"/>
                      <w:szCs w:val="21"/>
                      <w:u w:val="none" w:color="auto"/>
                      <w:lang w:val="en-US" w:eastAsia="zh-CN" w:bidi="ar"/>
                    </w:rPr>
                    <w:t>套</w:t>
                  </w:r>
                </w:p>
              </w:tc>
              <w:tc>
                <w:tcPr>
                  <w:tcW w:w="675" w:type="dxa"/>
                  <w:tcBorders>
                    <w:tl2br w:val="nil"/>
                    <w:tr2bl w:val="nil"/>
                  </w:tcBorders>
                  <w:shd w:val="clear" w:color="auto" w:fill="auto"/>
                  <w:vAlign w:val="center"/>
                </w:tcPr>
                <w:p w14:paraId="5C80283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32</w:t>
                  </w:r>
                </w:p>
              </w:tc>
              <w:tc>
                <w:tcPr>
                  <w:tcW w:w="1841" w:type="dxa"/>
                  <w:tcBorders>
                    <w:tl2br w:val="nil"/>
                    <w:tr2bl w:val="nil"/>
                  </w:tcBorders>
                  <w:shd w:val="clear" w:color="auto" w:fill="auto"/>
                  <w:vAlign w:val="center"/>
                </w:tcPr>
                <w:p w14:paraId="2EAD00E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脑血流图仪</w:t>
                  </w:r>
                </w:p>
              </w:tc>
              <w:tc>
                <w:tcPr>
                  <w:tcW w:w="1370" w:type="dxa"/>
                  <w:tcBorders>
                    <w:tl2br w:val="nil"/>
                    <w:tr2bl w:val="nil"/>
                  </w:tcBorders>
                  <w:shd w:val="clear" w:color="auto" w:fill="auto"/>
                  <w:vAlign w:val="center"/>
                </w:tcPr>
                <w:p w14:paraId="6F3214B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2</w:t>
                  </w:r>
                  <w:r>
                    <w:rPr>
                      <w:rFonts w:hint="default" w:ascii="Times New Roman" w:hAnsi="Times New Roman" w:eastAsia="宋体" w:cs="Times New Roman"/>
                      <w:i w:val="0"/>
                      <w:iCs w:val="0"/>
                      <w:color w:val="auto"/>
                      <w:kern w:val="0"/>
                      <w:sz w:val="21"/>
                      <w:szCs w:val="21"/>
                      <w:u w:val="none" w:color="auto"/>
                      <w:lang w:val="en-US" w:eastAsia="zh-CN" w:bidi="ar"/>
                    </w:rPr>
                    <w:t xml:space="preserve"> 台</w:t>
                  </w:r>
                </w:p>
              </w:tc>
            </w:tr>
            <w:tr w14:paraId="3E04CF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646" w:type="dxa"/>
                  <w:tcBorders>
                    <w:tl2br w:val="nil"/>
                    <w:tr2bl w:val="nil"/>
                  </w:tcBorders>
                  <w:shd w:val="clear" w:color="auto" w:fill="auto"/>
                  <w:vAlign w:val="center"/>
                </w:tcPr>
                <w:p w14:paraId="489466B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14</w:t>
                  </w:r>
                </w:p>
              </w:tc>
              <w:tc>
                <w:tcPr>
                  <w:tcW w:w="2473" w:type="dxa"/>
                  <w:tcBorders>
                    <w:tl2br w:val="nil"/>
                    <w:tr2bl w:val="nil"/>
                  </w:tcBorders>
                  <w:shd w:val="clear" w:color="auto" w:fill="auto"/>
                  <w:vAlign w:val="center"/>
                </w:tcPr>
                <w:p w14:paraId="7985D3B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洗胃机</w:t>
                  </w:r>
                </w:p>
              </w:tc>
              <w:tc>
                <w:tcPr>
                  <w:tcW w:w="1215" w:type="dxa"/>
                  <w:tcBorders>
                    <w:tl2br w:val="nil"/>
                    <w:tr2bl w:val="nil"/>
                  </w:tcBorders>
                  <w:shd w:val="clear" w:color="auto" w:fill="auto"/>
                  <w:vAlign w:val="center"/>
                </w:tcPr>
                <w:p w14:paraId="453AF02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 台</w:t>
                  </w:r>
                </w:p>
              </w:tc>
              <w:tc>
                <w:tcPr>
                  <w:tcW w:w="675" w:type="dxa"/>
                  <w:tcBorders>
                    <w:tl2br w:val="nil"/>
                    <w:tr2bl w:val="nil"/>
                  </w:tcBorders>
                  <w:shd w:val="clear" w:color="auto" w:fill="auto"/>
                  <w:vAlign w:val="center"/>
                </w:tcPr>
                <w:p w14:paraId="6D51D6D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33</w:t>
                  </w:r>
                </w:p>
              </w:tc>
              <w:tc>
                <w:tcPr>
                  <w:tcW w:w="1841" w:type="dxa"/>
                  <w:tcBorders>
                    <w:tl2br w:val="nil"/>
                    <w:tr2bl w:val="nil"/>
                  </w:tcBorders>
                  <w:shd w:val="clear" w:color="auto" w:fill="auto"/>
                  <w:vAlign w:val="center"/>
                </w:tcPr>
                <w:p w14:paraId="4C813B0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检眼镜</w:t>
                  </w:r>
                </w:p>
              </w:tc>
              <w:tc>
                <w:tcPr>
                  <w:tcW w:w="1370" w:type="dxa"/>
                  <w:tcBorders>
                    <w:tl2br w:val="nil"/>
                    <w:tr2bl w:val="nil"/>
                  </w:tcBorders>
                  <w:shd w:val="clear" w:color="auto" w:fill="auto"/>
                  <w:vAlign w:val="center"/>
                </w:tcPr>
                <w:p w14:paraId="0AD8795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10</w:t>
                  </w:r>
                  <w:r>
                    <w:rPr>
                      <w:rFonts w:hint="default" w:ascii="Times New Roman" w:hAnsi="Times New Roman" w:eastAsia="宋体" w:cs="Times New Roman"/>
                      <w:i w:val="0"/>
                      <w:iCs w:val="0"/>
                      <w:color w:val="auto"/>
                      <w:kern w:val="0"/>
                      <w:sz w:val="21"/>
                      <w:szCs w:val="21"/>
                      <w:u w:val="none" w:color="auto"/>
                      <w:lang w:val="en-US" w:eastAsia="zh-CN" w:bidi="ar"/>
                    </w:rPr>
                    <w:t>个</w:t>
                  </w:r>
                </w:p>
              </w:tc>
            </w:tr>
            <w:tr w14:paraId="768500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27" w:hRule="atLeast"/>
                <w:jc w:val="center"/>
              </w:trPr>
              <w:tc>
                <w:tcPr>
                  <w:tcW w:w="646" w:type="dxa"/>
                  <w:tcBorders>
                    <w:tl2br w:val="nil"/>
                    <w:tr2bl w:val="nil"/>
                  </w:tcBorders>
                  <w:shd w:val="clear" w:color="auto" w:fill="auto"/>
                  <w:vAlign w:val="center"/>
                </w:tcPr>
                <w:p w14:paraId="43DCE99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15</w:t>
                  </w:r>
                </w:p>
              </w:tc>
              <w:tc>
                <w:tcPr>
                  <w:tcW w:w="2473" w:type="dxa"/>
                  <w:tcBorders>
                    <w:tl2br w:val="nil"/>
                    <w:tr2bl w:val="nil"/>
                  </w:tcBorders>
                  <w:shd w:val="clear" w:color="auto" w:fill="auto"/>
                  <w:vAlign w:val="center"/>
                </w:tcPr>
                <w:p w14:paraId="25F8614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B</w:t>
                  </w:r>
                  <w:r>
                    <w:rPr>
                      <w:rStyle w:val="47"/>
                      <w:rFonts w:hint="default" w:ascii="Times New Roman" w:hAnsi="Times New Roman" w:eastAsia="宋体" w:cs="Times New Roman"/>
                      <w:color w:val="auto"/>
                      <w:sz w:val="21"/>
                      <w:szCs w:val="21"/>
                      <w:u w:val="none" w:color="auto"/>
                      <w:lang w:val="en-US" w:eastAsia="zh-CN" w:bidi="ar"/>
                    </w:rPr>
                    <w:t xml:space="preserve"> </w:t>
                  </w:r>
                  <w:r>
                    <w:rPr>
                      <w:rFonts w:hint="default" w:ascii="Times New Roman" w:hAnsi="Times New Roman" w:eastAsia="宋体" w:cs="Times New Roman"/>
                      <w:i w:val="0"/>
                      <w:iCs w:val="0"/>
                      <w:color w:val="auto"/>
                      <w:kern w:val="0"/>
                      <w:sz w:val="21"/>
                      <w:szCs w:val="21"/>
                      <w:u w:val="none" w:color="auto"/>
                      <w:lang w:val="en-US" w:eastAsia="zh-CN" w:bidi="ar"/>
                    </w:rPr>
                    <w:t>超机</w:t>
                  </w:r>
                </w:p>
              </w:tc>
              <w:tc>
                <w:tcPr>
                  <w:tcW w:w="1215" w:type="dxa"/>
                  <w:tcBorders>
                    <w:tl2br w:val="nil"/>
                    <w:tr2bl w:val="nil"/>
                  </w:tcBorders>
                  <w:shd w:val="clear" w:color="auto" w:fill="auto"/>
                  <w:vAlign w:val="center"/>
                </w:tcPr>
                <w:p w14:paraId="4AB8173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 台</w:t>
                  </w:r>
                </w:p>
              </w:tc>
              <w:tc>
                <w:tcPr>
                  <w:tcW w:w="675" w:type="dxa"/>
                  <w:tcBorders>
                    <w:tl2br w:val="nil"/>
                    <w:tr2bl w:val="nil"/>
                  </w:tcBorders>
                  <w:shd w:val="clear" w:color="auto" w:fill="auto"/>
                  <w:vAlign w:val="center"/>
                </w:tcPr>
                <w:p w14:paraId="35AC607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34</w:t>
                  </w:r>
                </w:p>
              </w:tc>
              <w:tc>
                <w:tcPr>
                  <w:tcW w:w="1841" w:type="dxa"/>
                  <w:tcBorders>
                    <w:tl2br w:val="nil"/>
                    <w:tr2bl w:val="nil"/>
                  </w:tcBorders>
                  <w:shd w:val="clear" w:color="auto" w:fill="auto"/>
                  <w:vAlign w:val="center"/>
                </w:tcPr>
                <w:p w14:paraId="0EEDE52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扩录机、录音机</w:t>
                  </w:r>
                </w:p>
              </w:tc>
              <w:tc>
                <w:tcPr>
                  <w:tcW w:w="1370" w:type="dxa"/>
                  <w:tcBorders>
                    <w:tl2br w:val="nil"/>
                    <w:tr2bl w:val="nil"/>
                  </w:tcBorders>
                  <w:shd w:val="clear" w:color="auto" w:fill="auto"/>
                  <w:vAlign w:val="center"/>
                </w:tcPr>
                <w:p w14:paraId="0B402DF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4</w:t>
                  </w:r>
                  <w:r>
                    <w:rPr>
                      <w:rStyle w:val="47"/>
                      <w:rFonts w:hint="default" w:ascii="Times New Roman" w:hAnsi="Times New Roman" w:eastAsia="宋体" w:cs="Times New Roman"/>
                      <w:color w:val="auto"/>
                      <w:sz w:val="21"/>
                      <w:szCs w:val="21"/>
                      <w:u w:val="none" w:color="auto"/>
                      <w:lang w:val="en-US" w:eastAsia="zh-CN" w:bidi="ar"/>
                    </w:rPr>
                    <w:t xml:space="preserve"> </w:t>
                  </w:r>
                  <w:r>
                    <w:rPr>
                      <w:rFonts w:hint="default" w:ascii="Times New Roman" w:hAnsi="Times New Roman" w:eastAsia="宋体" w:cs="Times New Roman"/>
                      <w:i w:val="0"/>
                      <w:iCs w:val="0"/>
                      <w:color w:val="auto"/>
                      <w:kern w:val="0"/>
                      <w:sz w:val="21"/>
                      <w:szCs w:val="21"/>
                      <w:u w:val="none" w:color="auto"/>
                      <w:lang w:val="en-US" w:eastAsia="zh-CN" w:bidi="ar"/>
                    </w:rPr>
                    <w:t>套</w:t>
                  </w:r>
                </w:p>
              </w:tc>
            </w:tr>
            <w:tr w14:paraId="3F9034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646" w:type="dxa"/>
                  <w:tcBorders>
                    <w:tl2br w:val="nil"/>
                    <w:tr2bl w:val="nil"/>
                  </w:tcBorders>
                  <w:shd w:val="clear" w:color="auto" w:fill="auto"/>
                  <w:vAlign w:val="center"/>
                </w:tcPr>
                <w:p w14:paraId="01A41FB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16</w:t>
                  </w:r>
                </w:p>
              </w:tc>
              <w:tc>
                <w:tcPr>
                  <w:tcW w:w="2473" w:type="dxa"/>
                  <w:tcBorders>
                    <w:tl2br w:val="nil"/>
                    <w:tr2bl w:val="nil"/>
                  </w:tcBorders>
                  <w:shd w:val="clear" w:color="auto" w:fill="auto"/>
                  <w:vAlign w:val="center"/>
                </w:tcPr>
                <w:p w14:paraId="5DF04D2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彩超机</w:t>
                  </w:r>
                </w:p>
              </w:tc>
              <w:tc>
                <w:tcPr>
                  <w:tcW w:w="1215" w:type="dxa"/>
                  <w:tcBorders>
                    <w:tl2br w:val="nil"/>
                    <w:tr2bl w:val="nil"/>
                  </w:tcBorders>
                  <w:shd w:val="clear" w:color="auto" w:fill="auto"/>
                  <w:vAlign w:val="center"/>
                </w:tcPr>
                <w:p w14:paraId="08A09B5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 台</w:t>
                  </w:r>
                </w:p>
              </w:tc>
              <w:tc>
                <w:tcPr>
                  <w:tcW w:w="675" w:type="dxa"/>
                  <w:tcBorders>
                    <w:tl2br w:val="nil"/>
                    <w:tr2bl w:val="nil"/>
                  </w:tcBorders>
                  <w:shd w:val="clear" w:color="auto" w:fill="auto"/>
                  <w:vAlign w:val="center"/>
                </w:tcPr>
                <w:p w14:paraId="35B17D3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35</w:t>
                  </w:r>
                </w:p>
              </w:tc>
              <w:tc>
                <w:tcPr>
                  <w:tcW w:w="1841" w:type="dxa"/>
                  <w:tcBorders>
                    <w:tl2br w:val="nil"/>
                    <w:tr2bl w:val="nil"/>
                  </w:tcBorders>
                  <w:shd w:val="clear" w:color="auto" w:fill="auto"/>
                  <w:vAlign w:val="center"/>
                </w:tcPr>
                <w:p w14:paraId="1673FF0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空调</w:t>
                  </w:r>
                </w:p>
              </w:tc>
              <w:tc>
                <w:tcPr>
                  <w:tcW w:w="1370" w:type="dxa"/>
                  <w:tcBorders>
                    <w:tl2br w:val="nil"/>
                    <w:tr2bl w:val="nil"/>
                  </w:tcBorders>
                  <w:shd w:val="clear" w:color="auto" w:fill="auto"/>
                  <w:vAlign w:val="center"/>
                </w:tcPr>
                <w:p w14:paraId="2A1571E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cs="Times New Roman"/>
                      <w:i w:val="0"/>
                      <w:iCs w:val="0"/>
                      <w:color w:val="auto"/>
                      <w:sz w:val="21"/>
                      <w:szCs w:val="21"/>
                      <w:u w:val="none" w:color="auto"/>
                      <w:lang w:val="en-US" w:eastAsia="zh-CN"/>
                    </w:rPr>
                    <w:t>按需配备</w:t>
                  </w:r>
                </w:p>
              </w:tc>
            </w:tr>
            <w:tr w14:paraId="1ECA4A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646" w:type="dxa"/>
                  <w:tcBorders>
                    <w:tl2br w:val="nil"/>
                    <w:tr2bl w:val="nil"/>
                  </w:tcBorders>
                  <w:shd w:val="clear" w:color="auto" w:fill="auto"/>
                  <w:vAlign w:val="center"/>
                </w:tcPr>
                <w:p w14:paraId="4081674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17</w:t>
                  </w:r>
                </w:p>
              </w:tc>
              <w:tc>
                <w:tcPr>
                  <w:tcW w:w="2473" w:type="dxa"/>
                  <w:tcBorders>
                    <w:tl2br w:val="nil"/>
                    <w:tr2bl w:val="nil"/>
                  </w:tcBorders>
                  <w:shd w:val="clear" w:color="auto" w:fill="auto"/>
                  <w:vAlign w:val="center"/>
                </w:tcPr>
                <w:p w14:paraId="2F953AB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呼吸机</w:t>
                  </w:r>
                </w:p>
              </w:tc>
              <w:tc>
                <w:tcPr>
                  <w:tcW w:w="1215" w:type="dxa"/>
                  <w:tcBorders>
                    <w:tl2br w:val="nil"/>
                    <w:tr2bl w:val="nil"/>
                  </w:tcBorders>
                  <w:shd w:val="clear" w:color="auto" w:fill="auto"/>
                  <w:vAlign w:val="center"/>
                </w:tcPr>
                <w:p w14:paraId="4139794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5</w:t>
                  </w:r>
                  <w:r>
                    <w:rPr>
                      <w:rFonts w:hint="default" w:ascii="Times New Roman" w:hAnsi="Times New Roman" w:eastAsia="宋体" w:cs="Times New Roman"/>
                      <w:i w:val="0"/>
                      <w:iCs w:val="0"/>
                      <w:color w:val="auto"/>
                      <w:kern w:val="0"/>
                      <w:sz w:val="21"/>
                      <w:szCs w:val="21"/>
                      <w:u w:val="none" w:color="auto"/>
                      <w:lang w:val="en-US" w:eastAsia="zh-CN" w:bidi="ar"/>
                    </w:rPr>
                    <w:t xml:space="preserve"> 台</w:t>
                  </w:r>
                </w:p>
              </w:tc>
              <w:tc>
                <w:tcPr>
                  <w:tcW w:w="675" w:type="dxa"/>
                  <w:tcBorders>
                    <w:tl2br w:val="nil"/>
                    <w:tr2bl w:val="nil"/>
                  </w:tcBorders>
                  <w:shd w:val="clear" w:color="auto" w:fill="auto"/>
                  <w:vAlign w:val="center"/>
                </w:tcPr>
                <w:p w14:paraId="01F0FDA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36</w:t>
                  </w:r>
                </w:p>
              </w:tc>
              <w:tc>
                <w:tcPr>
                  <w:tcW w:w="1841" w:type="dxa"/>
                  <w:tcBorders>
                    <w:tl2br w:val="nil"/>
                    <w:tr2bl w:val="nil"/>
                  </w:tcBorders>
                  <w:shd w:val="clear" w:color="auto" w:fill="auto"/>
                  <w:vAlign w:val="center"/>
                </w:tcPr>
                <w:p w14:paraId="024B3F4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救护车</w:t>
                  </w:r>
                </w:p>
              </w:tc>
              <w:tc>
                <w:tcPr>
                  <w:tcW w:w="1370" w:type="dxa"/>
                  <w:tcBorders>
                    <w:tl2br w:val="nil"/>
                    <w:tr2bl w:val="nil"/>
                  </w:tcBorders>
                  <w:shd w:val="clear" w:color="auto" w:fill="auto"/>
                  <w:vAlign w:val="center"/>
                </w:tcPr>
                <w:p w14:paraId="448EA3C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w:t>
                  </w:r>
                  <w:r>
                    <w:rPr>
                      <w:rStyle w:val="47"/>
                      <w:rFonts w:hint="default" w:ascii="Times New Roman" w:hAnsi="Times New Roman" w:eastAsia="宋体" w:cs="Times New Roman"/>
                      <w:color w:val="auto"/>
                      <w:sz w:val="21"/>
                      <w:szCs w:val="21"/>
                      <w:u w:val="none" w:color="auto"/>
                      <w:lang w:val="en-US" w:eastAsia="zh-CN" w:bidi="ar"/>
                    </w:rPr>
                    <w:t xml:space="preserve"> </w:t>
                  </w:r>
                  <w:r>
                    <w:rPr>
                      <w:rFonts w:hint="default" w:ascii="Times New Roman" w:hAnsi="Times New Roman" w:eastAsia="宋体" w:cs="Times New Roman"/>
                      <w:i w:val="0"/>
                      <w:iCs w:val="0"/>
                      <w:color w:val="auto"/>
                      <w:kern w:val="0"/>
                      <w:sz w:val="21"/>
                      <w:szCs w:val="21"/>
                      <w:u w:val="none" w:color="auto"/>
                      <w:lang w:val="en-US" w:eastAsia="zh-CN" w:bidi="ar"/>
                    </w:rPr>
                    <w:t>辆</w:t>
                  </w:r>
                </w:p>
              </w:tc>
            </w:tr>
            <w:tr w14:paraId="04C0FC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27" w:hRule="atLeast"/>
                <w:jc w:val="center"/>
              </w:trPr>
              <w:tc>
                <w:tcPr>
                  <w:tcW w:w="646" w:type="dxa"/>
                  <w:tcBorders>
                    <w:tl2br w:val="nil"/>
                    <w:tr2bl w:val="nil"/>
                  </w:tcBorders>
                  <w:shd w:val="clear" w:color="auto" w:fill="auto"/>
                  <w:vAlign w:val="center"/>
                </w:tcPr>
                <w:p w14:paraId="2B4D155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lang w:val="en-US"/>
                    </w:rPr>
                  </w:pPr>
                  <w:r>
                    <w:rPr>
                      <w:rFonts w:hint="default" w:ascii="Times New Roman" w:hAnsi="Times New Roman" w:eastAsia="宋体" w:cs="Times New Roman"/>
                      <w:i w:val="0"/>
                      <w:iCs w:val="0"/>
                      <w:color w:val="auto"/>
                      <w:kern w:val="0"/>
                      <w:sz w:val="21"/>
                      <w:szCs w:val="21"/>
                      <w:u w:val="none" w:color="auto"/>
                      <w:lang w:val="en-US" w:eastAsia="zh-CN" w:bidi="ar"/>
                    </w:rPr>
                    <w:t>1</w:t>
                  </w:r>
                  <w:r>
                    <w:rPr>
                      <w:rFonts w:hint="eastAsia" w:cs="Times New Roman"/>
                      <w:i w:val="0"/>
                      <w:iCs w:val="0"/>
                      <w:color w:val="auto"/>
                      <w:kern w:val="0"/>
                      <w:sz w:val="21"/>
                      <w:szCs w:val="21"/>
                      <w:u w:val="none" w:color="auto"/>
                      <w:lang w:val="en-US" w:eastAsia="zh-CN" w:bidi="ar"/>
                    </w:rPr>
                    <w:t>8</w:t>
                  </w:r>
                </w:p>
              </w:tc>
              <w:tc>
                <w:tcPr>
                  <w:tcW w:w="2473" w:type="dxa"/>
                  <w:tcBorders>
                    <w:tl2br w:val="nil"/>
                    <w:tr2bl w:val="nil"/>
                  </w:tcBorders>
                  <w:shd w:val="clear" w:color="auto" w:fill="auto"/>
                  <w:vAlign w:val="center"/>
                </w:tcPr>
                <w:p w14:paraId="31EFBAE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高压灭菌锅</w:t>
                  </w:r>
                </w:p>
              </w:tc>
              <w:tc>
                <w:tcPr>
                  <w:tcW w:w="1215" w:type="dxa"/>
                  <w:tcBorders>
                    <w:tl2br w:val="nil"/>
                    <w:tr2bl w:val="nil"/>
                  </w:tcBorders>
                  <w:shd w:val="clear" w:color="auto" w:fill="auto"/>
                  <w:vAlign w:val="center"/>
                </w:tcPr>
                <w:p w14:paraId="28A5160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w:t>
                  </w:r>
                  <w:r>
                    <w:rPr>
                      <w:rStyle w:val="47"/>
                      <w:rFonts w:hint="default" w:ascii="Times New Roman" w:hAnsi="Times New Roman" w:eastAsia="宋体" w:cs="Times New Roman"/>
                      <w:color w:val="auto"/>
                      <w:sz w:val="21"/>
                      <w:szCs w:val="21"/>
                      <w:u w:val="none" w:color="auto"/>
                      <w:lang w:val="en-US" w:eastAsia="zh-CN" w:bidi="ar"/>
                    </w:rPr>
                    <w:t xml:space="preserve"> </w:t>
                  </w:r>
                  <w:r>
                    <w:rPr>
                      <w:rFonts w:hint="default" w:ascii="Times New Roman" w:hAnsi="Times New Roman" w:eastAsia="宋体" w:cs="Times New Roman"/>
                      <w:i w:val="0"/>
                      <w:iCs w:val="0"/>
                      <w:color w:val="auto"/>
                      <w:kern w:val="0"/>
                      <w:sz w:val="21"/>
                      <w:szCs w:val="21"/>
                      <w:u w:val="none" w:color="auto"/>
                      <w:lang w:val="en-US" w:eastAsia="zh-CN" w:bidi="ar"/>
                    </w:rPr>
                    <w:t>台</w:t>
                  </w:r>
                </w:p>
              </w:tc>
              <w:tc>
                <w:tcPr>
                  <w:tcW w:w="675" w:type="dxa"/>
                  <w:tcBorders>
                    <w:tl2br w:val="nil"/>
                    <w:tr2bl w:val="nil"/>
                  </w:tcBorders>
                  <w:shd w:val="clear" w:color="auto" w:fill="auto"/>
                  <w:vAlign w:val="center"/>
                </w:tcPr>
                <w:p w14:paraId="64C2713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37</w:t>
                  </w:r>
                </w:p>
              </w:tc>
              <w:tc>
                <w:tcPr>
                  <w:tcW w:w="1841" w:type="dxa"/>
                  <w:tcBorders>
                    <w:tl2br w:val="nil"/>
                    <w:tr2bl w:val="nil"/>
                  </w:tcBorders>
                  <w:shd w:val="clear" w:color="auto" w:fill="auto"/>
                  <w:vAlign w:val="center"/>
                </w:tcPr>
                <w:p w14:paraId="332A021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病床</w:t>
                  </w:r>
                </w:p>
              </w:tc>
              <w:tc>
                <w:tcPr>
                  <w:tcW w:w="1370" w:type="dxa"/>
                  <w:tcBorders>
                    <w:tl2br w:val="nil"/>
                    <w:tr2bl w:val="nil"/>
                  </w:tcBorders>
                  <w:shd w:val="clear" w:color="auto" w:fill="auto"/>
                  <w:vAlign w:val="center"/>
                </w:tcPr>
                <w:p w14:paraId="6058870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227张</w:t>
                  </w:r>
                </w:p>
              </w:tc>
            </w:tr>
            <w:tr w14:paraId="6DC2EB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646" w:type="dxa"/>
                  <w:tcBorders>
                    <w:tl2br w:val="nil"/>
                    <w:tr2bl w:val="nil"/>
                  </w:tcBorders>
                  <w:shd w:val="clear" w:color="auto" w:fill="auto"/>
                  <w:vAlign w:val="center"/>
                </w:tcPr>
                <w:p w14:paraId="6FA613F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cs="Times New Roman"/>
                      <w:i w:val="0"/>
                      <w:iCs w:val="0"/>
                      <w:color w:val="auto"/>
                      <w:sz w:val="21"/>
                      <w:szCs w:val="21"/>
                      <w:u w:val="none" w:color="auto"/>
                      <w:lang w:val="en-US" w:eastAsia="zh-CN"/>
                    </w:rPr>
                    <w:t>19</w:t>
                  </w:r>
                </w:p>
              </w:tc>
              <w:tc>
                <w:tcPr>
                  <w:tcW w:w="2473" w:type="dxa"/>
                  <w:tcBorders>
                    <w:tl2br w:val="nil"/>
                    <w:tr2bl w:val="nil"/>
                  </w:tcBorders>
                  <w:shd w:val="clear" w:color="auto" w:fill="auto"/>
                  <w:vAlign w:val="center"/>
                </w:tcPr>
                <w:p w14:paraId="710EC26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脑地形图仪</w:t>
                  </w:r>
                </w:p>
              </w:tc>
              <w:tc>
                <w:tcPr>
                  <w:tcW w:w="1215" w:type="dxa"/>
                  <w:tcBorders>
                    <w:tl2br w:val="nil"/>
                    <w:tr2bl w:val="nil"/>
                  </w:tcBorders>
                  <w:shd w:val="clear" w:color="auto" w:fill="auto"/>
                  <w:vAlign w:val="center"/>
                </w:tcPr>
                <w:p w14:paraId="5B69C7B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2</w:t>
                  </w:r>
                  <w:r>
                    <w:rPr>
                      <w:rFonts w:hint="default" w:ascii="Times New Roman" w:hAnsi="Times New Roman" w:eastAsia="宋体" w:cs="Times New Roman"/>
                      <w:i w:val="0"/>
                      <w:iCs w:val="0"/>
                      <w:color w:val="auto"/>
                      <w:kern w:val="0"/>
                      <w:sz w:val="21"/>
                      <w:szCs w:val="21"/>
                      <w:u w:val="none" w:color="auto"/>
                      <w:lang w:val="en-US" w:eastAsia="zh-CN" w:bidi="ar"/>
                    </w:rPr>
                    <w:t>台</w:t>
                  </w:r>
                </w:p>
              </w:tc>
              <w:tc>
                <w:tcPr>
                  <w:tcW w:w="675" w:type="dxa"/>
                  <w:tcBorders>
                    <w:tl2br w:val="nil"/>
                    <w:tr2bl w:val="nil"/>
                  </w:tcBorders>
                  <w:shd w:val="clear" w:color="auto" w:fill="auto"/>
                  <w:vAlign w:val="center"/>
                </w:tcPr>
                <w:p w14:paraId="19E409F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cs="Times New Roman"/>
                      <w:i w:val="0"/>
                      <w:iCs w:val="0"/>
                      <w:color w:val="auto"/>
                      <w:sz w:val="21"/>
                      <w:szCs w:val="21"/>
                      <w:u w:val="none" w:color="auto"/>
                      <w:lang w:val="en-US" w:eastAsia="zh-CN"/>
                    </w:rPr>
                    <w:t>38</w:t>
                  </w:r>
                </w:p>
              </w:tc>
              <w:tc>
                <w:tcPr>
                  <w:tcW w:w="1841" w:type="dxa"/>
                  <w:tcBorders>
                    <w:tl2br w:val="nil"/>
                    <w:tr2bl w:val="nil"/>
                  </w:tcBorders>
                  <w:shd w:val="clear" w:color="auto" w:fill="auto"/>
                  <w:vAlign w:val="center"/>
                </w:tcPr>
                <w:p w14:paraId="018B5D8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eastAsia" w:cs="Times New Roman"/>
                      <w:i w:val="0"/>
                      <w:iCs w:val="0"/>
                      <w:color w:val="auto"/>
                      <w:sz w:val="21"/>
                      <w:szCs w:val="21"/>
                      <w:u w:val="none" w:color="auto"/>
                      <w:lang w:val="en-US" w:eastAsia="zh-CN"/>
                    </w:rPr>
                    <w:t>煎药机（电）</w:t>
                  </w:r>
                </w:p>
              </w:tc>
              <w:tc>
                <w:tcPr>
                  <w:tcW w:w="1370" w:type="dxa"/>
                  <w:tcBorders>
                    <w:tl2br w:val="nil"/>
                    <w:tr2bl w:val="nil"/>
                  </w:tcBorders>
                  <w:shd w:val="clear" w:color="auto" w:fill="auto"/>
                  <w:vAlign w:val="center"/>
                </w:tcPr>
                <w:p w14:paraId="0BE9318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cs="Times New Roman"/>
                      <w:i w:val="0"/>
                      <w:iCs w:val="0"/>
                      <w:color w:val="auto"/>
                      <w:sz w:val="21"/>
                      <w:szCs w:val="21"/>
                      <w:u w:val="none" w:color="auto"/>
                      <w:lang w:val="en-US" w:eastAsia="zh-CN"/>
                    </w:rPr>
                    <w:t>2台</w:t>
                  </w:r>
                </w:p>
              </w:tc>
            </w:tr>
          </w:tbl>
          <w:p w14:paraId="0F238AC9">
            <w:pPr>
              <w:rPr>
                <w:color w:val="auto"/>
                <w:u w:val="none" w:color="auto"/>
              </w:rPr>
            </w:pPr>
          </w:p>
          <w:p w14:paraId="4782DDC0">
            <w:pPr>
              <w:numPr>
                <w:ilvl w:val="0"/>
                <w:numId w:val="4"/>
              </w:numPr>
              <w:spacing w:before="120" w:beforeLines="50"/>
              <w:ind w:left="902" w:firstLineChars="0"/>
              <w:rPr>
                <w:b/>
                <w:color w:val="auto"/>
                <w:szCs w:val="22"/>
                <w:u w:val="none" w:color="auto"/>
              </w:rPr>
            </w:pPr>
            <w:r>
              <w:rPr>
                <w:b/>
                <w:color w:val="auto"/>
                <w:szCs w:val="22"/>
                <w:u w:val="none" w:color="auto"/>
              </w:rPr>
              <w:t>生产班制及劳动定员</w:t>
            </w:r>
          </w:p>
          <w:p w14:paraId="7C778908">
            <w:pPr>
              <w:ind w:left="480" w:firstLine="0" w:firstLineChars="0"/>
              <w:rPr>
                <w:color w:val="auto"/>
                <w:szCs w:val="22"/>
                <w:u w:val="none" w:color="auto"/>
              </w:rPr>
            </w:pPr>
            <w:r>
              <w:rPr>
                <w:color w:val="auto"/>
                <w:szCs w:val="22"/>
                <w:u w:val="none" w:color="auto"/>
              </w:rPr>
              <w:t>工作制度：全年工作3</w:t>
            </w:r>
            <w:r>
              <w:rPr>
                <w:rFonts w:hint="eastAsia"/>
                <w:color w:val="auto"/>
                <w:szCs w:val="22"/>
                <w:u w:val="none" w:color="auto"/>
                <w:lang w:val="en-US" w:eastAsia="zh-CN"/>
              </w:rPr>
              <w:t>65</w:t>
            </w:r>
            <w:r>
              <w:rPr>
                <w:color w:val="auto"/>
                <w:szCs w:val="22"/>
                <w:u w:val="none" w:color="auto"/>
              </w:rPr>
              <w:t>天，一天</w:t>
            </w:r>
            <w:r>
              <w:rPr>
                <w:rFonts w:hint="eastAsia"/>
                <w:color w:val="auto"/>
                <w:szCs w:val="22"/>
                <w:u w:val="none" w:color="auto"/>
                <w:lang w:val="en-US" w:eastAsia="zh-CN"/>
              </w:rPr>
              <w:t>24</w:t>
            </w:r>
            <w:r>
              <w:rPr>
                <w:color w:val="auto"/>
                <w:szCs w:val="22"/>
                <w:u w:val="none" w:color="auto"/>
              </w:rPr>
              <w:t>小时，</w:t>
            </w:r>
            <w:r>
              <w:rPr>
                <w:rFonts w:hint="eastAsia"/>
                <w:color w:val="auto"/>
                <w:szCs w:val="22"/>
                <w:u w:val="none" w:color="auto"/>
                <w:lang w:val="en-US" w:eastAsia="zh-CN"/>
              </w:rPr>
              <w:t>三</w:t>
            </w:r>
            <w:r>
              <w:rPr>
                <w:color w:val="auto"/>
                <w:szCs w:val="22"/>
                <w:u w:val="none" w:color="auto"/>
              </w:rPr>
              <w:t>班制。</w:t>
            </w:r>
          </w:p>
          <w:p w14:paraId="7E9F1FEA">
            <w:pPr>
              <w:ind w:left="480" w:firstLine="0" w:firstLineChars="0"/>
              <w:rPr>
                <w:color w:val="auto"/>
                <w:szCs w:val="22"/>
                <w:u w:val="none" w:color="auto"/>
              </w:rPr>
            </w:pPr>
            <w:r>
              <w:rPr>
                <w:color w:val="auto"/>
                <w:szCs w:val="22"/>
                <w:u w:val="none" w:color="auto"/>
              </w:rPr>
              <w:t>劳动定员：</w:t>
            </w:r>
            <w:r>
              <w:rPr>
                <w:rFonts w:hint="eastAsia"/>
                <w:color w:val="auto"/>
                <w:szCs w:val="22"/>
                <w:u w:val="none" w:color="auto"/>
              </w:rPr>
              <w:t>项目劳动定员</w:t>
            </w:r>
            <w:r>
              <w:rPr>
                <w:rFonts w:hint="eastAsia"/>
                <w:color w:val="auto"/>
                <w:szCs w:val="22"/>
                <w:u w:val="none" w:color="auto"/>
                <w:lang w:val="en-US" w:eastAsia="zh-CN"/>
              </w:rPr>
              <w:t>110</w:t>
            </w:r>
            <w:r>
              <w:rPr>
                <w:rFonts w:hint="eastAsia"/>
                <w:color w:val="auto"/>
                <w:szCs w:val="22"/>
                <w:u w:val="none" w:color="auto"/>
              </w:rPr>
              <w:t>人，其中医务人员</w:t>
            </w:r>
            <w:r>
              <w:rPr>
                <w:rFonts w:hint="eastAsia"/>
                <w:color w:val="auto"/>
                <w:szCs w:val="22"/>
                <w:u w:val="none" w:color="auto"/>
                <w:lang w:val="en-US" w:eastAsia="zh-CN"/>
              </w:rPr>
              <w:t>95</w:t>
            </w:r>
            <w:r>
              <w:rPr>
                <w:rFonts w:hint="eastAsia"/>
                <w:color w:val="auto"/>
                <w:szCs w:val="22"/>
                <w:u w:val="none" w:color="auto"/>
              </w:rPr>
              <w:t>人，后勤</w:t>
            </w:r>
            <w:r>
              <w:rPr>
                <w:rFonts w:hint="eastAsia"/>
                <w:color w:val="auto"/>
                <w:szCs w:val="22"/>
                <w:u w:val="none" w:color="auto"/>
                <w:lang w:eastAsia="zh-CN"/>
              </w:rPr>
              <w:t>、</w:t>
            </w:r>
            <w:r>
              <w:rPr>
                <w:rFonts w:hint="eastAsia"/>
                <w:color w:val="auto"/>
                <w:szCs w:val="22"/>
                <w:u w:val="none" w:color="auto"/>
                <w:lang w:val="en-US" w:eastAsia="zh-CN"/>
              </w:rPr>
              <w:t>办公</w:t>
            </w:r>
            <w:r>
              <w:rPr>
                <w:rFonts w:hint="eastAsia"/>
                <w:color w:val="auto"/>
                <w:szCs w:val="22"/>
                <w:u w:val="none" w:color="auto"/>
              </w:rPr>
              <w:t>职工</w:t>
            </w:r>
            <w:r>
              <w:rPr>
                <w:rFonts w:hint="eastAsia"/>
                <w:color w:val="auto"/>
                <w:szCs w:val="22"/>
                <w:u w:val="none" w:color="auto"/>
                <w:lang w:val="en-US" w:eastAsia="zh-CN"/>
              </w:rPr>
              <w:t>15</w:t>
            </w:r>
            <w:r>
              <w:rPr>
                <w:rFonts w:hint="eastAsia"/>
                <w:color w:val="auto"/>
                <w:szCs w:val="22"/>
                <w:u w:val="none" w:color="auto"/>
              </w:rPr>
              <w:t>人</w:t>
            </w:r>
            <w:r>
              <w:rPr>
                <w:color w:val="auto"/>
                <w:szCs w:val="22"/>
                <w:u w:val="none" w:color="auto"/>
              </w:rPr>
              <w:t>。</w:t>
            </w:r>
          </w:p>
          <w:p w14:paraId="72AD24F3">
            <w:pPr>
              <w:pStyle w:val="10"/>
              <w:spacing w:before="156" w:beforeLines="50"/>
              <w:ind w:firstLine="482"/>
              <w:rPr>
                <w:rFonts w:hint="eastAsia" w:ascii="Times New Roman" w:hAnsi="Times New Roman" w:cs="Times New Roman"/>
                <w:color w:val="auto"/>
                <w:u w:val="none" w:color="auto"/>
              </w:rPr>
            </w:pPr>
            <w:r>
              <w:rPr>
                <w:rFonts w:hint="eastAsia" w:ascii="Times New Roman" w:hAnsi="Times New Roman" w:cs="Times New Roman"/>
                <w:color w:val="auto"/>
                <w:u w:val="none" w:color="auto"/>
              </w:rPr>
              <w:t>6、公用工程</w:t>
            </w:r>
          </w:p>
          <w:p w14:paraId="66ED5FA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olor w:val="auto"/>
                <w:sz w:val="24"/>
                <w:u w:val="none" w:color="auto"/>
              </w:rPr>
            </w:pPr>
            <w:r>
              <w:rPr>
                <w:rFonts w:hint="eastAsia"/>
                <w:color w:val="auto"/>
                <w:sz w:val="24"/>
                <w:u w:val="none" w:color="auto"/>
                <w:lang w:eastAsia="zh-CN"/>
              </w:rPr>
              <w:t>（</w:t>
            </w:r>
            <w:r>
              <w:rPr>
                <w:rFonts w:hint="eastAsia"/>
                <w:color w:val="auto"/>
                <w:sz w:val="24"/>
                <w:u w:val="none" w:color="auto"/>
                <w:lang w:val="en-US" w:eastAsia="zh-CN"/>
              </w:rPr>
              <w:t>1</w:t>
            </w:r>
            <w:r>
              <w:rPr>
                <w:rFonts w:hint="eastAsia"/>
                <w:color w:val="auto"/>
                <w:sz w:val="24"/>
                <w:u w:val="none" w:color="auto"/>
                <w:lang w:eastAsia="zh-CN"/>
              </w:rPr>
              <w:t>）</w:t>
            </w:r>
            <w:r>
              <w:rPr>
                <w:rFonts w:ascii="Times New Roman" w:hAnsi="宋体"/>
                <w:color w:val="auto"/>
                <w:sz w:val="24"/>
                <w:u w:val="none" w:color="auto"/>
              </w:rPr>
              <w:t>供电工程</w:t>
            </w:r>
          </w:p>
          <w:p w14:paraId="662C117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olor w:val="auto"/>
                <w:sz w:val="24"/>
                <w:u w:val="none" w:color="auto"/>
              </w:rPr>
            </w:pPr>
            <w:r>
              <w:rPr>
                <w:rFonts w:hint="eastAsia" w:ascii="Times New Roman" w:hAnsi="宋体"/>
                <w:color w:val="auto"/>
                <w:sz w:val="24"/>
                <w:u w:val="none" w:color="auto"/>
              </w:rPr>
              <w:t>项目用电量约</w:t>
            </w:r>
            <w:r>
              <w:rPr>
                <w:rFonts w:hint="eastAsia" w:hAnsi="宋体"/>
                <w:color w:val="auto"/>
                <w:sz w:val="24"/>
                <w:u w:val="none" w:color="auto"/>
                <w:lang w:val="en-US" w:eastAsia="zh-CN"/>
              </w:rPr>
              <w:t>150</w:t>
            </w:r>
            <w:r>
              <w:rPr>
                <w:rFonts w:hint="eastAsia" w:ascii="Times New Roman" w:hAnsi="宋体"/>
                <w:color w:val="auto"/>
                <w:sz w:val="24"/>
                <w:u w:val="none" w:color="auto"/>
              </w:rPr>
              <w:t>万Kwh</w:t>
            </w:r>
            <w:r>
              <w:rPr>
                <w:rFonts w:hint="eastAsia" w:hAnsi="宋体"/>
                <w:color w:val="auto"/>
                <w:sz w:val="24"/>
                <w:u w:val="none" w:color="auto"/>
                <w:lang w:val="en-US" w:eastAsia="zh-CN"/>
              </w:rPr>
              <w:t>/a</w:t>
            </w:r>
            <w:r>
              <w:rPr>
                <w:rFonts w:hint="eastAsia" w:ascii="Times New Roman" w:hAnsi="宋体"/>
                <w:color w:val="auto"/>
                <w:sz w:val="24"/>
                <w:u w:val="none" w:color="auto"/>
              </w:rPr>
              <w:t>，由市政供电。不设备用柴油发电机。</w:t>
            </w:r>
          </w:p>
          <w:p w14:paraId="457F91B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olor w:val="auto"/>
                <w:sz w:val="24"/>
                <w:u w:val="none" w:color="auto"/>
              </w:rPr>
            </w:pPr>
            <w:r>
              <w:rPr>
                <w:rFonts w:hint="eastAsia"/>
                <w:color w:val="auto"/>
                <w:sz w:val="24"/>
                <w:u w:val="none" w:color="auto"/>
                <w:lang w:eastAsia="zh-CN"/>
              </w:rPr>
              <w:t>（</w:t>
            </w:r>
            <w:r>
              <w:rPr>
                <w:rFonts w:hint="eastAsia"/>
                <w:color w:val="auto"/>
                <w:sz w:val="24"/>
                <w:u w:val="none" w:color="auto"/>
                <w:lang w:val="en-US" w:eastAsia="zh-CN"/>
              </w:rPr>
              <w:t>2</w:t>
            </w:r>
            <w:r>
              <w:rPr>
                <w:rFonts w:hint="eastAsia"/>
                <w:color w:val="auto"/>
                <w:sz w:val="24"/>
                <w:u w:val="none" w:color="auto"/>
                <w:lang w:eastAsia="zh-CN"/>
              </w:rPr>
              <w:t>）</w:t>
            </w:r>
            <w:r>
              <w:rPr>
                <w:rFonts w:ascii="Times New Roman" w:hAnsi="宋体"/>
                <w:color w:val="auto"/>
                <w:sz w:val="24"/>
                <w:u w:val="none" w:color="auto"/>
              </w:rPr>
              <w:t>热水系统</w:t>
            </w:r>
          </w:p>
          <w:p w14:paraId="0842431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olor w:val="auto"/>
                <w:sz w:val="24"/>
                <w:u w:val="none" w:color="auto"/>
              </w:rPr>
            </w:pPr>
            <w:r>
              <w:rPr>
                <w:rFonts w:ascii="Times New Roman" w:hAnsi="宋体"/>
                <w:color w:val="auto"/>
                <w:sz w:val="24"/>
                <w:u w:val="none" w:color="auto"/>
              </w:rPr>
              <w:t>医院内不设置燃煤、燃油锅炉，项目所用热水能源为空气能系统、电能。</w:t>
            </w:r>
          </w:p>
          <w:p w14:paraId="75BCEA7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olor w:val="auto"/>
                <w:sz w:val="24"/>
                <w:u w:val="none" w:color="auto"/>
              </w:rPr>
            </w:pPr>
            <w:r>
              <w:rPr>
                <w:rFonts w:hint="eastAsia"/>
                <w:color w:val="auto"/>
                <w:sz w:val="24"/>
                <w:u w:val="none" w:color="auto"/>
                <w:lang w:eastAsia="zh-CN"/>
              </w:rPr>
              <w:t>（</w:t>
            </w:r>
            <w:r>
              <w:rPr>
                <w:rFonts w:hint="eastAsia"/>
                <w:color w:val="auto"/>
                <w:sz w:val="24"/>
                <w:u w:val="none" w:color="auto"/>
                <w:lang w:val="en-US" w:eastAsia="zh-CN"/>
              </w:rPr>
              <w:t>3</w:t>
            </w:r>
            <w:r>
              <w:rPr>
                <w:rFonts w:hint="eastAsia"/>
                <w:color w:val="auto"/>
                <w:sz w:val="24"/>
                <w:u w:val="none" w:color="auto"/>
                <w:lang w:eastAsia="zh-CN"/>
              </w:rPr>
              <w:t>）</w:t>
            </w:r>
            <w:r>
              <w:rPr>
                <w:rFonts w:ascii="Times New Roman" w:hAnsi="宋体"/>
                <w:color w:val="auto"/>
                <w:sz w:val="24"/>
                <w:u w:val="none" w:color="auto"/>
              </w:rPr>
              <w:t>空调、通风系统</w:t>
            </w:r>
          </w:p>
          <w:p w14:paraId="44F2CB7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olor w:val="auto"/>
                <w:sz w:val="24"/>
                <w:u w:val="none" w:color="auto"/>
              </w:rPr>
            </w:pPr>
            <w:r>
              <w:rPr>
                <w:rFonts w:ascii="Times New Roman" w:hAnsi="宋体"/>
                <w:color w:val="auto"/>
                <w:sz w:val="24"/>
                <w:u w:val="none" w:color="auto"/>
              </w:rPr>
              <w:t>本项目不设中央空调系统，各科室、病房采用分体空调。</w:t>
            </w:r>
          </w:p>
          <w:p w14:paraId="53849FA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olor w:val="auto"/>
                <w:sz w:val="24"/>
                <w:u w:val="none" w:color="auto"/>
              </w:rPr>
            </w:pPr>
            <w:r>
              <w:rPr>
                <w:rFonts w:ascii="Times New Roman" w:hAnsi="宋体"/>
                <w:color w:val="auto"/>
                <w:sz w:val="24"/>
                <w:u w:val="none" w:color="auto"/>
              </w:rPr>
              <w:t>项目公共卫生间设置机械通风系统，</w:t>
            </w:r>
            <w:r>
              <w:rPr>
                <w:rFonts w:hint="eastAsia" w:ascii="Times New Roman" w:hAnsi="宋体"/>
                <w:color w:val="auto"/>
                <w:sz w:val="24"/>
                <w:u w:val="none" w:color="auto"/>
              </w:rPr>
              <w:t>病房为</w:t>
            </w:r>
            <w:r>
              <w:rPr>
                <w:rFonts w:ascii="Times New Roman" w:hAnsi="宋体"/>
                <w:color w:val="auto"/>
                <w:sz w:val="24"/>
                <w:u w:val="none" w:color="auto"/>
              </w:rPr>
              <w:t>自然通风。</w:t>
            </w:r>
          </w:p>
          <w:p w14:paraId="26BE437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olor w:val="auto"/>
                <w:sz w:val="24"/>
                <w:u w:val="none" w:color="auto"/>
              </w:rPr>
            </w:pPr>
            <w:r>
              <w:rPr>
                <w:rFonts w:hint="eastAsia"/>
                <w:color w:val="auto"/>
                <w:sz w:val="24"/>
                <w:u w:val="none" w:color="auto"/>
                <w:lang w:eastAsia="zh-CN"/>
              </w:rPr>
              <w:t>（</w:t>
            </w:r>
            <w:r>
              <w:rPr>
                <w:rFonts w:hint="eastAsia"/>
                <w:color w:val="auto"/>
                <w:sz w:val="24"/>
                <w:u w:val="none" w:color="auto"/>
                <w:lang w:val="en-US" w:eastAsia="zh-CN"/>
              </w:rPr>
              <w:t>4</w:t>
            </w:r>
            <w:r>
              <w:rPr>
                <w:rFonts w:hint="eastAsia"/>
                <w:color w:val="auto"/>
                <w:sz w:val="24"/>
                <w:u w:val="none" w:color="auto"/>
                <w:lang w:eastAsia="zh-CN"/>
              </w:rPr>
              <w:t>）</w:t>
            </w:r>
            <w:r>
              <w:rPr>
                <w:rFonts w:ascii="Times New Roman" w:hAnsi="宋体"/>
                <w:color w:val="auto"/>
                <w:sz w:val="24"/>
                <w:u w:val="none" w:color="auto"/>
              </w:rPr>
              <w:t>消毒方式</w:t>
            </w:r>
          </w:p>
          <w:p w14:paraId="3A9E444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olor w:val="auto"/>
                <w:sz w:val="24"/>
                <w:u w:val="none" w:color="auto"/>
              </w:rPr>
            </w:pPr>
            <w:r>
              <w:rPr>
                <w:rFonts w:ascii="Times New Roman" w:hAnsi="宋体"/>
                <w:color w:val="auto"/>
                <w:sz w:val="24"/>
                <w:u w:val="none" w:color="auto"/>
              </w:rPr>
              <w:t>医院内使用紫外线消毒，医疗器械消毒采用高温压力蒸汽</w:t>
            </w:r>
            <w:r>
              <w:rPr>
                <w:rFonts w:hint="eastAsia" w:ascii="Times New Roman" w:hAnsi="宋体"/>
                <w:color w:val="auto"/>
                <w:sz w:val="24"/>
                <w:u w:val="none" w:color="auto"/>
              </w:rPr>
              <w:t>（电能）</w:t>
            </w:r>
            <w:r>
              <w:rPr>
                <w:rFonts w:ascii="Times New Roman" w:hAnsi="宋体"/>
                <w:color w:val="auto"/>
                <w:sz w:val="24"/>
                <w:u w:val="none" w:color="auto"/>
              </w:rPr>
              <w:t>消毒，只有拖地时会用到少量</w:t>
            </w:r>
            <w:r>
              <w:rPr>
                <w:rFonts w:ascii="Times New Roman" w:hAnsi="Times New Roman"/>
                <w:color w:val="auto"/>
                <w:sz w:val="24"/>
                <w:u w:val="none" w:color="auto"/>
              </w:rPr>
              <w:t>84</w:t>
            </w:r>
            <w:r>
              <w:rPr>
                <w:rFonts w:ascii="Times New Roman" w:hAnsi="宋体"/>
                <w:color w:val="auto"/>
                <w:sz w:val="24"/>
                <w:u w:val="none" w:color="auto"/>
              </w:rPr>
              <w:t>消毒液对地板进行消毒。</w:t>
            </w:r>
            <w:r>
              <w:rPr>
                <w:rStyle w:val="48"/>
                <w:rFonts w:ascii="Times New Roman" w:hAnsi="Times New Roman" w:eastAsia="宋体" w:cs="Times New Roman"/>
                <w:b w:val="0"/>
                <w:color w:val="auto"/>
                <w:szCs w:val="24"/>
                <w:u w:val="none" w:color="auto"/>
                <w:lang w:eastAsia="zh-CN"/>
              </w:rPr>
              <w:t>84</w:t>
            </w:r>
            <w:r>
              <w:rPr>
                <w:rStyle w:val="48"/>
                <w:rFonts w:ascii="Times New Roman" w:hAnsi="宋体" w:eastAsia="宋体" w:cs="Times New Roman"/>
                <w:b w:val="0"/>
                <w:color w:val="auto"/>
                <w:szCs w:val="24"/>
                <w:u w:val="none" w:color="auto"/>
                <w:lang w:eastAsia="zh-CN"/>
              </w:rPr>
              <w:t>消毒液是一种以次氯酸钠为主的高效消毒剂，主要成分为次氯酸钠（</w:t>
            </w:r>
            <w:r>
              <w:rPr>
                <w:rStyle w:val="48"/>
                <w:rFonts w:ascii="Times New Roman" w:hAnsi="Times New Roman" w:eastAsia="宋体" w:cs="Times New Roman"/>
                <w:b w:val="0"/>
                <w:color w:val="auto"/>
                <w:szCs w:val="24"/>
                <w:u w:val="none" w:color="auto"/>
                <w:lang w:eastAsia="zh-CN"/>
              </w:rPr>
              <w:t>NaClO</w:t>
            </w:r>
            <w:r>
              <w:rPr>
                <w:rStyle w:val="48"/>
                <w:rFonts w:ascii="Times New Roman" w:hAnsi="宋体" w:eastAsia="宋体" w:cs="Times New Roman"/>
                <w:b w:val="0"/>
                <w:color w:val="auto"/>
                <w:szCs w:val="24"/>
                <w:u w:val="none" w:color="auto"/>
                <w:lang w:eastAsia="zh-CN"/>
              </w:rPr>
              <w:t>）。无色或淡黄色液体，有效氯含量</w:t>
            </w:r>
            <w:r>
              <w:rPr>
                <w:rStyle w:val="48"/>
                <w:rFonts w:hint="eastAsia" w:hAnsi="宋体" w:cs="Times New Roman"/>
                <w:b w:val="0"/>
                <w:color w:val="auto"/>
                <w:szCs w:val="24"/>
                <w:u w:val="none" w:color="auto"/>
                <w:lang w:eastAsia="zh-CN"/>
              </w:rPr>
              <w:t>5.5%～6.5%</w:t>
            </w:r>
            <w:r>
              <w:rPr>
                <w:rStyle w:val="48"/>
                <w:rFonts w:ascii="Times New Roman" w:hAnsi="宋体" w:eastAsia="宋体" w:cs="Times New Roman"/>
                <w:b w:val="0"/>
                <w:color w:val="auto"/>
                <w:szCs w:val="24"/>
                <w:u w:val="none" w:color="auto"/>
                <w:lang w:eastAsia="zh-CN"/>
              </w:rPr>
              <w:t>。</w:t>
            </w:r>
          </w:p>
          <w:p w14:paraId="10E1978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olor w:val="auto"/>
                <w:sz w:val="24"/>
                <w:u w:val="none" w:color="auto"/>
              </w:rPr>
            </w:pPr>
            <w:r>
              <w:rPr>
                <w:rFonts w:hint="eastAsia"/>
                <w:color w:val="auto"/>
                <w:sz w:val="24"/>
                <w:u w:val="none" w:color="auto"/>
                <w:lang w:eastAsia="zh-CN"/>
              </w:rPr>
              <w:t>（</w:t>
            </w:r>
            <w:r>
              <w:rPr>
                <w:rFonts w:hint="eastAsia"/>
                <w:color w:val="auto"/>
                <w:sz w:val="24"/>
                <w:u w:val="none" w:color="auto"/>
                <w:lang w:val="en-US" w:eastAsia="zh-CN"/>
              </w:rPr>
              <w:t>5</w:t>
            </w:r>
            <w:r>
              <w:rPr>
                <w:rFonts w:hint="eastAsia"/>
                <w:color w:val="auto"/>
                <w:sz w:val="24"/>
                <w:u w:val="none" w:color="auto"/>
                <w:lang w:eastAsia="zh-CN"/>
              </w:rPr>
              <w:t>）</w:t>
            </w:r>
            <w:r>
              <w:rPr>
                <w:rFonts w:ascii="Times New Roman" w:hAnsi="宋体"/>
                <w:color w:val="auto"/>
                <w:sz w:val="24"/>
                <w:u w:val="none" w:color="auto"/>
              </w:rPr>
              <w:t>医疗废物暂存室</w:t>
            </w:r>
          </w:p>
          <w:p w14:paraId="2F26338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olor w:val="auto"/>
                <w:sz w:val="24"/>
                <w:u w:val="none" w:color="auto"/>
              </w:rPr>
            </w:pPr>
            <w:r>
              <w:rPr>
                <w:rFonts w:hint="eastAsia" w:ascii="Times New Roman" w:hAnsi="宋体"/>
                <w:color w:val="auto"/>
                <w:sz w:val="24"/>
                <w:u w:val="none" w:color="auto"/>
              </w:rPr>
              <w:t>项目设有</w:t>
            </w:r>
            <w:r>
              <w:rPr>
                <w:rFonts w:ascii="Times New Roman" w:hAnsi="宋体"/>
                <w:color w:val="auto"/>
                <w:sz w:val="24"/>
                <w:u w:val="none" w:color="auto"/>
              </w:rPr>
              <w:t>医疗废物暂存室</w:t>
            </w:r>
            <w:r>
              <w:rPr>
                <w:rFonts w:hint="eastAsia" w:ascii="Times New Roman" w:hAnsi="宋体"/>
                <w:color w:val="auto"/>
                <w:sz w:val="24"/>
                <w:u w:val="none" w:color="auto"/>
              </w:rPr>
              <w:t>一处，</w:t>
            </w:r>
            <w:r>
              <w:rPr>
                <w:rFonts w:ascii="Times New Roman" w:hAnsi="宋体"/>
                <w:color w:val="auto"/>
                <w:sz w:val="24"/>
                <w:u w:val="none" w:color="auto"/>
              </w:rPr>
              <w:t>设于</w:t>
            </w:r>
            <w:r>
              <w:rPr>
                <w:rFonts w:hint="eastAsia" w:ascii="Times New Roman" w:hAnsi="宋体"/>
                <w:color w:val="auto"/>
                <w:sz w:val="24"/>
                <w:u w:val="none" w:color="auto"/>
              </w:rPr>
              <w:t>医院西面</w:t>
            </w:r>
            <w:r>
              <w:rPr>
                <w:rFonts w:ascii="Times New Roman" w:hAnsi="宋体"/>
                <w:color w:val="auto"/>
                <w:sz w:val="24"/>
                <w:u w:val="none" w:color="auto"/>
              </w:rPr>
              <w:t>，</w:t>
            </w:r>
            <w:r>
              <w:rPr>
                <w:rFonts w:hint="eastAsia" w:ascii="Times New Roman" w:hAnsi="宋体"/>
                <w:color w:val="auto"/>
                <w:sz w:val="24"/>
                <w:u w:val="none" w:color="auto"/>
              </w:rPr>
              <w:t>将</w:t>
            </w:r>
            <w:r>
              <w:rPr>
                <w:rFonts w:ascii="Times New Roman" w:hAnsi="宋体"/>
                <w:color w:val="auto"/>
                <w:sz w:val="24"/>
                <w:u w:val="none" w:color="auto"/>
              </w:rPr>
              <w:t>严格按照《医疗废物管理条例》和《医疗卫生机构医疗废物管理办法》等要求设置，地面</w:t>
            </w:r>
            <w:r>
              <w:rPr>
                <w:rFonts w:hint="eastAsia" w:hAnsi="宋体"/>
                <w:color w:val="auto"/>
                <w:sz w:val="24"/>
                <w:u w:val="none" w:color="auto"/>
                <w:lang w:val="en-US" w:eastAsia="zh-CN"/>
              </w:rPr>
              <w:t>设置防渗层</w:t>
            </w:r>
            <w:r>
              <w:rPr>
                <w:rFonts w:ascii="Times New Roman" w:hAnsi="宋体"/>
                <w:color w:val="auto"/>
                <w:sz w:val="24"/>
                <w:u w:val="none" w:color="auto"/>
              </w:rPr>
              <w:t>，具有防渗、防晒、防雨和防风功能和措施。</w:t>
            </w:r>
          </w:p>
          <w:p w14:paraId="68B7D2C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olor w:val="auto"/>
                <w:sz w:val="24"/>
                <w:u w:val="none" w:color="auto"/>
              </w:rPr>
            </w:pPr>
            <w:r>
              <w:rPr>
                <w:rFonts w:hint="eastAsia"/>
                <w:color w:val="auto"/>
                <w:sz w:val="24"/>
                <w:u w:val="none" w:color="auto"/>
                <w:lang w:eastAsia="zh-CN"/>
              </w:rPr>
              <w:t>（</w:t>
            </w:r>
            <w:r>
              <w:rPr>
                <w:rFonts w:hint="eastAsia"/>
                <w:color w:val="auto"/>
                <w:sz w:val="24"/>
                <w:u w:val="none" w:color="auto"/>
                <w:lang w:val="en-US" w:eastAsia="zh-CN"/>
              </w:rPr>
              <w:t>6</w:t>
            </w:r>
            <w:r>
              <w:rPr>
                <w:rFonts w:hint="eastAsia"/>
                <w:color w:val="auto"/>
                <w:sz w:val="24"/>
                <w:u w:val="none" w:color="auto"/>
                <w:lang w:eastAsia="zh-CN"/>
              </w:rPr>
              <w:t>）</w:t>
            </w:r>
            <w:r>
              <w:rPr>
                <w:rFonts w:ascii="Times New Roman" w:hAnsi="宋体"/>
                <w:color w:val="auto"/>
                <w:sz w:val="24"/>
                <w:u w:val="none" w:color="auto"/>
              </w:rPr>
              <w:t>生活垃圾收集点</w:t>
            </w:r>
          </w:p>
          <w:p w14:paraId="3DC5090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olor w:val="auto"/>
                <w:sz w:val="24"/>
                <w:u w:val="none" w:color="auto"/>
              </w:rPr>
            </w:pPr>
            <w:r>
              <w:rPr>
                <w:rFonts w:hint="eastAsia" w:hAnsi="宋体"/>
                <w:color w:val="auto"/>
                <w:sz w:val="24"/>
                <w:u w:val="none" w:color="auto"/>
                <w:lang w:val="en-US" w:eastAsia="zh-CN"/>
              </w:rPr>
              <w:t>项目</w:t>
            </w:r>
            <w:r>
              <w:rPr>
                <w:rFonts w:hint="eastAsia" w:ascii="Times New Roman" w:hAnsi="宋体"/>
                <w:color w:val="auto"/>
                <w:sz w:val="24"/>
                <w:u w:val="none" w:color="auto"/>
                <w:lang w:val="zh-CN"/>
              </w:rPr>
              <w:t>不同楼层设置生活垃圾收集</w:t>
            </w:r>
            <w:r>
              <w:rPr>
                <w:rFonts w:hint="eastAsia" w:hAnsi="宋体"/>
                <w:color w:val="auto"/>
                <w:sz w:val="24"/>
                <w:u w:val="none" w:color="auto"/>
                <w:lang w:val="en-US" w:eastAsia="zh-CN"/>
              </w:rPr>
              <w:t>桶</w:t>
            </w:r>
            <w:r>
              <w:rPr>
                <w:rFonts w:hint="eastAsia" w:ascii="Times New Roman" w:hAnsi="宋体"/>
                <w:color w:val="auto"/>
                <w:sz w:val="24"/>
                <w:u w:val="none" w:color="auto"/>
                <w:lang w:val="zh-CN"/>
              </w:rPr>
              <w:t>若干，加盖，</w:t>
            </w:r>
            <w:r>
              <w:rPr>
                <w:rFonts w:ascii="Times New Roman" w:hAnsi="宋体"/>
                <w:color w:val="auto"/>
                <w:sz w:val="24"/>
                <w:u w:val="none" w:color="auto"/>
              </w:rPr>
              <w:t>垃圾桶所在位置地表进行硬化处理</w:t>
            </w:r>
            <w:r>
              <w:rPr>
                <w:rFonts w:hint="eastAsia" w:hAnsi="宋体"/>
                <w:color w:val="auto"/>
                <w:sz w:val="24"/>
                <w:u w:val="none" w:color="auto"/>
                <w:lang w:eastAsia="zh-CN"/>
              </w:rPr>
              <w:t>，</w:t>
            </w:r>
            <w:r>
              <w:rPr>
                <w:rFonts w:hint="eastAsia" w:ascii="Times New Roman" w:hAnsi="宋体"/>
                <w:color w:val="auto"/>
                <w:sz w:val="24"/>
                <w:u w:val="none" w:color="auto"/>
                <w:lang w:val="zh-CN"/>
              </w:rPr>
              <w:t>集中收集后交给环卫部门处理</w:t>
            </w:r>
            <w:r>
              <w:rPr>
                <w:rFonts w:ascii="Times New Roman" w:hAnsi="宋体"/>
                <w:color w:val="auto"/>
                <w:sz w:val="24"/>
                <w:u w:val="none" w:color="auto"/>
              </w:rPr>
              <w:t>。</w:t>
            </w:r>
          </w:p>
          <w:p w14:paraId="0DB12DB1">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firstLine="480" w:firstLineChars="200"/>
              <w:textAlignment w:val="auto"/>
              <w:rPr>
                <w:rFonts w:ascii="Times New Roman" w:hAnsi="宋体"/>
                <w:color w:val="auto"/>
                <w:sz w:val="24"/>
                <w:u w:val="none" w:color="auto"/>
              </w:rPr>
            </w:pPr>
            <w:r>
              <w:rPr>
                <w:rFonts w:ascii="Times New Roman" w:hAnsi="宋体"/>
                <w:color w:val="auto"/>
                <w:sz w:val="24"/>
                <w:u w:val="none" w:color="auto"/>
              </w:rPr>
              <w:t>食堂：项目</w:t>
            </w:r>
            <w:r>
              <w:rPr>
                <w:rFonts w:ascii="Times New Roman" w:hAnsi="宋体"/>
                <w:color w:val="auto"/>
                <w:sz w:val="24"/>
                <w:highlight w:val="none"/>
                <w:u w:val="none" w:color="auto"/>
              </w:rPr>
              <w:t>食堂设置</w:t>
            </w:r>
            <w:r>
              <w:rPr>
                <w:rFonts w:hint="eastAsia" w:hAnsi="宋体"/>
                <w:color w:val="auto"/>
                <w:sz w:val="24"/>
                <w:highlight w:val="none"/>
                <w:u w:val="none" w:color="auto"/>
                <w:lang w:val="en-US" w:eastAsia="zh-CN"/>
              </w:rPr>
              <w:t>东北角</w:t>
            </w:r>
            <w:r>
              <w:rPr>
                <w:rFonts w:ascii="Times New Roman" w:hAnsi="宋体"/>
                <w:color w:val="auto"/>
                <w:sz w:val="24"/>
                <w:highlight w:val="none"/>
                <w:u w:val="none" w:color="auto"/>
              </w:rPr>
              <w:t>，</w:t>
            </w:r>
            <w:r>
              <w:rPr>
                <w:rFonts w:hint="eastAsia" w:ascii="Times New Roman" w:hAnsi="宋体"/>
                <w:color w:val="auto"/>
                <w:sz w:val="24"/>
                <w:u w:val="none" w:color="auto"/>
              </w:rPr>
              <w:t>一日供应三餐，</w:t>
            </w:r>
            <w:r>
              <w:rPr>
                <w:rFonts w:ascii="Times New Roman" w:hAnsi="宋体"/>
                <w:color w:val="auto"/>
                <w:sz w:val="24"/>
                <w:u w:val="none" w:color="auto"/>
              </w:rPr>
              <w:t>设计供应人数约</w:t>
            </w:r>
            <w:r>
              <w:rPr>
                <w:rFonts w:hint="eastAsia"/>
                <w:color w:val="auto"/>
                <w:sz w:val="24"/>
                <w:u w:val="none" w:color="auto"/>
                <w:lang w:val="en-US" w:eastAsia="zh-CN"/>
              </w:rPr>
              <w:t>1200</w:t>
            </w:r>
            <w:r>
              <w:rPr>
                <w:rFonts w:ascii="Times New Roman" w:hAnsi="宋体"/>
                <w:color w:val="auto"/>
                <w:sz w:val="24"/>
                <w:u w:val="none" w:color="auto"/>
              </w:rPr>
              <w:t>人次</w:t>
            </w:r>
            <w:r>
              <w:rPr>
                <w:rFonts w:ascii="Times New Roman" w:hAnsi="Times New Roman"/>
                <w:color w:val="auto"/>
                <w:sz w:val="24"/>
                <w:u w:val="none" w:color="auto"/>
              </w:rPr>
              <w:t>/</w:t>
            </w:r>
            <w:r>
              <w:rPr>
                <w:rFonts w:ascii="Times New Roman" w:hAnsi="宋体"/>
                <w:color w:val="auto"/>
                <w:sz w:val="24"/>
                <w:u w:val="none" w:color="auto"/>
              </w:rPr>
              <w:t>天</w:t>
            </w:r>
            <w:r>
              <w:rPr>
                <w:rFonts w:hint="eastAsia" w:ascii="Times New Roman" w:hAnsi="宋体"/>
                <w:color w:val="auto"/>
                <w:sz w:val="24"/>
                <w:u w:val="none" w:color="auto"/>
              </w:rPr>
              <w:t>，使用液化石油气</w:t>
            </w:r>
            <w:r>
              <w:rPr>
                <w:rFonts w:ascii="Times New Roman" w:hAnsi="宋体"/>
                <w:color w:val="auto"/>
                <w:sz w:val="24"/>
                <w:u w:val="none" w:color="auto"/>
              </w:rPr>
              <w:t>。</w:t>
            </w:r>
          </w:p>
          <w:p w14:paraId="0A2E69B9">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firstLine="480" w:firstLineChars="200"/>
              <w:textAlignment w:val="auto"/>
              <w:rPr>
                <w:rFonts w:ascii="Times New Roman" w:hAnsi="宋体"/>
                <w:color w:val="auto"/>
                <w:sz w:val="24"/>
                <w:u w:val="none" w:color="auto"/>
              </w:rPr>
            </w:pPr>
            <w:r>
              <w:rPr>
                <w:rFonts w:hint="eastAsia" w:hAnsi="宋体"/>
                <w:color w:val="auto"/>
                <w:sz w:val="24"/>
                <w:u w:val="none" w:color="auto"/>
                <w:lang w:val="en-US" w:eastAsia="zh-CN"/>
              </w:rPr>
              <w:t>煎药：根据建设方提供的资料，项目根据病人需要开设中药代煎服务，采用外购清洁中药饮片、药材等，为电加热自动煎药机，</w:t>
            </w:r>
          </w:p>
          <w:p w14:paraId="12D81AE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olor w:val="auto"/>
                <w:sz w:val="24"/>
                <w:u w:val="none" w:color="auto"/>
              </w:rPr>
            </w:pPr>
            <w:r>
              <w:rPr>
                <w:rFonts w:hint="eastAsia"/>
                <w:color w:val="auto"/>
                <w:sz w:val="24"/>
                <w:u w:val="none" w:color="auto"/>
                <w:lang w:eastAsia="zh-CN"/>
              </w:rPr>
              <w:t>（</w:t>
            </w:r>
            <w:r>
              <w:rPr>
                <w:rFonts w:hint="eastAsia"/>
                <w:color w:val="auto"/>
                <w:sz w:val="24"/>
                <w:u w:val="none" w:color="auto"/>
                <w:lang w:val="en-US" w:eastAsia="zh-CN"/>
              </w:rPr>
              <w:t>8</w:t>
            </w:r>
            <w:r>
              <w:rPr>
                <w:rFonts w:hint="eastAsia"/>
                <w:color w:val="auto"/>
                <w:sz w:val="24"/>
                <w:u w:val="none" w:color="auto"/>
                <w:lang w:eastAsia="zh-CN"/>
              </w:rPr>
              <w:t>）</w:t>
            </w:r>
            <w:r>
              <w:rPr>
                <w:rFonts w:ascii="Times New Roman" w:hAnsi="宋体"/>
                <w:color w:val="auto"/>
                <w:sz w:val="24"/>
                <w:u w:val="none" w:color="auto"/>
              </w:rPr>
              <w:t>给排水</w:t>
            </w:r>
          </w:p>
          <w:p w14:paraId="49547F4D">
            <w:pPr>
              <w:keepNext w:val="0"/>
              <w:keepLines w:val="0"/>
              <w:pageBreakBefore w:val="0"/>
              <w:widowControl w:val="0"/>
              <w:tabs>
                <w:tab w:val="left" w:pos="624"/>
              </w:tabs>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olor w:val="auto"/>
                <w:sz w:val="24"/>
                <w:szCs w:val="24"/>
                <w:u w:val="none" w:color="auto"/>
                <w:lang w:val="en-US" w:eastAsia="zh-CN"/>
              </w:rPr>
            </w:pPr>
            <w:r>
              <w:rPr>
                <w:rFonts w:hint="eastAsia" w:ascii="宋体" w:hAnsi="宋体"/>
                <w:color w:val="auto"/>
                <w:sz w:val="24"/>
                <w:szCs w:val="24"/>
                <w:u w:val="none" w:color="auto"/>
                <w:lang w:val="en-US" w:eastAsia="zh-CN"/>
              </w:rPr>
              <w:t>①用水</w:t>
            </w:r>
          </w:p>
          <w:p w14:paraId="6A1CB306">
            <w:pPr>
              <w:keepNext w:val="0"/>
              <w:keepLines w:val="0"/>
              <w:pageBreakBefore w:val="0"/>
              <w:widowControl w:val="0"/>
              <w:tabs>
                <w:tab w:val="left" w:pos="624"/>
              </w:tabs>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olor w:val="auto"/>
                <w:sz w:val="24"/>
                <w:szCs w:val="24"/>
                <w:u w:val="none" w:color="auto"/>
                <w:lang w:val="en-US" w:eastAsia="zh-CN"/>
              </w:rPr>
            </w:pPr>
            <w:r>
              <w:rPr>
                <w:rFonts w:hint="eastAsia" w:ascii="宋体" w:hAnsi="宋体" w:eastAsia="宋体"/>
                <w:color w:val="auto"/>
                <w:sz w:val="24"/>
                <w:szCs w:val="24"/>
                <w:u w:val="none" w:color="auto"/>
              </w:rPr>
              <w:t>项目用水为自来水，主要为病房用水、医院职工生活用水、食堂餐饮用水、洗衣房用水、门诊用水、特殊医疗用水</w:t>
            </w:r>
            <w:r>
              <w:rPr>
                <w:rFonts w:hint="eastAsia" w:ascii="宋体" w:hAnsi="宋体"/>
                <w:color w:val="auto"/>
                <w:sz w:val="24"/>
                <w:szCs w:val="24"/>
                <w:u w:val="none" w:color="auto"/>
                <w:lang w:val="en-US" w:eastAsia="zh-CN"/>
              </w:rPr>
              <w:t>等</w:t>
            </w:r>
            <w:r>
              <w:rPr>
                <w:rFonts w:hint="eastAsia" w:ascii="宋体" w:hAnsi="宋体" w:eastAsia="宋体"/>
                <w:color w:val="auto"/>
                <w:sz w:val="24"/>
                <w:szCs w:val="24"/>
                <w:u w:val="none" w:color="auto"/>
              </w:rPr>
              <w:t>。</w:t>
            </w:r>
            <w:r>
              <w:rPr>
                <w:rFonts w:hint="eastAsia" w:ascii="宋体" w:hAnsi="宋体"/>
                <w:color w:val="auto"/>
                <w:sz w:val="24"/>
                <w:szCs w:val="24"/>
                <w:u w:val="none" w:color="auto"/>
                <w:lang w:val="en-US" w:eastAsia="zh-CN"/>
              </w:rPr>
              <w:t>具体如下：</w:t>
            </w:r>
          </w:p>
          <w:p w14:paraId="25AD9CFC">
            <w:pPr>
              <w:keepNext w:val="0"/>
              <w:keepLines w:val="0"/>
              <w:pageBreakBefore w:val="0"/>
              <w:widowControl w:val="0"/>
              <w:tabs>
                <w:tab w:val="left" w:pos="624"/>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olor w:val="auto"/>
                <w:sz w:val="24"/>
                <w:szCs w:val="24"/>
                <w:u w:val="none" w:color="auto"/>
              </w:rPr>
            </w:pPr>
            <w:r>
              <w:rPr>
                <w:rFonts w:hint="eastAsia" w:ascii="宋体" w:hAnsi="宋体"/>
                <w:color w:val="auto"/>
                <w:sz w:val="24"/>
                <w:szCs w:val="24"/>
                <w:u w:val="none" w:color="auto"/>
                <w:lang w:val="en-US" w:eastAsia="zh-CN"/>
              </w:rPr>
              <w:t>A.</w:t>
            </w:r>
            <w:r>
              <w:rPr>
                <w:rFonts w:hint="eastAsia" w:ascii="宋体" w:hAnsi="宋体" w:eastAsia="宋体"/>
                <w:color w:val="auto"/>
                <w:sz w:val="24"/>
                <w:szCs w:val="24"/>
                <w:u w:val="none" w:color="auto"/>
              </w:rPr>
              <w:t>病房用水</w:t>
            </w:r>
          </w:p>
          <w:p w14:paraId="22D85DE8">
            <w:pPr>
              <w:keepNext w:val="0"/>
              <w:keepLines w:val="0"/>
              <w:pageBreakBefore w:val="0"/>
              <w:widowControl w:val="0"/>
              <w:tabs>
                <w:tab w:val="left" w:pos="624"/>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olor w:val="auto"/>
                <w:sz w:val="24"/>
                <w:szCs w:val="24"/>
                <w:u w:val="none" w:color="auto"/>
              </w:rPr>
            </w:pPr>
            <w:r>
              <w:rPr>
                <w:rFonts w:hint="eastAsia" w:ascii="宋体" w:hAnsi="宋体"/>
                <w:color w:val="auto"/>
                <w:sz w:val="24"/>
                <w:szCs w:val="24"/>
                <w:u w:val="none" w:color="auto"/>
                <w:lang w:val="en-US" w:eastAsia="zh-CN"/>
              </w:rPr>
              <w:t>项目病房均设在2号楼，</w:t>
            </w:r>
            <w:r>
              <w:rPr>
                <w:rFonts w:hint="eastAsia" w:ascii="宋体" w:hAnsi="宋体" w:eastAsia="宋体"/>
                <w:color w:val="auto"/>
                <w:sz w:val="24"/>
                <w:szCs w:val="24"/>
                <w:u w:val="none" w:color="auto"/>
              </w:rPr>
              <w:t>参考</w:t>
            </w:r>
            <w:r>
              <w:rPr>
                <w:rFonts w:hint="eastAsia" w:ascii="宋体" w:hAnsi="宋体"/>
                <w:color w:val="auto"/>
                <w:sz w:val="24"/>
                <w:szCs w:val="24"/>
                <w:u w:val="none" w:color="auto"/>
                <w:lang w:eastAsia="zh-CN"/>
              </w:rPr>
              <w:t>《综合医院建筑设计标准》（GB51039-2024）</w:t>
            </w:r>
            <w:r>
              <w:rPr>
                <w:rFonts w:hint="eastAsia" w:ascii="宋体" w:hAnsi="宋体" w:eastAsia="宋体"/>
                <w:color w:val="auto"/>
                <w:sz w:val="24"/>
                <w:szCs w:val="24"/>
                <w:u w:val="none" w:color="auto"/>
              </w:rPr>
              <w:t>，</w:t>
            </w:r>
            <w:r>
              <w:rPr>
                <w:rFonts w:hint="eastAsia" w:ascii="宋体" w:hAnsi="宋体"/>
                <w:color w:val="auto"/>
                <w:sz w:val="24"/>
                <w:szCs w:val="24"/>
                <w:u w:val="none" w:color="auto"/>
                <w:lang w:val="en-US" w:eastAsia="zh-CN"/>
              </w:rPr>
              <w:t>公共</w:t>
            </w:r>
            <w:r>
              <w:rPr>
                <w:rFonts w:hint="eastAsia" w:ascii="宋体" w:hAnsi="宋体" w:eastAsia="宋体"/>
                <w:color w:val="auto"/>
                <w:sz w:val="24"/>
                <w:szCs w:val="24"/>
                <w:u w:val="none" w:color="auto"/>
              </w:rPr>
              <w:t>浴室、卫生间、盥洗，病床用水定额按</w:t>
            </w:r>
            <w:r>
              <w:rPr>
                <w:rFonts w:hint="default" w:ascii="Times New Roman" w:hAnsi="Times New Roman" w:cs="Times New Roman"/>
                <w:color w:val="auto"/>
                <w:sz w:val="24"/>
                <w:szCs w:val="24"/>
                <w:u w:val="none" w:color="auto"/>
                <w:lang w:val="en-US" w:eastAsia="zh-CN"/>
              </w:rPr>
              <w:t>150~</w:t>
            </w:r>
            <w:r>
              <w:rPr>
                <w:rFonts w:hint="default" w:ascii="Times New Roman" w:hAnsi="Times New Roman" w:eastAsia="宋体" w:cs="Times New Roman"/>
                <w:color w:val="auto"/>
                <w:sz w:val="24"/>
                <w:szCs w:val="24"/>
                <w:u w:val="none" w:color="auto"/>
              </w:rPr>
              <w:t>250L/床·日计算</w:t>
            </w:r>
            <w:r>
              <w:rPr>
                <w:rFonts w:hint="eastAsia" w:ascii="宋体" w:hAnsi="宋体"/>
                <w:color w:val="auto"/>
                <w:sz w:val="24"/>
                <w:szCs w:val="24"/>
                <w:u w:val="none" w:color="auto"/>
                <w:lang w:eastAsia="zh-CN"/>
              </w:rPr>
              <w:t>，</w:t>
            </w:r>
            <w:r>
              <w:rPr>
                <w:rFonts w:hint="eastAsia" w:ascii="宋体" w:hAnsi="宋体"/>
                <w:color w:val="auto"/>
                <w:sz w:val="24"/>
                <w:szCs w:val="24"/>
                <w:u w:val="none" w:color="auto"/>
                <w:lang w:val="en-US" w:eastAsia="zh-CN"/>
              </w:rPr>
              <w:t>本评价按均值250</w:t>
            </w:r>
            <w:r>
              <w:rPr>
                <w:rFonts w:hint="default" w:ascii="Times New Roman" w:hAnsi="Times New Roman" w:eastAsia="宋体" w:cs="Times New Roman"/>
                <w:color w:val="auto"/>
                <w:sz w:val="24"/>
                <w:szCs w:val="24"/>
                <w:u w:val="none" w:color="auto"/>
              </w:rPr>
              <w:t>L/床·日</w:t>
            </w:r>
            <w:r>
              <w:rPr>
                <w:rFonts w:hint="eastAsia" w:ascii="宋体" w:hAnsi="宋体"/>
                <w:color w:val="auto"/>
                <w:sz w:val="24"/>
                <w:szCs w:val="24"/>
                <w:u w:val="none" w:color="auto"/>
                <w:lang w:val="en-US" w:eastAsia="zh-CN"/>
              </w:rPr>
              <w:t>计，</w:t>
            </w:r>
            <w:r>
              <w:rPr>
                <w:rFonts w:hint="eastAsia" w:ascii="宋体" w:hAnsi="宋体" w:eastAsia="宋体"/>
                <w:color w:val="auto"/>
                <w:sz w:val="24"/>
                <w:szCs w:val="24"/>
                <w:u w:val="none" w:color="auto"/>
              </w:rPr>
              <w:t>项目设有</w:t>
            </w:r>
            <w:r>
              <w:rPr>
                <w:rFonts w:hint="eastAsia" w:ascii="宋体" w:hAnsi="宋体"/>
                <w:color w:val="0000FF"/>
                <w:sz w:val="24"/>
                <w:szCs w:val="24"/>
                <w:u w:val="none" w:color="auto"/>
                <w:lang w:val="en-US" w:eastAsia="zh-CN"/>
              </w:rPr>
              <w:t>161</w:t>
            </w:r>
            <w:r>
              <w:rPr>
                <w:rFonts w:hint="eastAsia" w:ascii="宋体" w:hAnsi="宋体"/>
                <w:color w:val="auto"/>
                <w:sz w:val="24"/>
                <w:szCs w:val="24"/>
                <w:u w:val="none" w:color="auto"/>
                <w:lang w:val="en-US" w:eastAsia="zh-CN"/>
              </w:rPr>
              <w:t>张</w:t>
            </w:r>
            <w:r>
              <w:rPr>
                <w:rFonts w:hint="eastAsia" w:ascii="宋体" w:hAnsi="宋体" w:eastAsia="宋体"/>
                <w:color w:val="auto"/>
                <w:sz w:val="24"/>
                <w:szCs w:val="24"/>
                <w:u w:val="none" w:color="auto"/>
              </w:rPr>
              <w:t>床位，项目病人日用水量为</w:t>
            </w:r>
            <w:r>
              <w:rPr>
                <w:rFonts w:hint="eastAsia" w:ascii="宋体" w:hAnsi="宋体"/>
                <w:color w:val="0000FF"/>
                <w:sz w:val="24"/>
                <w:szCs w:val="24"/>
                <w:u w:val="none" w:color="auto"/>
                <w:lang w:val="en-US" w:eastAsia="zh-CN"/>
              </w:rPr>
              <w:t>40.250</w:t>
            </w:r>
            <w:r>
              <w:rPr>
                <w:rFonts w:hint="eastAsia" w:ascii="宋体" w:hAnsi="宋体" w:eastAsia="宋体"/>
                <w:color w:val="auto"/>
                <w:sz w:val="24"/>
                <w:szCs w:val="24"/>
                <w:u w:val="none" w:color="auto"/>
              </w:rPr>
              <w:t>m</w:t>
            </w:r>
            <w:r>
              <w:rPr>
                <w:rFonts w:hint="eastAsia" w:ascii="宋体" w:hAnsi="宋体" w:eastAsia="宋体"/>
                <w:color w:val="auto"/>
                <w:sz w:val="24"/>
                <w:szCs w:val="24"/>
                <w:u w:val="none" w:color="auto"/>
                <w:vertAlign w:val="superscript"/>
              </w:rPr>
              <w:t>3</w:t>
            </w:r>
            <w:r>
              <w:rPr>
                <w:rFonts w:hint="eastAsia" w:ascii="宋体" w:hAnsi="宋体" w:eastAsia="宋体"/>
                <w:color w:val="auto"/>
                <w:sz w:val="24"/>
                <w:szCs w:val="24"/>
                <w:u w:val="none" w:color="auto"/>
              </w:rPr>
              <w:t>，年用水量为</w:t>
            </w:r>
            <w:r>
              <w:rPr>
                <w:rFonts w:hint="eastAsia" w:ascii="宋体" w:hAnsi="宋体"/>
                <w:color w:val="0000FF"/>
                <w:sz w:val="24"/>
                <w:szCs w:val="24"/>
                <w:u w:val="none" w:color="auto"/>
                <w:lang w:val="en-US" w:eastAsia="zh-CN"/>
              </w:rPr>
              <w:t>14691.250</w:t>
            </w:r>
            <w:r>
              <w:rPr>
                <w:rFonts w:hint="eastAsia" w:ascii="宋体" w:hAnsi="宋体" w:eastAsia="宋体"/>
                <w:color w:val="auto"/>
                <w:sz w:val="24"/>
                <w:szCs w:val="24"/>
                <w:u w:val="none" w:color="auto"/>
              </w:rPr>
              <w:t>m</w:t>
            </w:r>
            <w:r>
              <w:rPr>
                <w:rFonts w:hint="eastAsia" w:ascii="宋体" w:hAnsi="宋体" w:eastAsia="宋体"/>
                <w:color w:val="auto"/>
                <w:sz w:val="24"/>
                <w:szCs w:val="24"/>
                <w:u w:val="none" w:color="auto"/>
                <w:vertAlign w:val="superscript"/>
              </w:rPr>
              <w:t>3</w:t>
            </w:r>
            <w:r>
              <w:rPr>
                <w:rFonts w:hint="eastAsia" w:ascii="宋体" w:hAnsi="宋体" w:eastAsia="宋体"/>
                <w:color w:val="auto"/>
                <w:sz w:val="24"/>
                <w:szCs w:val="24"/>
                <w:u w:val="none" w:color="auto"/>
              </w:rPr>
              <w:t>。排水量按用水量80%计，则排水量为</w:t>
            </w:r>
            <w:r>
              <w:rPr>
                <w:rFonts w:hint="eastAsia" w:ascii="宋体" w:hAnsi="宋体"/>
                <w:color w:val="0000FF"/>
                <w:sz w:val="24"/>
                <w:szCs w:val="24"/>
                <w:u w:val="none" w:color="auto"/>
                <w:lang w:val="en-US" w:eastAsia="zh-CN"/>
              </w:rPr>
              <w:t>32.200</w:t>
            </w:r>
            <w:r>
              <w:rPr>
                <w:rFonts w:hint="eastAsia" w:ascii="宋体" w:hAnsi="宋体" w:eastAsia="宋体"/>
                <w:color w:val="auto"/>
                <w:sz w:val="24"/>
                <w:szCs w:val="24"/>
                <w:u w:val="none" w:color="auto"/>
              </w:rPr>
              <w:t>m</w:t>
            </w:r>
            <w:r>
              <w:rPr>
                <w:rFonts w:hint="eastAsia" w:ascii="宋体" w:hAnsi="宋体" w:eastAsia="宋体"/>
                <w:color w:val="auto"/>
                <w:sz w:val="24"/>
                <w:szCs w:val="24"/>
                <w:u w:val="none" w:color="auto"/>
                <w:vertAlign w:val="superscript"/>
              </w:rPr>
              <w:t>3</w:t>
            </w:r>
            <w:r>
              <w:rPr>
                <w:rFonts w:hint="eastAsia" w:ascii="宋体" w:hAnsi="宋体" w:eastAsia="宋体"/>
                <w:color w:val="auto"/>
                <w:sz w:val="24"/>
                <w:szCs w:val="24"/>
                <w:u w:val="none" w:color="auto"/>
              </w:rPr>
              <w:t>/d</w:t>
            </w:r>
            <w:r>
              <w:rPr>
                <w:rFonts w:hint="eastAsia" w:ascii="宋体" w:hAnsi="宋体"/>
                <w:color w:val="auto"/>
                <w:sz w:val="24"/>
                <w:szCs w:val="24"/>
                <w:u w:val="none" w:color="auto"/>
                <w:lang w:eastAsia="zh-CN"/>
              </w:rPr>
              <w:t>、</w:t>
            </w:r>
            <w:r>
              <w:rPr>
                <w:rFonts w:hint="eastAsia" w:ascii="宋体" w:hAnsi="宋体"/>
                <w:color w:val="0000FF"/>
                <w:sz w:val="24"/>
                <w:szCs w:val="24"/>
                <w:u w:val="none" w:color="auto"/>
                <w:lang w:val="en-US" w:eastAsia="zh-CN"/>
              </w:rPr>
              <w:t>11753.00</w:t>
            </w:r>
            <w:r>
              <w:rPr>
                <w:rFonts w:hint="eastAsia" w:ascii="宋体" w:hAnsi="宋体" w:eastAsia="宋体"/>
                <w:color w:val="auto"/>
                <w:sz w:val="24"/>
                <w:szCs w:val="24"/>
                <w:u w:val="none" w:color="auto"/>
              </w:rPr>
              <w:t>m</w:t>
            </w:r>
            <w:r>
              <w:rPr>
                <w:rFonts w:hint="eastAsia" w:ascii="宋体" w:hAnsi="宋体" w:eastAsia="宋体"/>
                <w:color w:val="auto"/>
                <w:sz w:val="24"/>
                <w:szCs w:val="24"/>
                <w:u w:val="none" w:color="auto"/>
                <w:vertAlign w:val="superscript"/>
              </w:rPr>
              <w:t>3</w:t>
            </w:r>
            <w:r>
              <w:rPr>
                <w:rFonts w:hint="eastAsia" w:ascii="宋体" w:hAnsi="宋体" w:eastAsia="宋体"/>
                <w:color w:val="auto"/>
                <w:sz w:val="24"/>
                <w:szCs w:val="24"/>
                <w:highlight w:val="none"/>
                <w:u w:val="none" w:color="auto"/>
              </w:rPr>
              <w:t>/a</w:t>
            </w:r>
            <w:r>
              <w:rPr>
                <w:rFonts w:hint="eastAsia" w:ascii="宋体" w:hAnsi="宋体"/>
                <w:color w:val="auto"/>
                <w:sz w:val="24"/>
                <w:szCs w:val="24"/>
                <w:highlight w:val="none"/>
                <w:u w:val="none" w:color="auto"/>
                <w:lang w:eastAsia="zh-CN"/>
              </w:rPr>
              <w:t>，</w:t>
            </w:r>
            <w:r>
              <w:rPr>
                <w:rFonts w:hint="eastAsia" w:ascii="宋体" w:hAnsi="宋体"/>
                <w:color w:val="auto"/>
                <w:sz w:val="24"/>
                <w:szCs w:val="24"/>
                <w:highlight w:val="none"/>
                <w:u w:val="none" w:color="auto"/>
                <w:lang w:val="en-US" w:eastAsia="zh-CN"/>
              </w:rPr>
              <w:t>为一般医疗废水，</w:t>
            </w:r>
            <w:r>
              <w:rPr>
                <w:rFonts w:hint="eastAsia" w:ascii="宋体" w:hAnsi="宋体" w:eastAsia="宋体"/>
                <w:color w:val="auto"/>
                <w:sz w:val="24"/>
                <w:szCs w:val="24"/>
                <w:highlight w:val="none"/>
                <w:u w:val="none" w:color="auto"/>
              </w:rPr>
              <w:t>病房废水</w:t>
            </w:r>
            <w:r>
              <w:rPr>
                <w:rFonts w:hint="eastAsia" w:ascii="宋体" w:hAnsi="宋体"/>
                <w:color w:val="auto"/>
                <w:sz w:val="24"/>
                <w:szCs w:val="24"/>
                <w:highlight w:val="none"/>
                <w:u w:val="none" w:color="auto"/>
                <w:lang w:val="en-US" w:eastAsia="zh-CN"/>
              </w:rPr>
              <w:t>汇入化粪池+地埋式污水</w:t>
            </w:r>
            <w:r>
              <w:rPr>
                <w:rFonts w:hint="eastAsia" w:ascii="宋体" w:hAnsi="宋体" w:eastAsia="宋体"/>
                <w:color w:val="auto"/>
                <w:sz w:val="24"/>
                <w:szCs w:val="24"/>
                <w:highlight w:val="none"/>
                <w:u w:val="none" w:color="auto"/>
              </w:rPr>
              <w:t>处理站处理</w:t>
            </w:r>
            <w:r>
              <w:rPr>
                <w:rFonts w:ascii="宋体" w:hAnsi="宋体"/>
                <w:color w:val="auto"/>
                <w:sz w:val="24"/>
                <w:highlight w:val="none"/>
                <w:u w:val="none" w:color="auto"/>
              </w:rPr>
              <w:t>。</w:t>
            </w:r>
          </w:p>
          <w:p w14:paraId="0705B391">
            <w:pPr>
              <w:keepNext w:val="0"/>
              <w:keepLines w:val="0"/>
              <w:pageBreakBefore w:val="0"/>
              <w:widowControl w:val="0"/>
              <w:tabs>
                <w:tab w:val="left" w:pos="624"/>
              </w:tabs>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olor w:val="auto"/>
                <w:sz w:val="24"/>
                <w:szCs w:val="24"/>
                <w:u w:val="none" w:color="auto"/>
                <w:lang w:val="en-US" w:eastAsia="zh-CN"/>
              </w:rPr>
            </w:pPr>
            <w:r>
              <w:rPr>
                <w:rFonts w:hint="eastAsia" w:ascii="宋体" w:hAnsi="宋体"/>
                <w:color w:val="auto"/>
                <w:sz w:val="24"/>
                <w:szCs w:val="24"/>
                <w:u w:val="none" w:color="auto"/>
                <w:lang w:val="en-US" w:eastAsia="zh-CN"/>
              </w:rPr>
              <w:t>B.</w:t>
            </w:r>
            <w:r>
              <w:rPr>
                <w:rFonts w:hint="eastAsia" w:ascii="宋体" w:hAnsi="宋体" w:eastAsia="宋体"/>
                <w:color w:val="auto"/>
                <w:sz w:val="24"/>
                <w:szCs w:val="24"/>
                <w:u w:val="none" w:color="auto"/>
              </w:rPr>
              <w:t>医院</w:t>
            </w:r>
            <w:r>
              <w:rPr>
                <w:rFonts w:hint="eastAsia" w:ascii="宋体" w:hAnsi="宋体"/>
                <w:color w:val="auto"/>
                <w:sz w:val="24"/>
                <w:szCs w:val="24"/>
                <w:u w:val="none" w:color="auto"/>
                <w:lang w:val="en-US" w:eastAsia="zh-CN"/>
              </w:rPr>
              <w:t>医护人员</w:t>
            </w:r>
            <w:r>
              <w:rPr>
                <w:rFonts w:hint="eastAsia" w:ascii="宋体" w:hAnsi="宋体" w:eastAsia="宋体"/>
                <w:color w:val="auto"/>
                <w:sz w:val="24"/>
                <w:szCs w:val="24"/>
                <w:u w:val="none" w:color="auto"/>
              </w:rPr>
              <w:t>用水</w:t>
            </w:r>
            <w:r>
              <w:rPr>
                <w:rFonts w:hint="eastAsia" w:ascii="宋体" w:hAnsi="宋体"/>
                <w:color w:val="auto"/>
                <w:sz w:val="24"/>
                <w:szCs w:val="24"/>
                <w:u w:val="none" w:color="auto"/>
                <w:lang w:eastAsia="zh-CN"/>
              </w:rPr>
              <w:t>、</w:t>
            </w:r>
            <w:r>
              <w:rPr>
                <w:rFonts w:hint="eastAsia" w:ascii="宋体" w:hAnsi="宋体"/>
                <w:color w:val="auto"/>
                <w:sz w:val="24"/>
                <w:szCs w:val="24"/>
                <w:u w:val="none" w:color="auto"/>
                <w:lang w:val="en-US" w:eastAsia="zh-CN"/>
              </w:rPr>
              <w:t>排水</w:t>
            </w:r>
          </w:p>
          <w:p w14:paraId="12823664">
            <w:pPr>
              <w:keepNext w:val="0"/>
              <w:keepLines w:val="0"/>
              <w:pageBreakBefore w:val="0"/>
              <w:widowControl w:val="0"/>
              <w:tabs>
                <w:tab w:val="left" w:pos="624"/>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olor w:val="auto"/>
                <w:sz w:val="24"/>
                <w:szCs w:val="24"/>
                <w:u w:val="none" w:color="auto"/>
              </w:rPr>
            </w:pPr>
            <w:r>
              <w:rPr>
                <w:rFonts w:hint="eastAsia" w:ascii="宋体" w:hAnsi="宋体" w:eastAsia="宋体"/>
                <w:color w:val="auto"/>
                <w:sz w:val="24"/>
                <w:szCs w:val="24"/>
                <w:u w:val="none" w:color="auto"/>
              </w:rPr>
              <w:t>参考</w:t>
            </w:r>
            <w:r>
              <w:rPr>
                <w:rFonts w:hint="eastAsia" w:ascii="宋体" w:hAnsi="宋体"/>
                <w:color w:val="auto"/>
                <w:sz w:val="24"/>
                <w:szCs w:val="24"/>
                <w:u w:val="none" w:color="auto"/>
                <w:lang w:eastAsia="zh-CN"/>
              </w:rPr>
              <w:t>《综合医院建筑设计标准》（GB51039-2024）</w:t>
            </w:r>
            <w:r>
              <w:rPr>
                <w:rFonts w:hint="eastAsia" w:ascii="宋体" w:hAnsi="宋体" w:eastAsia="宋体"/>
                <w:color w:val="auto"/>
                <w:sz w:val="24"/>
                <w:szCs w:val="24"/>
                <w:u w:val="none" w:color="auto"/>
              </w:rPr>
              <w:t>，医务人员用水定额为150</w:t>
            </w:r>
            <w:r>
              <w:rPr>
                <w:rFonts w:hint="eastAsia" w:ascii="宋体" w:hAnsi="宋体"/>
                <w:color w:val="auto"/>
                <w:sz w:val="24"/>
                <w:szCs w:val="24"/>
                <w:u w:val="none" w:color="auto"/>
                <w:lang w:eastAsia="zh-CN"/>
              </w:rPr>
              <w:t>～</w:t>
            </w:r>
            <w:r>
              <w:rPr>
                <w:rFonts w:hint="eastAsia" w:ascii="宋体" w:hAnsi="宋体" w:eastAsia="宋体"/>
                <w:color w:val="auto"/>
                <w:sz w:val="24"/>
                <w:szCs w:val="24"/>
                <w:u w:val="none" w:color="auto"/>
              </w:rPr>
              <w:t>250L/人·班</w:t>
            </w:r>
            <w:r>
              <w:rPr>
                <w:rFonts w:hint="eastAsia" w:ascii="宋体" w:hAnsi="宋体"/>
                <w:color w:val="auto"/>
                <w:sz w:val="24"/>
                <w:szCs w:val="24"/>
                <w:u w:val="none" w:color="auto"/>
                <w:lang w:eastAsia="zh-CN"/>
              </w:rPr>
              <w:t>（</w:t>
            </w:r>
            <w:r>
              <w:rPr>
                <w:rFonts w:hint="eastAsia" w:ascii="宋体" w:hAnsi="宋体"/>
                <w:color w:val="auto"/>
                <w:sz w:val="24"/>
                <w:szCs w:val="24"/>
                <w:u w:val="none" w:color="auto"/>
                <w:lang w:val="en-US" w:eastAsia="zh-CN"/>
              </w:rPr>
              <w:t>含在岗办公期间的各项用水</w:t>
            </w:r>
            <w:r>
              <w:rPr>
                <w:rFonts w:hint="eastAsia" w:ascii="宋体" w:hAnsi="宋体"/>
                <w:color w:val="auto"/>
                <w:sz w:val="24"/>
                <w:szCs w:val="24"/>
                <w:u w:val="none" w:color="auto"/>
                <w:lang w:eastAsia="zh-CN"/>
              </w:rPr>
              <w:t>）</w:t>
            </w:r>
            <w:r>
              <w:rPr>
                <w:rFonts w:hint="eastAsia" w:ascii="宋体" w:hAnsi="宋体" w:eastAsia="宋体"/>
                <w:color w:val="auto"/>
                <w:sz w:val="24"/>
                <w:szCs w:val="24"/>
                <w:u w:val="none" w:color="auto"/>
              </w:rPr>
              <w:t>，本评价按</w:t>
            </w:r>
            <w:r>
              <w:rPr>
                <w:rFonts w:hint="eastAsia" w:ascii="宋体" w:hAnsi="宋体"/>
                <w:color w:val="auto"/>
                <w:sz w:val="24"/>
                <w:szCs w:val="24"/>
                <w:u w:val="none" w:color="auto"/>
                <w:lang w:val="en-US" w:eastAsia="zh-CN"/>
              </w:rPr>
              <w:t>200</w:t>
            </w:r>
            <w:r>
              <w:rPr>
                <w:rFonts w:hint="eastAsia" w:ascii="宋体" w:hAnsi="宋体" w:eastAsia="宋体"/>
                <w:color w:val="auto"/>
                <w:sz w:val="24"/>
                <w:szCs w:val="24"/>
                <w:u w:val="none" w:color="auto"/>
              </w:rPr>
              <w:t xml:space="preserve">L/人·班计，年工作365 </w:t>
            </w:r>
            <w:r>
              <w:rPr>
                <w:rFonts w:hint="eastAsia" w:ascii="宋体" w:hAnsi="宋体" w:eastAsia="宋体"/>
                <w:color w:val="auto"/>
                <w:sz w:val="24"/>
                <w:szCs w:val="24"/>
                <w:highlight w:val="none"/>
                <w:u w:val="none" w:color="auto"/>
              </w:rPr>
              <w:t>天计，则项目医务人员日用水量为</w:t>
            </w:r>
            <w:r>
              <w:rPr>
                <w:rFonts w:hint="eastAsia" w:ascii="宋体" w:hAnsi="宋体"/>
                <w:color w:val="auto"/>
                <w:sz w:val="24"/>
                <w:szCs w:val="24"/>
                <w:highlight w:val="none"/>
                <w:u w:val="none" w:color="auto"/>
                <w:lang w:val="en-US" w:eastAsia="zh-CN"/>
              </w:rPr>
              <w:t>19.00</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宋体" w:hAnsi="宋体" w:eastAsia="宋体"/>
                <w:color w:val="auto"/>
                <w:sz w:val="24"/>
                <w:szCs w:val="24"/>
                <w:highlight w:val="none"/>
                <w:u w:val="none" w:color="auto"/>
              </w:rPr>
              <w:t>，年用水量约为</w:t>
            </w:r>
            <w:r>
              <w:rPr>
                <w:rFonts w:hint="eastAsia" w:ascii="宋体" w:hAnsi="宋体"/>
                <w:color w:val="auto"/>
                <w:sz w:val="24"/>
                <w:szCs w:val="24"/>
                <w:highlight w:val="none"/>
                <w:u w:val="none" w:color="auto"/>
                <w:lang w:val="en-US" w:eastAsia="zh-CN"/>
              </w:rPr>
              <w:t>6935.00</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宋体" w:hAnsi="宋体" w:eastAsia="宋体"/>
                <w:color w:val="auto"/>
                <w:sz w:val="24"/>
                <w:szCs w:val="24"/>
                <w:highlight w:val="none"/>
                <w:u w:val="none" w:color="auto"/>
              </w:rPr>
              <w:t>，排水量按用水量80%计，则排水量为</w:t>
            </w:r>
            <w:r>
              <w:rPr>
                <w:rFonts w:hint="eastAsia" w:ascii="宋体" w:hAnsi="宋体"/>
                <w:color w:val="auto"/>
                <w:sz w:val="24"/>
                <w:szCs w:val="24"/>
                <w:highlight w:val="none"/>
                <w:u w:val="none" w:color="auto"/>
                <w:lang w:val="en-US" w:eastAsia="zh-CN"/>
              </w:rPr>
              <w:t>15.20</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宋体" w:hAnsi="宋体" w:eastAsia="宋体"/>
                <w:color w:val="auto"/>
                <w:sz w:val="24"/>
                <w:szCs w:val="24"/>
                <w:highlight w:val="none"/>
                <w:u w:val="none" w:color="auto"/>
              </w:rPr>
              <w:t>/d</w:t>
            </w:r>
            <w:r>
              <w:rPr>
                <w:rFonts w:hint="eastAsia" w:ascii="宋体" w:hAnsi="宋体"/>
                <w:color w:val="auto"/>
                <w:sz w:val="24"/>
                <w:szCs w:val="24"/>
                <w:highlight w:val="none"/>
                <w:u w:val="none" w:color="auto"/>
                <w:lang w:eastAsia="zh-CN"/>
              </w:rPr>
              <w:t>、</w:t>
            </w:r>
            <w:r>
              <w:rPr>
                <w:rFonts w:hint="eastAsia" w:ascii="宋体" w:hAnsi="宋体"/>
                <w:color w:val="auto"/>
                <w:sz w:val="24"/>
                <w:szCs w:val="24"/>
                <w:highlight w:val="none"/>
                <w:u w:val="none" w:color="auto"/>
                <w:lang w:val="en-US" w:eastAsia="zh-CN"/>
              </w:rPr>
              <w:t>5548.000</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宋体" w:hAnsi="宋体" w:eastAsia="宋体"/>
                <w:color w:val="auto"/>
                <w:sz w:val="24"/>
                <w:szCs w:val="24"/>
                <w:highlight w:val="none"/>
                <w:u w:val="none" w:color="auto"/>
              </w:rPr>
              <w:t>/a。</w:t>
            </w:r>
            <w:r>
              <w:rPr>
                <w:rFonts w:hint="eastAsia" w:ascii="宋体" w:hAnsi="宋体"/>
                <w:color w:val="auto"/>
                <w:sz w:val="24"/>
                <w:szCs w:val="24"/>
                <w:highlight w:val="none"/>
                <w:u w:val="none" w:color="auto"/>
                <w:lang w:val="en-US" w:eastAsia="zh-CN"/>
              </w:rPr>
              <w:t>医护人员在岗办公在2号楼内进行，与病房、门诊等产生的废水混排，根据《医院污水处理工程技术规范》(HJ2029-2013)  中关于医院污水的定义“医院污水包括门诊、病房、手术室、各类检验室、病理解剖室、太平间等处排出的诊疗、生活及粪便污水。当办公、食堂、宿舍等排水与上述污水混合排出时亦视为医院污水”，因此，医护人员在岗办公期间产生的生活污水与2号各项废水共同汇入化粪池+地埋式污水</w:t>
            </w:r>
            <w:r>
              <w:rPr>
                <w:rFonts w:hint="eastAsia" w:ascii="宋体" w:hAnsi="宋体" w:eastAsia="宋体"/>
                <w:color w:val="auto"/>
                <w:sz w:val="24"/>
                <w:szCs w:val="24"/>
                <w:highlight w:val="none"/>
                <w:u w:val="none" w:color="auto"/>
              </w:rPr>
              <w:t>处理站</w:t>
            </w:r>
            <w:r>
              <w:rPr>
                <w:rFonts w:hint="eastAsia" w:ascii="宋体" w:hAnsi="宋体"/>
                <w:color w:val="auto"/>
                <w:sz w:val="24"/>
                <w:szCs w:val="24"/>
                <w:highlight w:val="none"/>
                <w:u w:val="none" w:color="auto"/>
                <w:lang w:val="en-US" w:eastAsia="zh-CN"/>
              </w:rPr>
              <w:t>处理</w:t>
            </w:r>
            <w:r>
              <w:rPr>
                <w:rFonts w:hint="eastAsia" w:ascii="宋体" w:hAnsi="宋体" w:eastAsia="宋体"/>
                <w:color w:val="auto"/>
                <w:sz w:val="24"/>
                <w:szCs w:val="24"/>
                <w:highlight w:val="none"/>
                <w:u w:val="none" w:color="auto"/>
              </w:rPr>
              <w:t>。</w:t>
            </w:r>
          </w:p>
          <w:p w14:paraId="5BA7EE3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olor w:val="auto"/>
                <w:sz w:val="24"/>
                <w:szCs w:val="24"/>
                <w:u w:val="none" w:color="auto"/>
              </w:rPr>
            </w:pPr>
            <w:r>
              <w:rPr>
                <w:rFonts w:hint="eastAsia" w:ascii="宋体" w:hAnsi="宋体"/>
                <w:color w:val="auto"/>
                <w:sz w:val="24"/>
                <w:szCs w:val="24"/>
                <w:u w:val="none" w:color="auto"/>
                <w:lang w:val="en-US" w:eastAsia="zh-CN"/>
              </w:rPr>
              <w:t>C.</w:t>
            </w:r>
            <w:r>
              <w:rPr>
                <w:rFonts w:hint="eastAsia" w:ascii="宋体" w:hAnsi="宋体" w:eastAsia="宋体"/>
                <w:color w:val="auto"/>
                <w:sz w:val="24"/>
                <w:szCs w:val="24"/>
                <w:u w:val="none" w:color="auto"/>
              </w:rPr>
              <w:t>门诊用水</w:t>
            </w:r>
          </w:p>
          <w:p w14:paraId="6F0DC31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olor w:val="auto"/>
                <w:sz w:val="24"/>
                <w:szCs w:val="24"/>
                <w:u w:val="none" w:color="auto"/>
              </w:rPr>
            </w:pPr>
            <w:r>
              <w:rPr>
                <w:rFonts w:hint="eastAsia" w:ascii="宋体" w:hAnsi="宋体"/>
                <w:color w:val="auto"/>
                <w:sz w:val="24"/>
                <w:szCs w:val="24"/>
                <w:u w:val="none" w:color="auto"/>
                <w:lang w:val="en-US" w:eastAsia="zh-CN"/>
              </w:rPr>
              <w:t>项目门诊设在2号楼，</w:t>
            </w:r>
            <w:r>
              <w:rPr>
                <w:rFonts w:hint="eastAsia" w:ascii="宋体" w:hAnsi="宋体" w:eastAsia="宋体"/>
                <w:color w:val="auto"/>
                <w:sz w:val="24"/>
                <w:szCs w:val="24"/>
                <w:u w:val="none" w:color="auto"/>
              </w:rPr>
              <w:t>参考</w:t>
            </w:r>
            <w:r>
              <w:rPr>
                <w:rFonts w:hint="eastAsia" w:ascii="宋体" w:hAnsi="宋体"/>
                <w:color w:val="auto"/>
                <w:sz w:val="24"/>
                <w:szCs w:val="24"/>
                <w:u w:val="none" w:color="auto"/>
                <w:lang w:eastAsia="zh-CN"/>
              </w:rPr>
              <w:t>《综合医院建筑设计标准》（GB51039-2024）</w:t>
            </w:r>
            <w:r>
              <w:rPr>
                <w:rFonts w:hint="eastAsia" w:ascii="宋体" w:hAnsi="宋体" w:eastAsia="宋体"/>
                <w:color w:val="auto"/>
                <w:sz w:val="24"/>
                <w:szCs w:val="24"/>
                <w:u w:val="none" w:color="auto"/>
              </w:rPr>
              <w:t>，门诊患者用水量按</w:t>
            </w:r>
            <w:r>
              <w:rPr>
                <w:rFonts w:hint="eastAsia" w:ascii="TimesNewRomanPSMT" w:hAnsi="TimesNewRomanPSMT" w:eastAsia="TimesNewRomanPSMT"/>
                <w:color w:val="auto"/>
                <w:sz w:val="24"/>
                <w:szCs w:val="24"/>
                <w:u w:val="none" w:color="auto"/>
              </w:rPr>
              <w:t>10</w:t>
            </w:r>
            <w:r>
              <w:rPr>
                <w:rFonts w:hint="eastAsia" w:ascii="TimesNewRomanPSMT" w:hAnsi="TimesNewRomanPSMT" w:eastAsia="宋体"/>
                <w:color w:val="auto"/>
                <w:sz w:val="24"/>
                <w:szCs w:val="24"/>
                <w:u w:val="none" w:color="auto"/>
                <w:lang w:eastAsia="zh-CN"/>
              </w:rPr>
              <w:t>～</w:t>
            </w:r>
            <w:r>
              <w:rPr>
                <w:rFonts w:hint="eastAsia" w:ascii="TimesNewRomanPSMT" w:hAnsi="TimesNewRomanPSMT" w:eastAsia="TimesNewRomanPSMT"/>
                <w:color w:val="auto"/>
                <w:sz w:val="24"/>
                <w:szCs w:val="24"/>
                <w:u w:val="none" w:color="auto"/>
              </w:rPr>
              <w:t>15L/</w:t>
            </w:r>
            <w:r>
              <w:rPr>
                <w:rFonts w:hint="eastAsia" w:ascii="宋体" w:hAnsi="宋体" w:eastAsia="宋体"/>
                <w:color w:val="auto"/>
                <w:sz w:val="24"/>
                <w:szCs w:val="24"/>
                <w:u w:val="none" w:color="auto"/>
              </w:rPr>
              <w:t>人·次计，本评价按</w:t>
            </w:r>
            <w:r>
              <w:rPr>
                <w:rFonts w:hint="eastAsia" w:ascii="TimesNewRomanPSMT" w:hAnsi="TimesNewRomanPSMT" w:eastAsia="TimesNewRomanPSMT"/>
                <w:color w:val="auto"/>
                <w:sz w:val="24"/>
                <w:szCs w:val="24"/>
                <w:u w:val="none" w:color="auto"/>
              </w:rPr>
              <w:t>15L/</w:t>
            </w:r>
            <w:r>
              <w:rPr>
                <w:rFonts w:hint="eastAsia" w:ascii="宋体" w:hAnsi="宋体" w:eastAsia="宋体"/>
                <w:color w:val="auto"/>
                <w:sz w:val="24"/>
                <w:szCs w:val="24"/>
                <w:u w:val="none" w:color="auto"/>
              </w:rPr>
              <w:t>人·次计，项目建成后门诊最大接诊人数为</w:t>
            </w:r>
            <w:r>
              <w:rPr>
                <w:rFonts w:hint="eastAsia" w:ascii="TimesNewRomanPSMT" w:hAnsi="TimesNewRomanPSMT"/>
                <w:color w:val="auto"/>
                <w:sz w:val="24"/>
                <w:szCs w:val="24"/>
                <w:highlight w:val="none"/>
                <w:u w:val="none" w:color="auto"/>
                <w:lang w:val="en-US" w:eastAsia="zh-CN"/>
              </w:rPr>
              <w:t>50</w:t>
            </w:r>
            <w:r>
              <w:rPr>
                <w:rFonts w:hint="eastAsia" w:ascii="宋体" w:hAnsi="宋体" w:eastAsia="宋体"/>
                <w:color w:val="auto"/>
                <w:sz w:val="24"/>
                <w:szCs w:val="24"/>
                <w:highlight w:val="none"/>
                <w:u w:val="none" w:color="auto"/>
              </w:rPr>
              <w:t>人，则项目门诊用水量为</w:t>
            </w:r>
            <w:r>
              <w:rPr>
                <w:rFonts w:hint="eastAsia" w:ascii="TimesNewRomanPSMT" w:hAnsi="TimesNewRomanPSMT"/>
                <w:color w:val="auto"/>
                <w:sz w:val="24"/>
                <w:szCs w:val="24"/>
                <w:highlight w:val="none"/>
                <w:u w:val="none" w:color="auto"/>
                <w:lang w:val="en-US" w:eastAsia="zh-CN"/>
              </w:rPr>
              <w:t>0.75</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/d</w:t>
            </w:r>
            <w:r>
              <w:rPr>
                <w:rFonts w:hint="eastAsia" w:ascii="宋体" w:hAnsi="宋体" w:eastAsia="宋体"/>
                <w:color w:val="auto"/>
                <w:sz w:val="24"/>
                <w:szCs w:val="24"/>
                <w:highlight w:val="none"/>
                <w:u w:val="none" w:color="auto"/>
              </w:rPr>
              <w:t>，</w:t>
            </w:r>
            <w:r>
              <w:rPr>
                <w:rFonts w:hint="eastAsia" w:ascii="TimesNewRomanPSMT" w:hAnsi="TimesNewRomanPSMT"/>
                <w:color w:val="auto"/>
                <w:sz w:val="24"/>
                <w:szCs w:val="24"/>
                <w:highlight w:val="none"/>
                <w:u w:val="none" w:color="auto"/>
                <w:lang w:val="en-US" w:eastAsia="zh-CN"/>
              </w:rPr>
              <w:t>273.75</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/a</w:t>
            </w:r>
            <w:r>
              <w:rPr>
                <w:rFonts w:hint="eastAsia" w:ascii="宋体" w:hAnsi="宋体" w:eastAsia="宋体"/>
                <w:color w:val="auto"/>
                <w:sz w:val="24"/>
                <w:szCs w:val="24"/>
                <w:highlight w:val="none"/>
                <w:u w:val="none" w:color="auto"/>
              </w:rPr>
              <w:t>。排水量按用水量</w:t>
            </w:r>
            <w:r>
              <w:rPr>
                <w:rFonts w:hint="eastAsia" w:ascii="TimesNewRomanPSMT" w:hAnsi="TimesNewRomanPSMT" w:eastAsia="TimesNewRomanPSMT"/>
                <w:color w:val="auto"/>
                <w:sz w:val="24"/>
                <w:szCs w:val="24"/>
                <w:highlight w:val="none"/>
                <w:u w:val="none" w:color="auto"/>
              </w:rPr>
              <w:t>80%</w:t>
            </w:r>
            <w:r>
              <w:rPr>
                <w:rFonts w:hint="eastAsia" w:ascii="宋体" w:hAnsi="宋体" w:eastAsia="宋体"/>
                <w:color w:val="auto"/>
                <w:sz w:val="24"/>
                <w:szCs w:val="24"/>
                <w:highlight w:val="none"/>
                <w:u w:val="none" w:color="auto"/>
              </w:rPr>
              <w:t>计，则排水量为</w:t>
            </w:r>
            <w:r>
              <w:rPr>
                <w:rFonts w:hint="eastAsia" w:ascii="TimesNewRomanPSMT" w:hAnsi="TimesNewRomanPSMT"/>
                <w:color w:val="auto"/>
                <w:sz w:val="24"/>
                <w:szCs w:val="24"/>
                <w:highlight w:val="none"/>
                <w:u w:val="none" w:color="auto"/>
                <w:lang w:val="en-US" w:eastAsia="zh-CN"/>
              </w:rPr>
              <w:t>0.60</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/d</w:t>
            </w:r>
            <w:r>
              <w:rPr>
                <w:rFonts w:hint="eastAsia" w:ascii="宋体" w:hAnsi="宋体" w:eastAsia="宋体"/>
                <w:color w:val="auto"/>
                <w:sz w:val="24"/>
                <w:szCs w:val="24"/>
                <w:highlight w:val="none"/>
                <w:u w:val="none" w:color="auto"/>
              </w:rPr>
              <w:t>，</w:t>
            </w:r>
            <w:r>
              <w:rPr>
                <w:rFonts w:hint="eastAsia" w:ascii="TimesNewRomanPSMT" w:hAnsi="TimesNewRomanPSMT"/>
                <w:color w:val="auto"/>
                <w:sz w:val="24"/>
                <w:szCs w:val="24"/>
                <w:highlight w:val="none"/>
                <w:u w:val="none" w:color="auto"/>
                <w:lang w:val="en-US" w:eastAsia="zh-CN"/>
              </w:rPr>
              <w:t>219.00</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/a</w:t>
            </w:r>
            <w:r>
              <w:rPr>
                <w:rFonts w:hint="eastAsia" w:ascii="宋体" w:hAnsi="宋体"/>
                <w:color w:val="auto"/>
                <w:sz w:val="24"/>
                <w:szCs w:val="24"/>
                <w:highlight w:val="none"/>
                <w:u w:val="none" w:color="auto"/>
                <w:lang w:eastAsia="zh-CN"/>
              </w:rPr>
              <w:t>，</w:t>
            </w:r>
            <w:r>
              <w:rPr>
                <w:rFonts w:hint="eastAsia" w:ascii="宋体" w:hAnsi="宋体"/>
                <w:color w:val="auto"/>
                <w:sz w:val="24"/>
                <w:szCs w:val="24"/>
                <w:highlight w:val="none"/>
                <w:u w:val="none" w:color="auto"/>
                <w:lang w:val="en-US" w:eastAsia="zh-CN"/>
              </w:rPr>
              <w:t>为一般医疗废水，</w:t>
            </w:r>
            <w:r>
              <w:rPr>
                <w:rFonts w:hint="eastAsia" w:ascii="宋体" w:hAnsi="宋体" w:eastAsia="宋体"/>
                <w:color w:val="auto"/>
                <w:sz w:val="24"/>
                <w:szCs w:val="24"/>
                <w:highlight w:val="none"/>
                <w:u w:val="none" w:color="auto"/>
              </w:rPr>
              <w:t>门诊产生的废水（医疗废水）</w:t>
            </w:r>
            <w:r>
              <w:rPr>
                <w:rFonts w:hint="eastAsia" w:ascii="宋体" w:hAnsi="宋体"/>
                <w:color w:val="auto"/>
                <w:sz w:val="24"/>
                <w:szCs w:val="24"/>
                <w:highlight w:val="none"/>
                <w:u w:val="none" w:color="auto"/>
                <w:lang w:val="en-US" w:eastAsia="zh-CN"/>
              </w:rPr>
              <w:t>汇入化粪池+地埋式污水</w:t>
            </w:r>
            <w:r>
              <w:rPr>
                <w:rFonts w:hint="eastAsia" w:ascii="宋体" w:hAnsi="宋体" w:eastAsia="宋体"/>
                <w:color w:val="auto"/>
                <w:sz w:val="24"/>
                <w:szCs w:val="24"/>
                <w:highlight w:val="none"/>
                <w:u w:val="none" w:color="auto"/>
              </w:rPr>
              <w:t>处理站</w:t>
            </w:r>
            <w:r>
              <w:rPr>
                <w:rFonts w:hint="eastAsia" w:ascii="宋体" w:hAnsi="宋体"/>
                <w:color w:val="auto"/>
                <w:sz w:val="24"/>
                <w:szCs w:val="24"/>
                <w:highlight w:val="none"/>
                <w:u w:val="none" w:color="auto"/>
                <w:lang w:val="en-US" w:eastAsia="zh-CN"/>
              </w:rPr>
              <w:t>处理</w:t>
            </w:r>
            <w:r>
              <w:rPr>
                <w:rFonts w:hint="eastAsia" w:ascii="宋体" w:hAnsi="宋体" w:eastAsia="宋体"/>
                <w:color w:val="auto"/>
                <w:sz w:val="24"/>
                <w:szCs w:val="24"/>
                <w:highlight w:val="none"/>
                <w:u w:val="none" w:color="auto"/>
              </w:rPr>
              <w:t>。</w:t>
            </w:r>
          </w:p>
          <w:p w14:paraId="38373F21">
            <w:pPr>
              <w:keepNext w:val="0"/>
              <w:keepLines w:val="0"/>
              <w:pageBreakBefore w:val="0"/>
              <w:widowControl w:val="0"/>
              <w:tabs>
                <w:tab w:val="left" w:pos="624"/>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olor w:val="auto"/>
                <w:sz w:val="24"/>
                <w:szCs w:val="24"/>
                <w:u w:val="none" w:color="auto"/>
              </w:rPr>
            </w:pPr>
            <w:r>
              <w:rPr>
                <w:rFonts w:hint="eastAsia" w:ascii="宋体" w:hAnsi="宋体"/>
                <w:color w:val="auto"/>
                <w:sz w:val="24"/>
                <w:szCs w:val="24"/>
                <w:u w:val="none" w:color="auto"/>
                <w:lang w:val="en-US" w:eastAsia="zh-CN"/>
              </w:rPr>
              <w:t>D.</w:t>
            </w:r>
            <w:r>
              <w:rPr>
                <w:rFonts w:hint="eastAsia" w:ascii="宋体" w:hAnsi="宋体" w:eastAsia="宋体"/>
                <w:color w:val="auto"/>
                <w:sz w:val="24"/>
                <w:szCs w:val="24"/>
                <w:u w:val="none" w:color="auto"/>
              </w:rPr>
              <w:t>洗衣房用水</w:t>
            </w:r>
          </w:p>
          <w:p w14:paraId="211BAA4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olor w:val="auto"/>
                <w:sz w:val="24"/>
                <w:szCs w:val="24"/>
                <w:highlight w:val="none"/>
                <w:u w:val="none" w:color="auto"/>
              </w:rPr>
            </w:pPr>
            <w:r>
              <w:rPr>
                <w:rFonts w:hint="eastAsia" w:ascii="宋体" w:hAnsi="宋体"/>
                <w:color w:val="auto"/>
                <w:sz w:val="24"/>
                <w:szCs w:val="24"/>
                <w:u w:val="none" w:color="auto"/>
                <w:lang w:val="en-US" w:eastAsia="zh-CN"/>
              </w:rPr>
              <w:t>项目洗衣房设在2号楼楼顶，</w:t>
            </w:r>
            <w:r>
              <w:rPr>
                <w:rFonts w:hint="eastAsia" w:ascii="宋体" w:hAnsi="宋体" w:eastAsia="宋体"/>
                <w:color w:val="auto"/>
                <w:sz w:val="24"/>
                <w:szCs w:val="24"/>
                <w:u w:val="none" w:color="auto"/>
              </w:rPr>
              <w:t>项目病床床单、被套、枕套、医生白大褂每日均需清洗，</w:t>
            </w:r>
            <w:r>
              <w:rPr>
                <w:rFonts w:hint="eastAsia"/>
                <w:color w:val="auto"/>
                <w:szCs w:val="21"/>
                <w:u w:val="none" w:color="auto"/>
              </w:rPr>
              <w:t>根据《医院管理学》，干衣产生量为2</w:t>
            </w:r>
            <w:r>
              <w:rPr>
                <w:rFonts w:hint="eastAsia"/>
                <w:color w:val="auto"/>
                <w:szCs w:val="21"/>
                <w:u w:val="none" w:color="auto"/>
                <w:lang w:eastAsia="zh-CN"/>
              </w:rPr>
              <w:t>～</w:t>
            </w:r>
            <w:r>
              <w:rPr>
                <w:rFonts w:hint="eastAsia"/>
                <w:color w:val="auto"/>
                <w:szCs w:val="21"/>
                <w:u w:val="none" w:color="auto"/>
              </w:rPr>
              <w:t>3kg/d·床，本评价取均值2.5 kg/d·床，另职工工作服按0.3kg/d·人计，合计</w:t>
            </w:r>
            <w:r>
              <w:rPr>
                <w:rFonts w:hint="eastAsia"/>
                <w:color w:val="0000FF"/>
                <w:szCs w:val="21"/>
                <w:u w:val="none" w:color="auto"/>
                <w:lang w:val="en-US" w:eastAsia="zh-CN"/>
              </w:rPr>
              <w:t>431.00</w:t>
            </w:r>
            <w:r>
              <w:rPr>
                <w:rFonts w:hint="eastAsia"/>
                <w:color w:val="auto"/>
                <w:szCs w:val="21"/>
                <w:u w:val="none" w:color="auto"/>
              </w:rPr>
              <w:t>kg/d。</w:t>
            </w:r>
            <w:r>
              <w:rPr>
                <w:rFonts w:hint="eastAsia" w:ascii="宋体" w:hAnsi="宋体" w:eastAsia="宋体"/>
                <w:color w:val="auto"/>
                <w:sz w:val="24"/>
                <w:szCs w:val="24"/>
                <w:u w:val="none" w:color="auto"/>
              </w:rPr>
              <w:t>参考</w:t>
            </w:r>
            <w:r>
              <w:rPr>
                <w:rFonts w:hint="eastAsia" w:ascii="宋体" w:hAnsi="宋体"/>
                <w:color w:val="auto"/>
                <w:sz w:val="24"/>
                <w:szCs w:val="24"/>
                <w:u w:val="none" w:color="auto"/>
                <w:lang w:eastAsia="zh-CN"/>
              </w:rPr>
              <w:t>《综合医院建筑设计标准》（GB51039-2024）</w:t>
            </w:r>
            <w:r>
              <w:rPr>
                <w:rFonts w:hint="eastAsia" w:ascii="宋体" w:hAnsi="宋体" w:eastAsia="宋体"/>
                <w:color w:val="auto"/>
                <w:sz w:val="24"/>
                <w:szCs w:val="24"/>
                <w:u w:val="none" w:color="auto"/>
              </w:rPr>
              <w:t>，洗衣用水量为60</w:t>
            </w:r>
            <w:r>
              <w:rPr>
                <w:rFonts w:hint="eastAsia" w:ascii="宋体" w:hAnsi="宋体"/>
                <w:color w:val="auto"/>
                <w:sz w:val="24"/>
                <w:szCs w:val="24"/>
                <w:u w:val="none" w:color="auto"/>
                <w:lang w:eastAsia="zh-CN"/>
              </w:rPr>
              <w:t>～</w:t>
            </w:r>
            <w:r>
              <w:rPr>
                <w:rFonts w:hint="eastAsia" w:ascii="宋体" w:hAnsi="宋体" w:eastAsia="宋体"/>
                <w:color w:val="auto"/>
                <w:sz w:val="24"/>
                <w:szCs w:val="24"/>
                <w:u w:val="none" w:color="auto"/>
              </w:rPr>
              <w:t>80L/kg，本评价按80L/kg 计，则项目洗衣用</w:t>
            </w:r>
            <w:r>
              <w:rPr>
                <w:rFonts w:hint="eastAsia" w:ascii="宋体" w:hAnsi="宋体" w:eastAsia="宋体"/>
                <w:color w:val="auto"/>
                <w:sz w:val="24"/>
                <w:szCs w:val="24"/>
                <w:highlight w:val="none"/>
                <w:u w:val="none" w:color="auto"/>
              </w:rPr>
              <w:t>水量为</w:t>
            </w:r>
            <w:r>
              <w:rPr>
                <w:rFonts w:hint="eastAsia" w:ascii="TimesNewRomanPSMT" w:hAnsi="TimesNewRomanPSMT"/>
                <w:color w:val="0000FF"/>
                <w:sz w:val="24"/>
                <w:szCs w:val="24"/>
                <w:highlight w:val="none"/>
                <w:u w:val="none" w:color="auto"/>
                <w:lang w:val="en-US" w:eastAsia="zh-CN"/>
              </w:rPr>
              <w:t>30.170</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/d</w:t>
            </w:r>
            <w:r>
              <w:rPr>
                <w:rFonts w:hint="eastAsia" w:ascii="宋体" w:hAnsi="宋体" w:eastAsia="宋体"/>
                <w:color w:val="auto"/>
                <w:sz w:val="24"/>
                <w:szCs w:val="24"/>
                <w:highlight w:val="none"/>
                <w:u w:val="none" w:color="auto"/>
              </w:rPr>
              <w:t>，</w:t>
            </w:r>
            <w:r>
              <w:rPr>
                <w:rFonts w:hint="eastAsia" w:ascii="TimesNewRomanPSMT" w:hAnsi="TimesNewRomanPSMT"/>
                <w:color w:val="0000FF"/>
                <w:sz w:val="24"/>
                <w:szCs w:val="24"/>
                <w:highlight w:val="none"/>
                <w:u w:val="none" w:color="auto"/>
                <w:lang w:val="en-US" w:eastAsia="zh-CN"/>
              </w:rPr>
              <w:t>11012.050</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/a</w:t>
            </w:r>
            <w:r>
              <w:rPr>
                <w:rFonts w:hint="eastAsia" w:ascii="宋体" w:hAnsi="宋体" w:eastAsia="宋体"/>
                <w:color w:val="auto"/>
                <w:sz w:val="24"/>
                <w:szCs w:val="24"/>
                <w:highlight w:val="none"/>
                <w:u w:val="none" w:color="auto"/>
              </w:rPr>
              <w:t>。排水量按用水量</w:t>
            </w:r>
            <w:r>
              <w:rPr>
                <w:rFonts w:hint="eastAsia" w:ascii="TimesNewRomanPSMT" w:hAnsi="TimesNewRomanPSMT" w:eastAsia="TimesNewRomanPSMT"/>
                <w:color w:val="auto"/>
                <w:sz w:val="24"/>
                <w:szCs w:val="24"/>
                <w:highlight w:val="none"/>
                <w:u w:val="none" w:color="auto"/>
              </w:rPr>
              <w:t>80%</w:t>
            </w:r>
            <w:r>
              <w:rPr>
                <w:rFonts w:hint="eastAsia" w:ascii="宋体" w:hAnsi="宋体" w:eastAsia="宋体"/>
                <w:color w:val="auto"/>
                <w:sz w:val="24"/>
                <w:szCs w:val="24"/>
                <w:highlight w:val="none"/>
                <w:u w:val="none" w:color="auto"/>
              </w:rPr>
              <w:t>计，则排水量为</w:t>
            </w:r>
            <w:r>
              <w:rPr>
                <w:rFonts w:hint="eastAsia" w:ascii="TimesNewRomanPSMT" w:hAnsi="TimesNewRomanPSMT"/>
                <w:color w:val="0000FF"/>
                <w:sz w:val="24"/>
                <w:szCs w:val="24"/>
                <w:highlight w:val="none"/>
                <w:u w:val="none" w:color="auto"/>
                <w:lang w:val="en-US" w:eastAsia="zh-CN"/>
              </w:rPr>
              <w:t>24.136</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/d</w:t>
            </w:r>
            <w:r>
              <w:rPr>
                <w:rFonts w:hint="eastAsia" w:ascii="宋体" w:hAnsi="宋体" w:eastAsia="宋体"/>
                <w:color w:val="auto"/>
                <w:sz w:val="24"/>
                <w:szCs w:val="24"/>
                <w:highlight w:val="none"/>
                <w:u w:val="none" w:color="auto"/>
              </w:rPr>
              <w:t>，</w:t>
            </w:r>
            <w:r>
              <w:rPr>
                <w:rFonts w:hint="eastAsia" w:ascii="TimesNewRomanPSMT" w:hAnsi="TimesNewRomanPSMT"/>
                <w:color w:val="0000FF"/>
                <w:sz w:val="24"/>
                <w:szCs w:val="24"/>
                <w:highlight w:val="none"/>
                <w:u w:val="none" w:color="auto"/>
                <w:lang w:val="en-US" w:eastAsia="zh-CN"/>
              </w:rPr>
              <w:t>8809.640</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/a</w:t>
            </w:r>
            <w:r>
              <w:rPr>
                <w:rFonts w:hint="eastAsia" w:ascii="TimesNewRomanPSMT" w:hAnsi="TimesNewRomanPSMT" w:eastAsia="宋体"/>
                <w:color w:val="auto"/>
                <w:sz w:val="24"/>
                <w:szCs w:val="24"/>
                <w:highlight w:val="none"/>
                <w:u w:val="none" w:color="auto"/>
                <w:lang w:eastAsia="zh-CN"/>
              </w:rPr>
              <w:t>，</w:t>
            </w:r>
            <w:r>
              <w:rPr>
                <w:rFonts w:hint="eastAsia" w:ascii="TimesNewRomanPSMT" w:hAnsi="TimesNewRomanPSMT" w:eastAsia="宋体"/>
                <w:color w:val="auto"/>
                <w:sz w:val="24"/>
                <w:szCs w:val="24"/>
                <w:highlight w:val="none"/>
                <w:u w:val="none" w:color="auto"/>
                <w:lang w:val="en-US" w:eastAsia="zh-CN"/>
              </w:rPr>
              <w:t>为一般医疗废水，</w:t>
            </w:r>
            <w:r>
              <w:rPr>
                <w:rFonts w:hint="eastAsia" w:ascii="宋体" w:hAnsi="宋体" w:eastAsia="宋体"/>
                <w:color w:val="auto"/>
                <w:sz w:val="24"/>
                <w:szCs w:val="24"/>
                <w:highlight w:val="none"/>
                <w:u w:val="none" w:color="auto"/>
              </w:rPr>
              <w:t>洗衣房废水</w:t>
            </w:r>
            <w:r>
              <w:rPr>
                <w:rFonts w:hint="eastAsia" w:ascii="宋体" w:hAnsi="宋体"/>
                <w:color w:val="auto"/>
                <w:sz w:val="24"/>
                <w:szCs w:val="24"/>
                <w:highlight w:val="none"/>
                <w:u w:val="none" w:color="auto"/>
                <w:lang w:val="en-US" w:eastAsia="zh-CN"/>
              </w:rPr>
              <w:t>汇入化粪池+地埋式污水</w:t>
            </w:r>
            <w:r>
              <w:rPr>
                <w:rFonts w:hint="eastAsia" w:ascii="宋体" w:hAnsi="宋体" w:eastAsia="宋体"/>
                <w:color w:val="auto"/>
                <w:sz w:val="24"/>
                <w:szCs w:val="24"/>
                <w:highlight w:val="none"/>
                <w:u w:val="none" w:color="auto"/>
              </w:rPr>
              <w:t>处理站处理。</w:t>
            </w:r>
          </w:p>
          <w:p w14:paraId="2A766B9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olor w:val="auto"/>
                <w:sz w:val="24"/>
                <w:szCs w:val="24"/>
                <w:u w:val="none" w:color="auto"/>
              </w:rPr>
            </w:pPr>
            <w:r>
              <w:rPr>
                <w:rFonts w:hint="eastAsia" w:ascii="宋体" w:hAnsi="宋体"/>
                <w:color w:val="auto"/>
                <w:sz w:val="24"/>
                <w:szCs w:val="24"/>
                <w:u w:val="none" w:color="auto"/>
                <w:lang w:val="en-US" w:eastAsia="zh-CN"/>
              </w:rPr>
              <w:t>E.</w:t>
            </w:r>
            <w:r>
              <w:rPr>
                <w:rFonts w:hint="eastAsia" w:ascii="宋体" w:hAnsi="宋体" w:eastAsia="宋体"/>
                <w:color w:val="auto"/>
                <w:sz w:val="24"/>
                <w:szCs w:val="24"/>
                <w:u w:val="none" w:color="auto"/>
              </w:rPr>
              <w:t>特殊医疗用水</w:t>
            </w:r>
          </w:p>
          <w:p w14:paraId="492C759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olor w:val="auto"/>
                <w:sz w:val="24"/>
                <w:szCs w:val="24"/>
                <w:highlight w:val="none"/>
                <w:u w:val="none" w:color="auto"/>
              </w:rPr>
            </w:pPr>
            <w:r>
              <w:rPr>
                <w:rFonts w:hint="eastAsia" w:ascii="宋体" w:hAnsi="宋体" w:eastAsia="宋体"/>
                <w:color w:val="auto"/>
                <w:sz w:val="24"/>
                <w:szCs w:val="24"/>
                <w:u w:val="none" w:color="auto"/>
              </w:rPr>
              <w:t>医院的特殊医疗废水主要来源于化验室在进行病</w:t>
            </w:r>
            <w:r>
              <w:rPr>
                <w:rFonts w:hint="eastAsia" w:ascii="宋体" w:hAnsi="宋体" w:eastAsia="宋体"/>
                <w:color w:val="auto"/>
                <w:sz w:val="24"/>
                <w:szCs w:val="24"/>
                <w:highlight w:val="none"/>
                <w:u w:val="none" w:color="auto"/>
              </w:rPr>
              <w:t>理检验过程中产生。检验室检验或制作化学清洗剂时使用盐酸、硝酸、硫酸、过氧酸等酸性物质将产生酸碱废水；同时，在血液、血清、微生物检测分析时使用的酸性或碱性废水。项目建成后</w:t>
            </w:r>
            <w:r>
              <w:rPr>
                <w:rFonts w:hint="eastAsia" w:ascii="宋体" w:hAnsi="宋体"/>
                <w:color w:val="auto"/>
                <w:sz w:val="24"/>
                <w:szCs w:val="24"/>
                <w:highlight w:val="none"/>
                <w:u w:val="none" w:color="auto"/>
                <w:lang w:val="en-US" w:eastAsia="zh-CN"/>
              </w:rPr>
              <w:t>预计</w:t>
            </w:r>
            <w:r>
              <w:rPr>
                <w:rFonts w:hint="eastAsia" w:ascii="宋体" w:hAnsi="宋体" w:eastAsia="宋体"/>
                <w:color w:val="auto"/>
                <w:sz w:val="24"/>
                <w:szCs w:val="24"/>
                <w:highlight w:val="none"/>
                <w:u w:val="none" w:color="auto"/>
              </w:rPr>
              <w:t>需要进行化验的病人</w:t>
            </w:r>
            <w:r>
              <w:rPr>
                <w:rFonts w:hint="eastAsia" w:ascii="宋体" w:hAnsi="宋体"/>
                <w:color w:val="auto"/>
                <w:sz w:val="24"/>
                <w:szCs w:val="24"/>
                <w:highlight w:val="none"/>
                <w:u w:val="none" w:color="auto"/>
                <w:lang w:val="en-US" w:eastAsia="zh-CN"/>
              </w:rPr>
              <w:t>约</w:t>
            </w:r>
            <w:r>
              <w:rPr>
                <w:rFonts w:hint="eastAsia" w:ascii="宋体" w:hAnsi="宋体" w:eastAsia="宋体"/>
                <w:color w:val="auto"/>
                <w:sz w:val="24"/>
                <w:szCs w:val="24"/>
                <w:highlight w:val="none"/>
                <w:u w:val="none" w:color="auto"/>
              </w:rPr>
              <w:t>为</w:t>
            </w:r>
            <w:r>
              <w:rPr>
                <w:rFonts w:hint="eastAsia" w:ascii="TimesNewRomanPSMT" w:hAnsi="TimesNewRomanPSMT" w:eastAsia="宋体"/>
                <w:color w:val="auto"/>
                <w:sz w:val="24"/>
                <w:szCs w:val="24"/>
                <w:highlight w:val="none"/>
                <w:u w:val="none" w:color="auto"/>
                <w:lang w:val="en-US" w:eastAsia="zh-CN"/>
              </w:rPr>
              <w:t>50</w:t>
            </w:r>
            <w:r>
              <w:rPr>
                <w:rFonts w:hint="eastAsia" w:ascii="宋体" w:hAnsi="宋体" w:eastAsia="宋体"/>
                <w:color w:val="auto"/>
                <w:sz w:val="24"/>
                <w:szCs w:val="24"/>
                <w:highlight w:val="none"/>
                <w:u w:val="none" w:color="auto"/>
              </w:rPr>
              <w:t>人</w:t>
            </w:r>
            <w:r>
              <w:rPr>
                <w:rFonts w:hint="eastAsia" w:ascii="宋体" w:hAnsi="宋体"/>
                <w:color w:val="auto"/>
                <w:sz w:val="24"/>
                <w:szCs w:val="24"/>
                <w:highlight w:val="none"/>
                <w:u w:val="none" w:color="auto"/>
                <w:lang w:val="en-US" w:eastAsia="zh-CN"/>
              </w:rPr>
              <w:t>/天</w:t>
            </w:r>
            <w:r>
              <w:rPr>
                <w:rFonts w:hint="eastAsia" w:ascii="宋体" w:hAnsi="宋体" w:eastAsia="宋体"/>
                <w:color w:val="auto"/>
                <w:sz w:val="24"/>
                <w:szCs w:val="24"/>
                <w:highlight w:val="none"/>
                <w:u w:val="none" w:color="auto"/>
              </w:rPr>
              <w:t>，化验室用水量按</w:t>
            </w:r>
            <w:r>
              <w:rPr>
                <w:rFonts w:hint="eastAsia" w:ascii="TimesNewRomanPSMT" w:hAnsi="TimesNewRomanPSMT" w:eastAsia="TimesNewRomanPSMT"/>
                <w:color w:val="auto"/>
                <w:sz w:val="24"/>
                <w:szCs w:val="24"/>
                <w:highlight w:val="none"/>
                <w:u w:val="none" w:color="auto"/>
              </w:rPr>
              <w:t>2L/</w:t>
            </w:r>
            <w:r>
              <w:rPr>
                <w:rFonts w:hint="eastAsia" w:ascii="宋体" w:hAnsi="宋体" w:eastAsia="宋体"/>
                <w:color w:val="auto"/>
                <w:sz w:val="24"/>
                <w:szCs w:val="24"/>
                <w:highlight w:val="none"/>
                <w:u w:val="none" w:color="auto"/>
              </w:rPr>
              <w:t>（人·次）计，则用水量为</w:t>
            </w:r>
            <w:r>
              <w:rPr>
                <w:rFonts w:hint="eastAsia" w:ascii="TimesNewRomanPSMT" w:hAnsi="TimesNewRomanPSMT" w:eastAsia="TimesNewRomanPSMT"/>
                <w:color w:val="auto"/>
                <w:sz w:val="24"/>
                <w:szCs w:val="24"/>
                <w:highlight w:val="none"/>
                <w:u w:val="none" w:color="auto"/>
              </w:rPr>
              <w:t>0.</w:t>
            </w:r>
            <w:r>
              <w:rPr>
                <w:rFonts w:hint="eastAsia" w:ascii="TimesNewRomanPSMT" w:hAnsi="TimesNewRomanPSMT" w:eastAsia="宋体"/>
                <w:color w:val="auto"/>
                <w:sz w:val="24"/>
                <w:szCs w:val="24"/>
                <w:highlight w:val="none"/>
                <w:u w:val="none" w:color="auto"/>
                <w:lang w:val="en-US" w:eastAsia="zh-CN"/>
              </w:rPr>
              <w:t>10</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/d</w:t>
            </w:r>
            <w:r>
              <w:rPr>
                <w:rFonts w:hint="eastAsia" w:ascii="宋体" w:hAnsi="宋体" w:eastAsia="宋体"/>
                <w:color w:val="auto"/>
                <w:sz w:val="24"/>
                <w:szCs w:val="24"/>
                <w:highlight w:val="none"/>
                <w:u w:val="none" w:color="auto"/>
              </w:rPr>
              <w:t>，</w:t>
            </w:r>
            <w:r>
              <w:rPr>
                <w:rFonts w:hint="eastAsia" w:ascii="TimesNewRomanPSMT" w:hAnsi="TimesNewRomanPSMT" w:eastAsia="宋体"/>
                <w:color w:val="auto"/>
                <w:sz w:val="24"/>
                <w:szCs w:val="24"/>
                <w:highlight w:val="none"/>
                <w:u w:val="none" w:color="auto"/>
                <w:lang w:val="en-US" w:eastAsia="zh-CN"/>
              </w:rPr>
              <w:t>36.50</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/a</w:t>
            </w:r>
            <w:r>
              <w:rPr>
                <w:rFonts w:hint="eastAsia" w:ascii="宋体" w:hAnsi="宋体" w:eastAsia="宋体"/>
                <w:color w:val="auto"/>
                <w:sz w:val="24"/>
                <w:szCs w:val="24"/>
                <w:highlight w:val="none"/>
                <w:u w:val="none" w:color="auto"/>
              </w:rPr>
              <w:t>，排水量按用水</w:t>
            </w:r>
            <w:r>
              <w:rPr>
                <w:rFonts w:hint="eastAsia" w:ascii="TimesNewRomanPSMT" w:hAnsi="TimesNewRomanPSMT" w:eastAsia="TimesNewRomanPSMT"/>
                <w:color w:val="auto"/>
                <w:sz w:val="24"/>
                <w:szCs w:val="24"/>
                <w:highlight w:val="none"/>
                <w:u w:val="none" w:color="auto"/>
              </w:rPr>
              <w:t>80%</w:t>
            </w:r>
            <w:r>
              <w:rPr>
                <w:rFonts w:hint="eastAsia" w:ascii="宋体" w:hAnsi="宋体" w:eastAsia="宋体"/>
                <w:color w:val="auto"/>
                <w:sz w:val="24"/>
                <w:szCs w:val="24"/>
                <w:highlight w:val="none"/>
                <w:u w:val="none" w:color="auto"/>
              </w:rPr>
              <w:t>计，则排水量为</w:t>
            </w:r>
            <w:r>
              <w:rPr>
                <w:rFonts w:hint="eastAsia" w:ascii="TimesNewRomanPSMT" w:hAnsi="TimesNewRomanPSMT" w:eastAsia="TimesNewRomanPSMT"/>
                <w:color w:val="auto"/>
                <w:sz w:val="24"/>
                <w:szCs w:val="24"/>
                <w:highlight w:val="none"/>
                <w:u w:val="none" w:color="auto"/>
              </w:rPr>
              <w:t>0.0</w:t>
            </w:r>
            <w:r>
              <w:rPr>
                <w:rFonts w:hint="eastAsia" w:ascii="TimesNewRomanPSMT" w:hAnsi="TimesNewRomanPSMT" w:eastAsia="宋体"/>
                <w:color w:val="auto"/>
                <w:sz w:val="24"/>
                <w:szCs w:val="24"/>
                <w:highlight w:val="none"/>
                <w:u w:val="none" w:color="auto"/>
                <w:lang w:val="en-US" w:eastAsia="zh-CN"/>
              </w:rPr>
              <w:t>8</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/d</w:t>
            </w:r>
            <w:r>
              <w:rPr>
                <w:rFonts w:hint="eastAsia" w:ascii="宋体" w:hAnsi="宋体" w:eastAsia="宋体"/>
                <w:color w:val="auto"/>
                <w:sz w:val="24"/>
                <w:szCs w:val="24"/>
                <w:highlight w:val="none"/>
                <w:u w:val="none" w:color="auto"/>
              </w:rPr>
              <w:t>，</w:t>
            </w:r>
            <w:r>
              <w:rPr>
                <w:rFonts w:hint="eastAsia" w:ascii="TimesNewRomanPSMT" w:hAnsi="TimesNewRomanPSMT" w:eastAsia="宋体"/>
                <w:color w:val="auto"/>
                <w:sz w:val="24"/>
                <w:szCs w:val="24"/>
                <w:highlight w:val="none"/>
                <w:u w:val="none" w:color="auto"/>
                <w:lang w:val="en-US" w:eastAsia="zh-CN"/>
              </w:rPr>
              <w:t>29.20</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/a</w:t>
            </w:r>
            <w:r>
              <w:rPr>
                <w:rFonts w:hint="eastAsia" w:ascii="宋体" w:hAnsi="宋体" w:eastAsia="宋体"/>
                <w:color w:val="auto"/>
                <w:sz w:val="24"/>
                <w:szCs w:val="24"/>
                <w:highlight w:val="none"/>
                <w:u w:val="none" w:color="auto"/>
              </w:rPr>
              <w:t>。此部分废水经</w:t>
            </w:r>
            <w:r>
              <w:rPr>
                <w:rFonts w:hint="eastAsia" w:ascii="宋体" w:hAnsi="宋体"/>
                <w:color w:val="auto"/>
                <w:sz w:val="24"/>
                <w:szCs w:val="24"/>
                <w:highlight w:val="none"/>
                <w:u w:val="none" w:color="auto"/>
                <w:lang w:val="en-US" w:eastAsia="zh-CN"/>
              </w:rPr>
              <w:t>中和</w:t>
            </w:r>
            <w:r>
              <w:rPr>
                <w:rFonts w:hint="eastAsia" w:ascii="宋体" w:hAnsi="宋体" w:eastAsia="宋体"/>
                <w:color w:val="auto"/>
                <w:sz w:val="24"/>
                <w:szCs w:val="24"/>
                <w:highlight w:val="none"/>
                <w:u w:val="none" w:color="auto"/>
              </w:rPr>
              <w:t>预处理后与其他污水一并进入</w:t>
            </w:r>
            <w:r>
              <w:rPr>
                <w:rFonts w:hint="eastAsia" w:ascii="宋体" w:hAnsi="宋体"/>
                <w:color w:val="auto"/>
                <w:sz w:val="24"/>
                <w:szCs w:val="24"/>
                <w:highlight w:val="none"/>
                <w:u w:val="none" w:color="auto"/>
                <w:lang w:val="en-US" w:eastAsia="zh-CN"/>
              </w:rPr>
              <w:t>化粪池+地埋式污水</w:t>
            </w:r>
            <w:r>
              <w:rPr>
                <w:rFonts w:hint="eastAsia" w:ascii="宋体" w:hAnsi="宋体" w:eastAsia="宋体"/>
                <w:color w:val="auto"/>
                <w:sz w:val="24"/>
                <w:szCs w:val="24"/>
                <w:highlight w:val="none"/>
                <w:u w:val="none" w:color="auto"/>
              </w:rPr>
              <w:t>处理站处理。</w:t>
            </w:r>
          </w:p>
          <w:p w14:paraId="2FE9C956">
            <w:pPr>
              <w:keepNext w:val="0"/>
              <w:keepLines w:val="0"/>
              <w:pageBreakBefore w:val="0"/>
              <w:widowControl w:val="0"/>
              <w:tabs>
                <w:tab w:val="left" w:pos="624"/>
              </w:tabs>
              <w:kinsoku/>
              <w:wordWrap/>
              <w:overflowPunct/>
              <w:topLinePunct w:val="0"/>
              <w:autoSpaceDE/>
              <w:autoSpaceDN/>
              <w:bidi w:val="0"/>
              <w:adjustRightInd/>
              <w:snapToGrid/>
              <w:spacing w:line="480" w:lineRule="exact"/>
              <w:ind w:firstLine="480" w:firstLineChars="200"/>
              <w:textAlignment w:val="auto"/>
              <w:rPr>
                <w:rFonts w:hint="default" w:ascii="宋体" w:hAnsi="宋体"/>
                <w:color w:val="auto"/>
                <w:sz w:val="24"/>
                <w:szCs w:val="24"/>
                <w:highlight w:val="none"/>
                <w:u w:val="none" w:color="auto"/>
                <w:lang w:val="en-US" w:eastAsia="zh-CN"/>
              </w:rPr>
            </w:pPr>
            <w:r>
              <w:rPr>
                <w:rFonts w:hint="eastAsia" w:ascii="宋体" w:hAnsi="宋体"/>
                <w:color w:val="auto"/>
                <w:sz w:val="24"/>
                <w:szCs w:val="24"/>
                <w:highlight w:val="none"/>
                <w:u w:val="none" w:color="auto"/>
                <w:lang w:val="en-US" w:eastAsia="zh-CN"/>
              </w:rPr>
              <w:t>F.煎药用水、排水</w:t>
            </w:r>
          </w:p>
          <w:p w14:paraId="4DE70CBD">
            <w:pPr>
              <w:keepNext w:val="0"/>
              <w:keepLines w:val="0"/>
              <w:pageBreakBefore w:val="0"/>
              <w:widowControl w:val="0"/>
              <w:tabs>
                <w:tab w:val="left" w:pos="624"/>
              </w:tabs>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olor w:val="auto"/>
                <w:sz w:val="24"/>
                <w:szCs w:val="24"/>
                <w:highlight w:val="none"/>
                <w:u w:val="none" w:color="auto"/>
                <w:lang w:val="en-US" w:eastAsia="zh-CN"/>
              </w:rPr>
            </w:pPr>
            <w:r>
              <w:rPr>
                <w:rFonts w:hint="eastAsia" w:ascii="Times New Roman" w:hAnsi="Times New Roman" w:eastAsia="宋体" w:cs="Times New Roman"/>
                <w:color w:val="auto"/>
                <w:highlight w:val="none"/>
                <w:u w:val="none" w:color="auto"/>
              </w:rPr>
              <w:t>本项目</w:t>
            </w:r>
            <w:r>
              <w:rPr>
                <w:rFonts w:hint="eastAsia" w:ascii="Times New Roman" w:hAnsi="Times New Roman" w:eastAsia="宋体" w:cs="Times New Roman"/>
                <w:color w:val="auto"/>
                <w:highlight w:val="none"/>
                <w:u w:val="none" w:color="auto"/>
                <w:lang w:val="en-US" w:eastAsia="zh-CN"/>
              </w:rPr>
              <w:t>在2号楼一层中部内</w:t>
            </w:r>
            <w:r>
              <w:rPr>
                <w:rFonts w:hint="eastAsia" w:ascii="Times New Roman" w:hAnsi="Times New Roman" w:eastAsia="宋体" w:cs="Times New Roman"/>
                <w:color w:val="auto"/>
                <w:highlight w:val="none"/>
                <w:u w:val="none" w:color="auto"/>
              </w:rPr>
              <w:t>设置煎药房</w:t>
            </w:r>
            <w:r>
              <w:rPr>
                <w:rFonts w:hint="eastAsia" w:ascii="Times New Roman" w:hAnsi="Times New Roman" w:eastAsia="宋体" w:cs="Times New Roman"/>
                <w:color w:val="auto"/>
                <w:highlight w:val="none"/>
                <w:u w:val="none" w:color="auto"/>
                <w:lang w:val="en-US" w:eastAsia="zh-CN"/>
              </w:rPr>
              <w:t>，设有2台电中药煎煮设备，预计</w:t>
            </w:r>
            <w:r>
              <w:rPr>
                <w:rFonts w:hint="eastAsia" w:ascii="Times New Roman" w:hAnsi="Times New Roman" w:eastAsia="宋体" w:cs="Times New Roman"/>
                <w:color w:val="auto"/>
                <w:highlight w:val="none"/>
                <w:u w:val="none" w:color="auto"/>
              </w:rPr>
              <w:t>每天煎药</w:t>
            </w:r>
            <w:r>
              <w:rPr>
                <w:rFonts w:hint="eastAsia" w:ascii="Times New Roman" w:hAnsi="Times New Roman" w:eastAsia="宋体" w:cs="Times New Roman"/>
                <w:color w:val="auto"/>
                <w:highlight w:val="none"/>
                <w:u w:val="none" w:color="auto"/>
                <w:lang w:val="en-US" w:eastAsia="zh-CN"/>
              </w:rPr>
              <w:t>量约为20副</w:t>
            </w:r>
            <w:r>
              <w:rPr>
                <w:rFonts w:hint="eastAsia" w:ascii="Times New Roman" w:hAnsi="Times New Roman" w:eastAsia="宋体" w:cs="Times New Roman"/>
                <w:color w:val="auto"/>
                <w:highlight w:val="none"/>
                <w:u w:val="none" w:color="auto"/>
              </w:rPr>
              <w:t>，</w:t>
            </w:r>
            <w:r>
              <w:rPr>
                <w:rFonts w:hint="eastAsia" w:ascii="Times New Roman" w:hAnsi="Times New Roman" w:eastAsia="宋体" w:cs="Times New Roman"/>
                <w:color w:val="auto"/>
                <w:highlight w:val="none"/>
                <w:u w:val="none" w:color="auto"/>
                <w:lang w:val="en-US" w:eastAsia="zh-CN"/>
              </w:rPr>
              <w:t>一般</w:t>
            </w:r>
            <w:r>
              <w:rPr>
                <w:rFonts w:hint="eastAsia" w:ascii="Times New Roman" w:hAnsi="Times New Roman" w:eastAsia="宋体" w:cs="Times New Roman"/>
                <w:color w:val="auto"/>
                <w:highlight w:val="none"/>
                <w:u w:val="none" w:color="auto"/>
              </w:rPr>
              <w:t>每剂一般煎至400-600毫升</w:t>
            </w:r>
            <w:r>
              <w:rPr>
                <w:rFonts w:hint="eastAsia" w:ascii="Times New Roman" w:hAnsi="Times New Roman" w:eastAsia="宋体" w:cs="Times New Roman"/>
                <w:color w:val="auto"/>
                <w:highlight w:val="none"/>
                <w:u w:val="none" w:color="auto"/>
                <w:lang w:eastAsia="zh-CN"/>
              </w:rPr>
              <w:t>，</w:t>
            </w:r>
            <w:r>
              <w:rPr>
                <w:rFonts w:hint="eastAsia" w:ascii="Times New Roman" w:hAnsi="Times New Roman" w:eastAsia="宋体" w:cs="Times New Roman"/>
                <w:color w:val="auto"/>
                <w:highlight w:val="none"/>
                <w:u w:val="none" w:color="auto"/>
              </w:rPr>
              <w:t>按最高剂量，</w:t>
            </w:r>
            <w:r>
              <w:rPr>
                <w:rFonts w:hint="eastAsia" w:ascii="Times New Roman" w:hAnsi="Times New Roman" w:eastAsia="宋体" w:cs="Times New Roman"/>
                <w:color w:val="auto"/>
                <w:highlight w:val="none"/>
                <w:u w:val="none" w:color="auto"/>
                <w:lang w:val="en-US" w:eastAsia="zh-CN"/>
              </w:rPr>
              <w:t>考虑煎煮过程过程蒸汽或进入药渣损耗20%，由此推算单副煎药用水量0.75L/副药，项目煎药用水为</w:t>
            </w:r>
            <w:r>
              <w:rPr>
                <w:rFonts w:hint="eastAsia" w:ascii="TimesNewRomanPSMT" w:hAnsi="TimesNewRomanPSMT" w:eastAsia="TimesNewRomanPSMT"/>
                <w:color w:val="auto"/>
                <w:sz w:val="24"/>
                <w:szCs w:val="24"/>
                <w:highlight w:val="none"/>
                <w:u w:val="none" w:color="auto"/>
              </w:rPr>
              <w:t>0.0</w:t>
            </w:r>
            <w:r>
              <w:rPr>
                <w:rFonts w:hint="eastAsia" w:ascii="TimesNewRomanPSMT" w:hAnsi="TimesNewRomanPSMT" w:eastAsia="宋体"/>
                <w:color w:val="auto"/>
                <w:sz w:val="24"/>
                <w:szCs w:val="24"/>
                <w:highlight w:val="none"/>
                <w:u w:val="none" w:color="auto"/>
                <w:lang w:val="en-US" w:eastAsia="zh-CN"/>
              </w:rPr>
              <w:t>15</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/d</w:t>
            </w:r>
            <w:r>
              <w:rPr>
                <w:rFonts w:hint="eastAsia" w:ascii="宋体" w:hAnsi="宋体" w:eastAsia="宋体"/>
                <w:color w:val="auto"/>
                <w:sz w:val="24"/>
                <w:szCs w:val="24"/>
                <w:highlight w:val="none"/>
                <w:u w:val="none" w:color="auto"/>
                <w:lang w:eastAsia="zh-CN"/>
              </w:rPr>
              <w:t>、</w:t>
            </w:r>
            <w:r>
              <w:rPr>
                <w:rFonts w:hint="eastAsia" w:ascii="TimesNewRomanPSMT" w:hAnsi="TimesNewRomanPSMT" w:eastAsia="宋体"/>
                <w:color w:val="auto"/>
                <w:sz w:val="24"/>
                <w:szCs w:val="24"/>
                <w:highlight w:val="none"/>
                <w:u w:val="none" w:color="auto"/>
                <w:lang w:val="en-US" w:eastAsia="zh-CN"/>
              </w:rPr>
              <w:t>5.475</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/a</w:t>
            </w:r>
            <w:r>
              <w:rPr>
                <w:rFonts w:hint="eastAsia" w:ascii="TimesNewRomanPSMT" w:hAnsi="TimesNewRomanPSMT" w:eastAsia="宋体"/>
                <w:color w:val="auto"/>
                <w:sz w:val="24"/>
                <w:szCs w:val="24"/>
                <w:highlight w:val="none"/>
                <w:u w:val="none" w:color="auto"/>
                <w:lang w:eastAsia="zh-CN"/>
              </w:rPr>
              <w:t>，</w:t>
            </w:r>
            <w:r>
              <w:rPr>
                <w:rFonts w:hint="eastAsia" w:ascii="TimesNewRomanPSMT" w:hAnsi="TimesNewRomanPSMT" w:eastAsia="宋体"/>
                <w:color w:val="auto"/>
                <w:sz w:val="24"/>
                <w:szCs w:val="24"/>
                <w:highlight w:val="none"/>
                <w:u w:val="none" w:color="auto"/>
                <w:lang w:val="en-US" w:eastAsia="zh-CN"/>
              </w:rPr>
              <w:t>除0.003</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/d</w:t>
            </w:r>
            <w:r>
              <w:rPr>
                <w:rFonts w:hint="eastAsia" w:ascii="宋体" w:hAnsi="宋体" w:eastAsia="宋体"/>
                <w:color w:val="auto"/>
                <w:sz w:val="24"/>
                <w:szCs w:val="24"/>
                <w:highlight w:val="none"/>
                <w:u w:val="none" w:color="auto"/>
                <w:lang w:eastAsia="zh-CN"/>
              </w:rPr>
              <w:t>（</w:t>
            </w:r>
            <w:r>
              <w:rPr>
                <w:rFonts w:hint="eastAsia" w:ascii="TimesNewRomanPSMT" w:hAnsi="TimesNewRomanPSMT" w:eastAsia="宋体"/>
                <w:color w:val="auto"/>
                <w:sz w:val="24"/>
                <w:szCs w:val="24"/>
                <w:highlight w:val="none"/>
                <w:u w:val="none" w:color="auto"/>
                <w:lang w:val="en-US" w:eastAsia="zh-CN"/>
              </w:rPr>
              <w:t>4.380</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/a</w:t>
            </w:r>
            <w:r>
              <w:rPr>
                <w:rFonts w:hint="eastAsia" w:ascii="宋体" w:hAnsi="宋体" w:eastAsia="宋体"/>
                <w:color w:val="auto"/>
                <w:sz w:val="24"/>
                <w:szCs w:val="24"/>
                <w:highlight w:val="none"/>
                <w:u w:val="none" w:color="auto"/>
                <w:lang w:eastAsia="zh-CN"/>
              </w:rPr>
              <w:t>）</w:t>
            </w:r>
            <w:r>
              <w:rPr>
                <w:rFonts w:hint="eastAsia" w:ascii="宋体" w:hAnsi="宋体" w:eastAsia="宋体"/>
                <w:color w:val="auto"/>
                <w:sz w:val="24"/>
                <w:szCs w:val="24"/>
                <w:highlight w:val="none"/>
                <w:u w:val="none" w:color="auto"/>
                <w:lang w:val="en-US" w:eastAsia="zh-CN"/>
              </w:rPr>
              <w:t>损耗外，剩余进入煎好的中药，无煎药废水外排；每副药煎煮好后均需要清洗煎药设备，根据企业提供的资料，该部分清洗用水约为40L/d（</w:t>
            </w:r>
            <w:r>
              <w:rPr>
                <w:rFonts w:hint="eastAsia" w:ascii="TimesNewRomanPSMT" w:hAnsi="TimesNewRomanPSMT" w:eastAsia="宋体"/>
                <w:color w:val="auto"/>
                <w:sz w:val="24"/>
                <w:szCs w:val="24"/>
                <w:highlight w:val="none"/>
                <w:u w:val="none" w:color="auto"/>
                <w:lang w:val="en-US" w:eastAsia="zh-CN"/>
              </w:rPr>
              <w:t>14.60</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/a</w:t>
            </w:r>
            <w:r>
              <w:rPr>
                <w:rFonts w:hint="eastAsia" w:ascii="宋体" w:hAnsi="宋体" w:eastAsia="宋体"/>
                <w:color w:val="auto"/>
                <w:sz w:val="24"/>
                <w:szCs w:val="24"/>
                <w:highlight w:val="none"/>
                <w:u w:val="none" w:color="auto"/>
                <w:lang w:val="en-US" w:eastAsia="zh-CN"/>
              </w:rPr>
              <w:t>），损耗8L/d（</w:t>
            </w:r>
            <w:r>
              <w:rPr>
                <w:rFonts w:hint="eastAsia" w:ascii="TimesNewRomanPSMT" w:hAnsi="TimesNewRomanPSMT" w:eastAsia="宋体"/>
                <w:color w:val="auto"/>
                <w:sz w:val="24"/>
                <w:szCs w:val="24"/>
                <w:highlight w:val="none"/>
                <w:u w:val="none" w:color="auto"/>
                <w:lang w:val="en-US" w:eastAsia="zh-CN"/>
              </w:rPr>
              <w:t>2.92</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/a</w:t>
            </w:r>
            <w:r>
              <w:rPr>
                <w:rFonts w:hint="eastAsia" w:ascii="宋体" w:hAnsi="宋体" w:eastAsia="宋体"/>
                <w:color w:val="auto"/>
                <w:sz w:val="24"/>
                <w:szCs w:val="24"/>
                <w:highlight w:val="none"/>
                <w:u w:val="none" w:color="auto"/>
                <w:lang w:val="en-US" w:eastAsia="zh-CN"/>
              </w:rPr>
              <w:t>），排水量为32L/d（</w:t>
            </w:r>
            <w:r>
              <w:rPr>
                <w:rFonts w:hint="eastAsia" w:ascii="TimesNewRomanPSMT" w:hAnsi="TimesNewRomanPSMT" w:eastAsia="宋体"/>
                <w:color w:val="auto"/>
                <w:sz w:val="24"/>
                <w:szCs w:val="24"/>
                <w:highlight w:val="none"/>
                <w:u w:val="none" w:color="auto"/>
                <w:lang w:val="en-US" w:eastAsia="zh-CN"/>
              </w:rPr>
              <w:t>11.680</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/a</w:t>
            </w:r>
            <w:r>
              <w:rPr>
                <w:rFonts w:hint="eastAsia" w:ascii="宋体" w:hAnsi="宋体" w:eastAsia="宋体"/>
                <w:color w:val="auto"/>
                <w:sz w:val="24"/>
                <w:szCs w:val="24"/>
                <w:highlight w:val="none"/>
                <w:u w:val="none" w:color="auto"/>
                <w:lang w:val="en-US" w:eastAsia="zh-CN"/>
              </w:rPr>
              <w:t>）。</w:t>
            </w:r>
            <w:r>
              <w:rPr>
                <w:rFonts w:hint="eastAsia" w:ascii="TimesNewRomanPSMT" w:hAnsi="TimesNewRomanPSMT" w:eastAsia="宋体"/>
                <w:color w:val="auto"/>
                <w:sz w:val="24"/>
                <w:szCs w:val="24"/>
                <w:highlight w:val="none"/>
                <w:u w:val="none" w:color="auto"/>
                <w:lang w:val="en-US" w:eastAsia="zh-CN"/>
              </w:rPr>
              <w:t>该项在2号楼产生、排放，参照</w:t>
            </w:r>
            <w:r>
              <w:rPr>
                <w:rFonts w:hint="eastAsia" w:ascii="宋体" w:hAnsi="宋体"/>
                <w:color w:val="auto"/>
                <w:sz w:val="24"/>
                <w:szCs w:val="24"/>
                <w:highlight w:val="none"/>
                <w:u w:val="none" w:color="auto"/>
                <w:lang w:val="en-US" w:eastAsia="zh-CN"/>
              </w:rPr>
              <w:t>《医院污水处理工程技术规范》(HJ2029-2013)相关规定，将该项列一般医疗废水，排入化粪池+地埋式污水</w:t>
            </w:r>
            <w:r>
              <w:rPr>
                <w:rFonts w:hint="eastAsia" w:ascii="宋体" w:hAnsi="宋体" w:eastAsia="宋体"/>
                <w:color w:val="auto"/>
                <w:sz w:val="24"/>
                <w:szCs w:val="24"/>
                <w:highlight w:val="none"/>
                <w:u w:val="none" w:color="auto"/>
              </w:rPr>
              <w:t>处理站</w:t>
            </w:r>
            <w:r>
              <w:rPr>
                <w:rFonts w:hint="eastAsia" w:ascii="宋体" w:hAnsi="宋体"/>
                <w:color w:val="auto"/>
                <w:sz w:val="24"/>
                <w:szCs w:val="24"/>
                <w:highlight w:val="none"/>
                <w:u w:val="none" w:color="auto"/>
                <w:lang w:val="en-US" w:eastAsia="zh-CN"/>
              </w:rPr>
              <w:t>处理。</w:t>
            </w:r>
          </w:p>
          <w:p w14:paraId="2BC83577">
            <w:pPr>
              <w:keepNext w:val="0"/>
              <w:keepLines w:val="0"/>
              <w:pageBreakBefore w:val="0"/>
              <w:widowControl w:val="0"/>
              <w:tabs>
                <w:tab w:val="left" w:pos="624"/>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olor w:val="auto"/>
                <w:sz w:val="24"/>
                <w:szCs w:val="24"/>
                <w:u w:val="none" w:color="auto"/>
              </w:rPr>
            </w:pPr>
            <w:r>
              <w:rPr>
                <w:rFonts w:hint="eastAsia" w:ascii="宋体" w:hAnsi="宋体"/>
                <w:color w:val="auto"/>
                <w:sz w:val="24"/>
                <w:szCs w:val="24"/>
                <w:u w:val="none" w:color="auto"/>
                <w:lang w:val="en-US" w:eastAsia="zh-CN"/>
              </w:rPr>
              <w:t>G.</w:t>
            </w:r>
            <w:r>
              <w:rPr>
                <w:rFonts w:hint="eastAsia" w:ascii="宋体" w:hAnsi="宋体" w:eastAsia="宋体"/>
                <w:color w:val="auto"/>
                <w:sz w:val="24"/>
                <w:szCs w:val="24"/>
                <w:u w:val="none" w:color="auto"/>
              </w:rPr>
              <w:t>食堂餐饮用水</w:t>
            </w:r>
          </w:p>
          <w:p w14:paraId="75FA5DEE">
            <w:pPr>
              <w:keepNext w:val="0"/>
              <w:keepLines w:val="0"/>
              <w:pageBreakBefore w:val="0"/>
              <w:widowControl w:val="0"/>
              <w:tabs>
                <w:tab w:val="left" w:pos="624"/>
              </w:tabs>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olor w:val="auto"/>
                <w:sz w:val="24"/>
                <w:szCs w:val="24"/>
                <w:highlight w:val="none"/>
                <w:u w:val="none" w:color="auto"/>
              </w:rPr>
            </w:pPr>
            <w:r>
              <w:rPr>
                <w:rFonts w:hint="eastAsia" w:ascii="宋体" w:hAnsi="宋体"/>
                <w:color w:val="auto"/>
                <w:sz w:val="24"/>
                <w:szCs w:val="24"/>
                <w:highlight w:val="none"/>
                <w:u w:val="none" w:color="auto"/>
                <w:lang w:val="en-US" w:eastAsia="zh-CN"/>
              </w:rPr>
              <w:t>项目食堂设在2号楼一楼，</w:t>
            </w:r>
            <w:r>
              <w:rPr>
                <w:rFonts w:hint="eastAsia" w:ascii="宋体" w:hAnsi="宋体" w:eastAsia="宋体"/>
                <w:color w:val="auto"/>
                <w:sz w:val="24"/>
                <w:szCs w:val="24"/>
                <w:highlight w:val="none"/>
                <w:u w:val="none" w:color="auto"/>
              </w:rPr>
              <w:t>参考</w:t>
            </w:r>
            <w:r>
              <w:rPr>
                <w:rFonts w:hint="eastAsia" w:ascii="宋体" w:hAnsi="宋体"/>
                <w:color w:val="auto"/>
                <w:sz w:val="24"/>
                <w:szCs w:val="24"/>
                <w:highlight w:val="none"/>
                <w:u w:val="none" w:color="auto"/>
                <w:lang w:eastAsia="zh-CN"/>
              </w:rPr>
              <w:t>《综合医院建筑设计标准》（GB51039-2024）</w:t>
            </w:r>
            <w:r>
              <w:rPr>
                <w:rFonts w:hint="eastAsia" w:ascii="宋体" w:hAnsi="宋体" w:eastAsia="宋体"/>
                <w:color w:val="auto"/>
                <w:sz w:val="24"/>
                <w:szCs w:val="24"/>
                <w:highlight w:val="none"/>
                <w:u w:val="none" w:color="auto"/>
              </w:rPr>
              <w:t>，食堂餐饮用水量为20</w:t>
            </w:r>
            <w:r>
              <w:rPr>
                <w:rFonts w:hint="eastAsia" w:ascii="宋体" w:hAnsi="宋体"/>
                <w:color w:val="auto"/>
                <w:sz w:val="24"/>
                <w:szCs w:val="24"/>
                <w:highlight w:val="none"/>
                <w:u w:val="none" w:color="auto"/>
                <w:lang w:eastAsia="zh-CN"/>
              </w:rPr>
              <w:t>～</w:t>
            </w:r>
            <w:r>
              <w:rPr>
                <w:rFonts w:hint="eastAsia" w:ascii="宋体" w:hAnsi="宋体" w:eastAsia="宋体"/>
                <w:color w:val="auto"/>
                <w:sz w:val="24"/>
                <w:szCs w:val="24"/>
                <w:highlight w:val="none"/>
                <w:u w:val="none" w:color="auto"/>
              </w:rPr>
              <w:t>25L/人·次，本评价按2</w:t>
            </w:r>
            <w:r>
              <w:rPr>
                <w:rFonts w:hint="eastAsia" w:ascii="宋体" w:hAnsi="宋体"/>
                <w:color w:val="auto"/>
                <w:sz w:val="24"/>
                <w:szCs w:val="24"/>
                <w:highlight w:val="none"/>
                <w:u w:val="none" w:color="auto"/>
                <w:lang w:val="en-US" w:eastAsia="zh-CN"/>
              </w:rPr>
              <w:t>0</w:t>
            </w:r>
            <w:r>
              <w:rPr>
                <w:rFonts w:hint="eastAsia" w:ascii="宋体" w:hAnsi="宋体" w:eastAsia="宋体"/>
                <w:color w:val="auto"/>
                <w:sz w:val="24"/>
                <w:szCs w:val="24"/>
                <w:highlight w:val="none"/>
                <w:u w:val="none" w:color="auto"/>
              </w:rPr>
              <w:t>L/人·次计，项目食堂就餐人数约</w:t>
            </w:r>
            <w:r>
              <w:rPr>
                <w:rFonts w:hint="eastAsia" w:ascii="宋体" w:hAnsi="宋体"/>
                <w:color w:val="auto"/>
                <w:sz w:val="24"/>
                <w:szCs w:val="24"/>
                <w:highlight w:val="none"/>
                <w:u w:val="none" w:color="auto"/>
                <w:lang w:val="en-US" w:eastAsia="zh-CN"/>
              </w:rPr>
              <w:t>813</w:t>
            </w:r>
            <w:r>
              <w:rPr>
                <w:rFonts w:hint="eastAsia" w:ascii="宋体" w:hAnsi="宋体" w:eastAsia="宋体"/>
                <w:color w:val="auto"/>
                <w:sz w:val="24"/>
                <w:szCs w:val="24"/>
                <w:highlight w:val="none"/>
                <w:u w:val="none" w:color="auto"/>
              </w:rPr>
              <w:t>人次</w:t>
            </w:r>
            <w:r>
              <w:rPr>
                <w:rFonts w:hint="eastAsia" w:ascii="宋体" w:hAnsi="宋体"/>
                <w:color w:val="auto"/>
                <w:sz w:val="24"/>
                <w:szCs w:val="24"/>
                <w:highlight w:val="none"/>
                <w:u w:val="none" w:color="auto"/>
                <w:lang w:val="en-US" w:eastAsia="zh-CN"/>
              </w:rPr>
              <w:t>/天</w:t>
            </w:r>
            <w:r>
              <w:rPr>
                <w:rFonts w:hint="eastAsia" w:ascii="宋体" w:hAnsi="宋体" w:eastAsia="宋体"/>
                <w:color w:val="auto"/>
                <w:sz w:val="24"/>
                <w:szCs w:val="24"/>
                <w:highlight w:val="none"/>
                <w:u w:val="none" w:color="auto"/>
              </w:rPr>
              <w:t>，一年工作365 天，则食堂日用水量为</w:t>
            </w:r>
            <w:r>
              <w:rPr>
                <w:rFonts w:hint="eastAsia" w:ascii="宋体" w:hAnsi="宋体"/>
                <w:color w:val="auto"/>
                <w:sz w:val="24"/>
                <w:szCs w:val="24"/>
                <w:highlight w:val="none"/>
                <w:u w:val="none" w:color="auto"/>
                <w:lang w:val="en-US" w:eastAsia="zh-CN"/>
              </w:rPr>
              <w:t>21.00</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宋体" w:hAnsi="宋体" w:eastAsia="宋体"/>
                <w:color w:val="auto"/>
                <w:sz w:val="24"/>
                <w:szCs w:val="24"/>
                <w:highlight w:val="none"/>
                <w:u w:val="none" w:color="auto"/>
              </w:rPr>
              <w:t>，年用水量为</w:t>
            </w:r>
            <w:r>
              <w:rPr>
                <w:rFonts w:hint="eastAsia" w:ascii="宋体" w:hAnsi="宋体"/>
                <w:color w:val="auto"/>
                <w:sz w:val="24"/>
                <w:szCs w:val="24"/>
                <w:highlight w:val="none"/>
                <w:u w:val="none" w:color="auto"/>
                <w:lang w:val="en-US" w:eastAsia="zh-CN"/>
              </w:rPr>
              <w:t>7665.000</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宋体" w:hAnsi="宋体" w:eastAsia="宋体"/>
                <w:color w:val="auto"/>
                <w:sz w:val="24"/>
                <w:szCs w:val="24"/>
                <w:highlight w:val="none"/>
                <w:u w:val="none" w:color="auto"/>
              </w:rPr>
              <w:t>。排水量按用水量80%计，则排水量为</w:t>
            </w:r>
            <w:r>
              <w:rPr>
                <w:rFonts w:hint="eastAsia" w:ascii="宋体" w:hAnsi="宋体"/>
                <w:color w:val="0000FF"/>
                <w:sz w:val="24"/>
                <w:szCs w:val="24"/>
                <w:highlight w:val="none"/>
                <w:u w:val="none" w:color="auto"/>
                <w:lang w:val="en-US" w:eastAsia="zh-CN"/>
              </w:rPr>
              <w:t>16.260</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宋体" w:hAnsi="宋体" w:eastAsia="宋体"/>
                <w:color w:val="auto"/>
                <w:sz w:val="24"/>
                <w:szCs w:val="24"/>
                <w:highlight w:val="none"/>
                <w:u w:val="none" w:color="auto"/>
              </w:rPr>
              <w:t>/d，</w:t>
            </w:r>
            <w:r>
              <w:rPr>
                <w:rFonts w:hint="eastAsia" w:ascii="宋体" w:hAnsi="宋体"/>
                <w:color w:val="0000FF"/>
                <w:sz w:val="24"/>
                <w:szCs w:val="24"/>
                <w:highlight w:val="none"/>
                <w:u w:val="none" w:color="auto"/>
                <w:lang w:val="en-US" w:eastAsia="zh-CN"/>
              </w:rPr>
              <w:t>5934.900</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宋体" w:hAnsi="宋体" w:eastAsia="宋体"/>
                <w:color w:val="auto"/>
                <w:sz w:val="24"/>
                <w:szCs w:val="24"/>
                <w:highlight w:val="none"/>
                <w:u w:val="none" w:color="auto"/>
              </w:rPr>
              <w:t>/a。</w:t>
            </w:r>
            <w:r>
              <w:rPr>
                <w:rFonts w:hint="eastAsia" w:ascii="TimesNewRomanPSMT" w:hAnsi="TimesNewRomanPSMT" w:eastAsia="宋体"/>
                <w:color w:val="auto"/>
                <w:sz w:val="24"/>
                <w:szCs w:val="24"/>
                <w:highlight w:val="none"/>
                <w:u w:val="none" w:color="auto"/>
                <w:lang w:val="en-US" w:eastAsia="zh-CN"/>
              </w:rPr>
              <w:t>该项</w:t>
            </w:r>
            <w:r>
              <w:rPr>
                <w:rFonts w:hint="eastAsia" w:ascii="TimesNewRomanPSMT" w:hAnsi="TimesNewRomanPSMT"/>
                <w:color w:val="auto"/>
                <w:sz w:val="24"/>
                <w:szCs w:val="24"/>
                <w:highlight w:val="none"/>
                <w:u w:val="none" w:color="auto"/>
                <w:lang w:val="en-US" w:eastAsia="zh-CN"/>
              </w:rPr>
              <w:t>与</w:t>
            </w:r>
            <w:r>
              <w:rPr>
                <w:rFonts w:hint="eastAsia" w:ascii="TimesNewRomanPSMT" w:hAnsi="TimesNewRomanPSMT" w:eastAsia="宋体"/>
                <w:color w:val="auto"/>
                <w:sz w:val="24"/>
                <w:szCs w:val="24"/>
                <w:highlight w:val="none"/>
                <w:u w:val="none" w:color="auto"/>
                <w:lang w:val="en-US" w:eastAsia="zh-CN"/>
              </w:rPr>
              <w:t>2号楼</w:t>
            </w:r>
            <w:r>
              <w:rPr>
                <w:rFonts w:hint="eastAsia" w:ascii="TimesNewRomanPSMT" w:hAnsi="TimesNewRomanPSMT"/>
                <w:color w:val="auto"/>
                <w:sz w:val="24"/>
                <w:szCs w:val="24"/>
                <w:highlight w:val="none"/>
                <w:u w:val="none" w:color="auto"/>
                <w:lang w:val="en-US" w:eastAsia="zh-CN"/>
              </w:rPr>
              <w:t>产生的污、废水混排</w:t>
            </w:r>
            <w:r>
              <w:rPr>
                <w:rFonts w:hint="eastAsia" w:ascii="TimesNewRomanPSMT" w:hAnsi="TimesNewRomanPSMT" w:eastAsia="宋体"/>
                <w:color w:val="auto"/>
                <w:sz w:val="24"/>
                <w:szCs w:val="24"/>
                <w:highlight w:val="none"/>
                <w:u w:val="none" w:color="auto"/>
                <w:lang w:val="en-US" w:eastAsia="zh-CN"/>
              </w:rPr>
              <w:t>，参照</w:t>
            </w:r>
            <w:r>
              <w:rPr>
                <w:rFonts w:hint="eastAsia" w:ascii="宋体" w:hAnsi="宋体"/>
                <w:color w:val="auto"/>
                <w:sz w:val="24"/>
                <w:szCs w:val="24"/>
                <w:highlight w:val="none"/>
                <w:u w:val="none" w:color="auto"/>
                <w:lang w:val="en-US" w:eastAsia="zh-CN"/>
              </w:rPr>
              <w:t>《医院污水处理工程技术规范》(HJ2029-2013)相关规定，将该项列一般医疗废水，</w:t>
            </w:r>
            <w:r>
              <w:rPr>
                <w:rFonts w:hint="eastAsia" w:ascii="宋体" w:hAnsi="宋体" w:eastAsia="宋体"/>
                <w:color w:val="auto"/>
                <w:sz w:val="24"/>
                <w:szCs w:val="24"/>
                <w:highlight w:val="none"/>
                <w:u w:val="none" w:color="auto"/>
              </w:rPr>
              <w:t>经隔油池预处理</w:t>
            </w:r>
            <w:r>
              <w:rPr>
                <w:rFonts w:hint="eastAsia" w:ascii="宋体" w:hAnsi="宋体"/>
                <w:color w:val="auto"/>
                <w:sz w:val="24"/>
                <w:szCs w:val="24"/>
                <w:highlight w:val="none"/>
                <w:u w:val="none" w:color="auto"/>
                <w:lang w:val="en-US" w:eastAsia="zh-CN"/>
              </w:rPr>
              <w:t>进入化粪池+地埋式污水</w:t>
            </w:r>
            <w:r>
              <w:rPr>
                <w:rFonts w:hint="eastAsia" w:ascii="宋体" w:hAnsi="宋体" w:eastAsia="宋体"/>
                <w:color w:val="auto"/>
                <w:sz w:val="24"/>
                <w:szCs w:val="24"/>
                <w:highlight w:val="none"/>
                <w:u w:val="none" w:color="auto"/>
              </w:rPr>
              <w:t>处理站</w:t>
            </w:r>
            <w:r>
              <w:rPr>
                <w:rFonts w:hint="eastAsia" w:ascii="宋体" w:hAnsi="宋体"/>
                <w:color w:val="auto"/>
                <w:sz w:val="24"/>
                <w:szCs w:val="24"/>
                <w:highlight w:val="none"/>
                <w:u w:val="none" w:color="auto"/>
                <w:lang w:val="en-US" w:eastAsia="zh-CN"/>
              </w:rPr>
              <w:t>处理</w:t>
            </w:r>
            <w:r>
              <w:rPr>
                <w:rFonts w:hint="eastAsia" w:ascii="宋体" w:hAnsi="宋体" w:eastAsia="宋体"/>
                <w:color w:val="auto"/>
                <w:sz w:val="24"/>
                <w:szCs w:val="24"/>
                <w:highlight w:val="none"/>
                <w:u w:val="none" w:color="auto"/>
              </w:rPr>
              <w:t>。</w:t>
            </w:r>
          </w:p>
          <w:p w14:paraId="05B34298">
            <w:pPr>
              <w:keepNext w:val="0"/>
              <w:keepLines w:val="0"/>
              <w:pageBreakBefore w:val="0"/>
              <w:widowControl w:val="0"/>
              <w:tabs>
                <w:tab w:val="left" w:pos="624"/>
              </w:tabs>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olor w:val="auto"/>
                <w:sz w:val="24"/>
                <w:szCs w:val="24"/>
                <w:highlight w:val="none"/>
                <w:u w:val="none" w:color="auto"/>
                <w:lang w:val="en-US"/>
              </w:rPr>
            </w:pPr>
            <w:r>
              <w:rPr>
                <w:rFonts w:hint="eastAsia" w:ascii="宋体" w:hAnsi="宋体"/>
                <w:color w:val="auto"/>
                <w:sz w:val="24"/>
                <w:szCs w:val="24"/>
                <w:highlight w:val="none"/>
                <w:u w:val="none" w:color="auto"/>
                <w:lang w:val="en-US" w:eastAsia="zh-CN"/>
              </w:rPr>
              <w:t>F.后勤人员办公用水、排水</w:t>
            </w:r>
          </w:p>
          <w:p w14:paraId="25C170E1">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宋体" w:hAnsi="宋体"/>
                <w:color w:val="auto"/>
                <w:sz w:val="24"/>
                <w:szCs w:val="24"/>
                <w:highlight w:val="none"/>
                <w:u w:val="none" w:color="auto"/>
                <w:lang w:val="en-US" w:eastAsia="zh-CN"/>
              </w:rPr>
            </w:pPr>
            <w:r>
              <w:rPr>
                <w:rFonts w:hint="eastAsia" w:ascii="宋体" w:hAnsi="宋体"/>
                <w:color w:val="auto"/>
                <w:sz w:val="24"/>
                <w:szCs w:val="24"/>
                <w:highlight w:val="none"/>
                <w:u w:val="none" w:color="auto"/>
                <w:lang w:val="en-US" w:eastAsia="zh-CN"/>
              </w:rPr>
              <w:t>后勤人员用水量按50L/d·人计，该项</w:t>
            </w:r>
            <w:r>
              <w:rPr>
                <w:rFonts w:hint="eastAsia" w:ascii="宋体" w:hAnsi="宋体" w:eastAsia="宋体"/>
                <w:color w:val="auto"/>
                <w:sz w:val="24"/>
                <w:szCs w:val="24"/>
                <w:highlight w:val="none"/>
                <w:u w:val="none" w:color="auto"/>
              </w:rPr>
              <w:t>日用水量为</w:t>
            </w:r>
            <w:r>
              <w:rPr>
                <w:rFonts w:hint="eastAsia" w:ascii="宋体" w:hAnsi="宋体"/>
                <w:color w:val="auto"/>
                <w:sz w:val="24"/>
                <w:szCs w:val="24"/>
                <w:highlight w:val="none"/>
                <w:u w:val="none" w:color="auto"/>
                <w:lang w:val="en-US" w:eastAsia="zh-CN"/>
              </w:rPr>
              <w:t>0.75</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宋体" w:hAnsi="宋体" w:eastAsia="宋体"/>
                <w:color w:val="auto"/>
                <w:sz w:val="24"/>
                <w:szCs w:val="24"/>
                <w:highlight w:val="none"/>
                <w:u w:val="none" w:color="auto"/>
              </w:rPr>
              <w:t>，年用水量为</w:t>
            </w:r>
            <w:r>
              <w:rPr>
                <w:rFonts w:hint="eastAsia" w:ascii="宋体" w:hAnsi="宋体"/>
                <w:color w:val="auto"/>
                <w:sz w:val="24"/>
                <w:szCs w:val="24"/>
                <w:highlight w:val="none"/>
                <w:u w:val="none" w:color="auto"/>
                <w:lang w:val="en-US" w:eastAsia="zh-CN"/>
              </w:rPr>
              <w:t>273.750</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宋体" w:hAnsi="宋体" w:eastAsia="宋体"/>
                <w:color w:val="auto"/>
                <w:sz w:val="24"/>
                <w:szCs w:val="24"/>
                <w:highlight w:val="none"/>
                <w:u w:val="none" w:color="auto"/>
              </w:rPr>
              <w:t>。排水量按用水量80%计，则排水量为</w:t>
            </w:r>
            <w:r>
              <w:rPr>
                <w:rFonts w:hint="eastAsia" w:ascii="宋体" w:hAnsi="宋体"/>
                <w:color w:val="auto"/>
                <w:sz w:val="24"/>
                <w:szCs w:val="24"/>
                <w:highlight w:val="none"/>
                <w:u w:val="none" w:color="auto"/>
                <w:lang w:val="en-US" w:eastAsia="zh-CN"/>
              </w:rPr>
              <w:t>0.600</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宋体" w:hAnsi="宋体" w:eastAsia="宋体"/>
                <w:color w:val="auto"/>
                <w:sz w:val="24"/>
                <w:szCs w:val="24"/>
                <w:highlight w:val="none"/>
                <w:u w:val="none" w:color="auto"/>
              </w:rPr>
              <w:t>/d，</w:t>
            </w:r>
            <w:r>
              <w:rPr>
                <w:rFonts w:hint="eastAsia" w:ascii="宋体" w:hAnsi="宋体"/>
                <w:color w:val="auto"/>
                <w:sz w:val="24"/>
                <w:szCs w:val="24"/>
                <w:highlight w:val="none"/>
                <w:u w:val="none" w:color="auto"/>
                <w:lang w:val="en-US" w:eastAsia="zh-CN"/>
              </w:rPr>
              <w:t>219.00</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宋体" w:hAnsi="宋体" w:eastAsia="宋体"/>
                <w:color w:val="auto"/>
                <w:sz w:val="24"/>
                <w:szCs w:val="24"/>
                <w:highlight w:val="none"/>
                <w:u w:val="none" w:color="auto"/>
              </w:rPr>
              <w:t>/a。</w:t>
            </w:r>
            <w:r>
              <w:rPr>
                <w:rFonts w:hint="eastAsia" w:ascii="TimesNewRomanPSMT" w:hAnsi="TimesNewRomanPSMT" w:eastAsia="宋体"/>
                <w:color w:val="auto"/>
                <w:sz w:val="24"/>
                <w:szCs w:val="24"/>
                <w:highlight w:val="none"/>
                <w:u w:val="none" w:color="auto"/>
                <w:lang w:val="en-US" w:eastAsia="zh-CN"/>
              </w:rPr>
              <w:t>该项</w:t>
            </w:r>
            <w:r>
              <w:rPr>
                <w:rFonts w:hint="eastAsia" w:ascii="TimesNewRomanPSMT" w:hAnsi="TimesNewRomanPSMT"/>
                <w:color w:val="auto"/>
                <w:sz w:val="24"/>
                <w:szCs w:val="24"/>
                <w:highlight w:val="none"/>
                <w:u w:val="none" w:color="auto"/>
                <w:lang w:val="en-US" w:eastAsia="zh-CN"/>
              </w:rPr>
              <w:t>与</w:t>
            </w:r>
            <w:r>
              <w:rPr>
                <w:rFonts w:hint="eastAsia" w:ascii="TimesNewRomanPSMT" w:hAnsi="TimesNewRomanPSMT" w:eastAsia="宋体"/>
                <w:color w:val="auto"/>
                <w:sz w:val="24"/>
                <w:szCs w:val="24"/>
                <w:highlight w:val="none"/>
                <w:u w:val="none" w:color="auto"/>
                <w:lang w:val="en-US" w:eastAsia="zh-CN"/>
              </w:rPr>
              <w:t>2号楼</w:t>
            </w:r>
            <w:r>
              <w:rPr>
                <w:rFonts w:hint="eastAsia" w:ascii="TimesNewRomanPSMT" w:hAnsi="TimesNewRomanPSMT"/>
                <w:color w:val="auto"/>
                <w:sz w:val="24"/>
                <w:szCs w:val="24"/>
                <w:highlight w:val="none"/>
                <w:u w:val="none" w:color="auto"/>
                <w:lang w:val="en-US" w:eastAsia="zh-CN"/>
              </w:rPr>
              <w:t>产生的污、废水混排</w:t>
            </w:r>
            <w:r>
              <w:rPr>
                <w:rFonts w:hint="eastAsia" w:ascii="TimesNewRomanPSMT" w:hAnsi="TimesNewRomanPSMT" w:eastAsia="宋体"/>
                <w:color w:val="auto"/>
                <w:sz w:val="24"/>
                <w:szCs w:val="24"/>
                <w:highlight w:val="none"/>
                <w:u w:val="none" w:color="auto"/>
                <w:lang w:val="en-US" w:eastAsia="zh-CN"/>
              </w:rPr>
              <w:t>，参照</w:t>
            </w:r>
            <w:r>
              <w:rPr>
                <w:rFonts w:hint="eastAsia" w:ascii="宋体" w:hAnsi="宋体"/>
                <w:color w:val="auto"/>
                <w:sz w:val="24"/>
                <w:szCs w:val="24"/>
                <w:highlight w:val="none"/>
                <w:u w:val="none" w:color="auto"/>
                <w:lang w:val="en-US" w:eastAsia="zh-CN"/>
              </w:rPr>
              <w:t>《医院污水处理工程技术规范》(HJ2029-2013)相关规定，将该项列一般医疗废水，排入化粪池+地埋式污水</w:t>
            </w:r>
            <w:r>
              <w:rPr>
                <w:rFonts w:hint="eastAsia" w:ascii="宋体" w:hAnsi="宋体" w:eastAsia="宋体"/>
                <w:color w:val="auto"/>
                <w:sz w:val="24"/>
                <w:szCs w:val="24"/>
                <w:highlight w:val="none"/>
                <w:u w:val="none" w:color="auto"/>
              </w:rPr>
              <w:t>处理站</w:t>
            </w:r>
            <w:r>
              <w:rPr>
                <w:rFonts w:hint="eastAsia" w:ascii="宋体" w:hAnsi="宋体"/>
                <w:color w:val="auto"/>
                <w:sz w:val="24"/>
                <w:szCs w:val="24"/>
                <w:highlight w:val="none"/>
                <w:u w:val="none" w:color="auto"/>
                <w:lang w:val="en-US" w:eastAsia="zh-CN"/>
              </w:rPr>
              <w:t>处理。</w:t>
            </w:r>
          </w:p>
          <w:p w14:paraId="2945F3C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宋体" w:hAnsi="宋体" w:eastAsia="宋体"/>
                <w:color w:val="auto"/>
                <w:sz w:val="24"/>
                <w:szCs w:val="24"/>
                <w:highlight w:val="none"/>
                <w:u w:val="none" w:color="auto"/>
                <w:lang w:val="en-US" w:eastAsia="zh-CN"/>
              </w:rPr>
            </w:pPr>
            <w:r>
              <w:rPr>
                <w:rFonts w:hint="eastAsia" w:ascii="宋体" w:hAnsi="宋体"/>
                <w:color w:val="auto"/>
                <w:sz w:val="24"/>
                <w:szCs w:val="24"/>
                <w:highlight w:val="none"/>
                <w:u w:val="none" w:color="auto"/>
                <w:lang w:val="en-US" w:eastAsia="zh-CN"/>
              </w:rPr>
              <w:t>H.绿化：院区绿化面积约为500m</w:t>
            </w:r>
            <w:r>
              <w:rPr>
                <w:rFonts w:hint="eastAsia" w:ascii="宋体" w:hAnsi="宋体"/>
                <w:color w:val="auto"/>
                <w:sz w:val="24"/>
                <w:szCs w:val="24"/>
                <w:highlight w:val="none"/>
                <w:u w:val="none" w:color="auto"/>
                <w:vertAlign w:val="superscript"/>
                <w:lang w:val="en-US" w:eastAsia="zh-CN"/>
              </w:rPr>
              <w:t>2</w:t>
            </w:r>
            <w:r>
              <w:rPr>
                <w:rFonts w:hint="eastAsia" w:ascii="宋体" w:hAnsi="宋体"/>
                <w:color w:val="auto"/>
                <w:sz w:val="24"/>
                <w:szCs w:val="24"/>
                <w:highlight w:val="none"/>
                <w:u w:val="none" w:color="auto"/>
                <w:lang w:val="en-US" w:eastAsia="zh-CN"/>
              </w:rPr>
              <w:t>，绿化用水按1L/ m</w:t>
            </w:r>
            <w:r>
              <w:rPr>
                <w:rFonts w:hint="eastAsia" w:ascii="宋体" w:hAnsi="宋体"/>
                <w:color w:val="auto"/>
                <w:sz w:val="24"/>
                <w:szCs w:val="24"/>
                <w:highlight w:val="none"/>
                <w:u w:val="none" w:color="auto"/>
                <w:vertAlign w:val="superscript"/>
                <w:lang w:val="en-US" w:eastAsia="zh-CN"/>
              </w:rPr>
              <w:t>2</w:t>
            </w:r>
            <w:r>
              <w:rPr>
                <w:rFonts w:hint="eastAsia" w:ascii="宋体" w:hAnsi="宋体"/>
                <w:color w:val="auto"/>
                <w:sz w:val="24"/>
                <w:szCs w:val="24"/>
                <w:highlight w:val="none"/>
                <w:u w:val="none" w:color="auto"/>
                <w:lang w:val="en-US" w:eastAsia="zh-CN"/>
              </w:rPr>
              <w:t>·d计，用水量为</w:t>
            </w:r>
            <w:r>
              <w:rPr>
                <w:rFonts w:hint="eastAsia" w:ascii="TimesNewRomanPSMT" w:hAnsi="TimesNewRomanPSMT"/>
                <w:color w:val="auto"/>
                <w:sz w:val="24"/>
                <w:szCs w:val="24"/>
                <w:highlight w:val="none"/>
                <w:u w:val="none" w:color="auto"/>
                <w:lang w:val="en-US" w:eastAsia="zh-CN"/>
              </w:rPr>
              <w:t>0.8</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/d</w:t>
            </w:r>
            <w:r>
              <w:rPr>
                <w:rFonts w:hint="eastAsia" w:ascii="宋体" w:hAnsi="宋体" w:eastAsia="宋体"/>
                <w:color w:val="auto"/>
                <w:sz w:val="24"/>
                <w:szCs w:val="24"/>
                <w:highlight w:val="none"/>
                <w:u w:val="none" w:color="auto"/>
                <w:lang w:eastAsia="zh-CN"/>
              </w:rPr>
              <w:t>、</w:t>
            </w:r>
            <w:r>
              <w:rPr>
                <w:rFonts w:hint="eastAsia" w:ascii="TimesNewRomanPSMT" w:hAnsi="TimesNewRomanPSMT"/>
                <w:color w:val="auto"/>
                <w:sz w:val="24"/>
                <w:szCs w:val="24"/>
                <w:highlight w:val="none"/>
                <w:u w:val="none" w:color="auto"/>
                <w:lang w:val="en-US" w:eastAsia="zh-CN"/>
              </w:rPr>
              <w:t>182.500</w:t>
            </w:r>
            <w:r>
              <w:rPr>
                <w:rFonts w:hint="eastAsia" w:ascii="宋体" w:hAnsi="宋体" w:eastAsia="宋体"/>
                <w:color w:val="auto"/>
                <w:sz w:val="24"/>
                <w:szCs w:val="24"/>
                <w:highlight w:val="none"/>
                <w:u w:val="none" w:color="auto"/>
              </w:rPr>
              <w:t>m</w:t>
            </w:r>
            <w:r>
              <w:rPr>
                <w:rFonts w:hint="eastAsia" w:ascii="宋体" w:hAnsi="宋体" w:eastAsia="宋体"/>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/a</w:t>
            </w:r>
            <w:r>
              <w:rPr>
                <w:rFonts w:hint="eastAsia" w:ascii="宋体" w:hAnsi="宋体"/>
                <w:color w:val="auto"/>
                <w:sz w:val="24"/>
                <w:szCs w:val="24"/>
                <w:highlight w:val="none"/>
                <w:u w:val="none" w:color="auto"/>
                <w:lang w:val="en-US" w:eastAsia="zh-CN"/>
              </w:rPr>
              <w:t>，全部损耗，无外排。</w:t>
            </w:r>
          </w:p>
          <w:p w14:paraId="20B4864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olor w:val="auto"/>
                <w:sz w:val="24"/>
                <w:szCs w:val="24"/>
                <w:highlight w:val="none"/>
                <w:u w:val="none" w:color="auto"/>
                <w:lang w:val="en-US" w:eastAsia="zh-CN"/>
              </w:rPr>
            </w:pPr>
            <w:r>
              <w:rPr>
                <w:rFonts w:hint="eastAsia" w:ascii="宋体" w:hAnsi="宋体"/>
                <w:color w:val="auto"/>
                <w:sz w:val="24"/>
                <w:szCs w:val="24"/>
                <w:highlight w:val="none"/>
                <w:u w:val="none" w:color="auto"/>
                <w:lang w:val="en-US" w:eastAsia="zh-CN"/>
              </w:rPr>
              <w:t>由上，项目总用水量为</w:t>
            </w:r>
            <w:r>
              <w:rPr>
                <w:rFonts w:hint="eastAsia" w:ascii="宋体" w:hAnsi="宋体"/>
                <w:color w:val="0000FF"/>
                <w:sz w:val="24"/>
                <w:szCs w:val="24"/>
                <w:highlight w:val="none"/>
                <w:u w:val="none" w:color="auto"/>
                <w:lang w:val="en-US" w:eastAsia="zh-CN"/>
              </w:rPr>
              <w:t>107.835</w:t>
            </w:r>
            <w:r>
              <w:rPr>
                <w:rFonts w:hint="eastAsia" w:ascii="TimesNewRomanPSMT" w:hAnsi="TimesNewRomanPSMT" w:eastAsia="TimesNewRomanPSMT"/>
                <w:color w:val="auto"/>
                <w:sz w:val="24"/>
                <w:szCs w:val="24"/>
                <w:highlight w:val="none"/>
                <w:u w:val="none" w:color="auto"/>
              </w:rPr>
              <w:t>m</w:t>
            </w:r>
            <w:r>
              <w:rPr>
                <w:rFonts w:hint="eastAsia" w:ascii="TimesNewRomanPSMT" w:hAnsi="TimesNewRomanPSMT" w:eastAsia="TimesNewRomanPSMT"/>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/d</w:t>
            </w:r>
            <w:r>
              <w:rPr>
                <w:rFonts w:hint="eastAsia" w:ascii="宋体" w:hAnsi="宋体" w:eastAsia="宋体"/>
                <w:color w:val="auto"/>
                <w:sz w:val="24"/>
                <w:szCs w:val="24"/>
                <w:highlight w:val="none"/>
                <w:u w:val="none" w:color="auto"/>
              </w:rPr>
              <w:t>（</w:t>
            </w:r>
            <w:r>
              <w:rPr>
                <w:rFonts w:hint="eastAsia" w:ascii="TimesNewRomanPSMT" w:hAnsi="TimesNewRomanPSMT"/>
                <w:color w:val="0000FF"/>
                <w:sz w:val="24"/>
                <w:szCs w:val="24"/>
                <w:highlight w:val="none"/>
                <w:u w:val="none" w:color="auto"/>
                <w:lang w:val="en-US" w:eastAsia="zh-CN"/>
              </w:rPr>
              <w:t>39359.775</w:t>
            </w:r>
            <w:r>
              <w:rPr>
                <w:rFonts w:hint="eastAsia" w:ascii="TimesNewRomanPSMT" w:hAnsi="TimesNewRomanPSMT" w:eastAsia="TimesNewRomanPSMT"/>
                <w:color w:val="auto"/>
                <w:sz w:val="24"/>
                <w:szCs w:val="24"/>
                <w:highlight w:val="none"/>
                <w:u w:val="none" w:color="auto"/>
              </w:rPr>
              <w:t>m</w:t>
            </w:r>
            <w:r>
              <w:rPr>
                <w:rFonts w:hint="eastAsia" w:ascii="TimesNewRomanPSMT" w:hAnsi="TimesNewRomanPSMT" w:eastAsia="TimesNewRomanPSMT"/>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/a</w:t>
            </w:r>
            <w:r>
              <w:rPr>
                <w:rFonts w:hint="eastAsia" w:ascii="宋体" w:hAnsi="宋体" w:eastAsia="宋体"/>
                <w:color w:val="auto"/>
                <w:sz w:val="24"/>
                <w:szCs w:val="24"/>
                <w:highlight w:val="none"/>
                <w:u w:val="none" w:color="auto"/>
              </w:rPr>
              <w:t>）</w:t>
            </w:r>
            <w:r>
              <w:rPr>
                <w:rFonts w:hint="eastAsia" w:ascii="宋体" w:hAnsi="宋体"/>
                <w:color w:val="auto"/>
                <w:sz w:val="24"/>
                <w:szCs w:val="24"/>
                <w:highlight w:val="none"/>
                <w:u w:val="none" w:color="auto"/>
                <w:lang w:eastAsia="zh-CN"/>
              </w:rPr>
              <w:t>。</w:t>
            </w:r>
          </w:p>
          <w:p w14:paraId="7EC6E8E5">
            <w:pPr>
              <w:spacing w:line="480" w:lineRule="exact"/>
              <w:ind w:firstLine="480" w:firstLineChars="200"/>
              <w:rPr>
                <w:rFonts w:ascii="Times New Roman" w:hAnsi="宋体"/>
                <w:color w:val="auto"/>
                <w:sz w:val="24"/>
                <w:u w:val="none" w:color="auto"/>
              </w:rPr>
            </w:pPr>
            <w:r>
              <w:rPr>
                <w:rFonts w:hint="eastAsia" w:ascii="Times New Roman" w:hAnsi="宋体"/>
                <w:color w:val="auto"/>
                <w:sz w:val="24"/>
                <w:u w:val="none" w:color="auto"/>
                <w:lang w:val="en-US" w:eastAsia="zh-CN"/>
              </w:rPr>
              <w:t>②</w:t>
            </w:r>
            <w:r>
              <w:rPr>
                <w:rFonts w:ascii="Times New Roman" w:hAnsi="宋体"/>
                <w:color w:val="auto"/>
                <w:sz w:val="24"/>
                <w:u w:val="none" w:color="auto"/>
              </w:rPr>
              <w:t>排水：</w:t>
            </w:r>
          </w:p>
          <w:p w14:paraId="48CC33B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eastAsia="宋体"/>
                <w:color w:val="auto"/>
                <w:sz w:val="24"/>
                <w:u w:val="none" w:color="auto"/>
                <w:lang w:eastAsia="zh-CN"/>
              </w:rPr>
            </w:pPr>
            <w:r>
              <w:rPr>
                <w:rFonts w:hint="eastAsia" w:ascii="宋体" w:hAnsi="宋体" w:eastAsia="宋体"/>
                <w:color w:val="auto"/>
                <w:sz w:val="24"/>
                <w:szCs w:val="24"/>
                <w:u w:val="none" w:color="auto"/>
              </w:rPr>
              <w:t>项目给排水情况详见下表</w:t>
            </w:r>
            <w:r>
              <w:rPr>
                <w:rFonts w:hint="eastAsia" w:ascii="宋体" w:hAnsi="宋体"/>
                <w:color w:val="auto"/>
                <w:sz w:val="24"/>
                <w:szCs w:val="24"/>
                <w:u w:val="none" w:color="auto"/>
                <w:lang w:eastAsia="zh-CN"/>
              </w:rPr>
              <w:t>：</w:t>
            </w:r>
          </w:p>
          <w:p w14:paraId="21BB06F3">
            <w:pPr>
              <w:pStyle w:val="10"/>
              <w:numPr>
                <w:ilvl w:val="0"/>
                <w:numId w:val="3"/>
              </w:numPr>
              <w:ind w:left="0" w:firstLine="0" w:firstLineChars="0"/>
              <w:jc w:val="center"/>
              <w:rPr>
                <w:rFonts w:hint="eastAsia" w:ascii="黑体" w:hAnsi="黑体" w:eastAsia="黑体"/>
                <w:b w:val="0"/>
                <w:color w:val="auto"/>
                <w:u w:val="none" w:color="auto"/>
              </w:rPr>
            </w:pPr>
            <w:r>
              <w:rPr>
                <w:rFonts w:hint="eastAsia" w:ascii="黑体" w:hAnsi="黑体" w:eastAsia="黑体"/>
                <w:b w:val="0"/>
                <w:color w:val="auto"/>
                <w:u w:val="none" w:color="auto"/>
              </w:rPr>
              <w:t>项目用、排水情况表</w:t>
            </w:r>
          </w:p>
          <w:tbl>
            <w:tblPr>
              <w:tblStyle w:val="22"/>
              <w:tblW w:w="8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1402"/>
              <w:gridCol w:w="1200"/>
              <w:gridCol w:w="975"/>
              <w:gridCol w:w="1005"/>
              <w:gridCol w:w="1590"/>
              <w:gridCol w:w="1296"/>
            </w:tblGrid>
            <w:tr w14:paraId="67473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190" w:type="dxa"/>
                  <w:vAlign w:val="center"/>
                </w:tcPr>
                <w:p w14:paraId="3E62E61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项目</w:t>
                  </w:r>
                </w:p>
              </w:tc>
              <w:tc>
                <w:tcPr>
                  <w:tcW w:w="1402" w:type="dxa"/>
                  <w:vAlign w:val="center"/>
                </w:tcPr>
                <w:p w14:paraId="3368EC4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用水定额</w:t>
                  </w:r>
                </w:p>
              </w:tc>
              <w:tc>
                <w:tcPr>
                  <w:tcW w:w="1200" w:type="dxa"/>
                  <w:vAlign w:val="center"/>
                </w:tcPr>
                <w:p w14:paraId="0547E39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数量</w:t>
                  </w:r>
                </w:p>
              </w:tc>
              <w:tc>
                <w:tcPr>
                  <w:tcW w:w="975" w:type="dxa"/>
                  <w:vAlign w:val="center"/>
                </w:tcPr>
                <w:p w14:paraId="16B8DEF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用水量（m</w:t>
                  </w:r>
                  <w:r>
                    <w:rPr>
                      <w:rFonts w:hint="default" w:ascii="Times New Roman" w:hAnsi="Times New Roman" w:eastAsia="宋体" w:cs="Times New Roman"/>
                      <w:color w:val="auto"/>
                      <w:sz w:val="21"/>
                      <w:szCs w:val="21"/>
                      <w:u w:val="none" w:color="auto"/>
                      <w:vertAlign w:val="superscript"/>
                    </w:rPr>
                    <w:t>3</w:t>
                  </w:r>
                  <w:r>
                    <w:rPr>
                      <w:rFonts w:hint="default" w:ascii="Times New Roman" w:hAnsi="Times New Roman" w:eastAsia="宋体" w:cs="Times New Roman"/>
                      <w:color w:val="auto"/>
                      <w:sz w:val="21"/>
                      <w:szCs w:val="21"/>
                      <w:u w:val="none" w:color="auto"/>
                    </w:rPr>
                    <w:t>/d）</w:t>
                  </w:r>
                </w:p>
              </w:tc>
              <w:tc>
                <w:tcPr>
                  <w:tcW w:w="1005" w:type="dxa"/>
                  <w:vAlign w:val="center"/>
                </w:tcPr>
                <w:p w14:paraId="17D12E1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排水量（m</w:t>
                  </w:r>
                  <w:r>
                    <w:rPr>
                      <w:rFonts w:hint="default" w:ascii="Times New Roman" w:hAnsi="Times New Roman" w:eastAsia="宋体" w:cs="Times New Roman"/>
                      <w:color w:val="auto"/>
                      <w:sz w:val="21"/>
                      <w:szCs w:val="21"/>
                      <w:u w:val="none" w:color="auto"/>
                      <w:vertAlign w:val="superscript"/>
                    </w:rPr>
                    <w:t>3</w:t>
                  </w:r>
                  <w:r>
                    <w:rPr>
                      <w:rFonts w:hint="default" w:ascii="Times New Roman" w:hAnsi="Times New Roman" w:eastAsia="宋体" w:cs="Times New Roman"/>
                      <w:color w:val="auto"/>
                      <w:sz w:val="21"/>
                      <w:szCs w:val="21"/>
                      <w:u w:val="none" w:color="auto"/>
                    </w:rPr>
                    <w:t>/d）</w:t>
                  </w:r>
                </w:p>
              </w:tc>
              <w:tc>
                <w:tcPr>
                  <w:tcW w:w="1590" w:type="dxa"/>
                  <w:vAlign w:val="center"/>
                </w:tcPr>
                <w:p w14:paraId="3680CDC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类型及主要水质因子</w:t>
                  </w:r>
                </w:p>
              </w:tc>
              <w:tc>
                <w:tcPr>
                  <w:tcW w:w="1296" w:type="dxa"/>
                  <w:vAlign w:val="center"/>
                </w:tcPr>
                <w:p w14:paraId="6CC87F1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产生位置及处理方式</w:t>
                  </w:r>
                </w:p>
              </w:tc>
            </w:tr>
            <w:tr w14:paraId="786BA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0" w:type="dxa"/>
                  <w:vAlign w:val="center"/>
                </w:tcPr>
                <w:p w14:paraId="1698386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住院部</w:t>
                  </w:r>
                </w:p>
              </w:tc>
              <w:tc>
                <w:tcPr>
                  <w:tcW w:w="1402" w:type="dxa"/>
                  <w:vAlign w:val="center"/>
                </w:tcPr>
                <w:p w14:paraId="016CF8F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250L/床·d</w:t>
                  </w:r>
                </w:p>
              </w:tc>
              <w:tc>
                <w:tcPr>
                  <w:tcW w:w="1200" w:type="dxa"/>
                  <w:vAlign w:val="center"/>
                </w:tcPr>
                <w:p w14:paraId="5F2B704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227床</w:t>
                  </w:r>
                </w:p>
              </w:tc>
              <w:tc>
                <w:tcPr>
                  <w:tcW w:w="975" w:type="dxa"/>
                  <w:vAlign w:val="center"/>
                </w:tcPr>
                <w:p w14:paraId="11F275C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eastAsia" w:cs="Times New Roman"/>
                      <w:i w:val="0"/>
                      <w:iCs w:val="0"/>
                      <w:color w:val="0000FF"/>
                      <w:kern w:val="0"/>
                      <w:sz w:val="21"/>
                      <w:szCs w:val="21"/>
                      <w:u w:val="none" w:color="auto"/>
                      <w:lang w:val="en-US" w:eastAsia="zh-CN" w:bidi="ar"/>
                    </w:rPr>
                    <w:t>40.250</w:t>
                  </w:r>
                </w:p>
              </w:tc>
              <w:tc>
                <w:tcPr>
                  <w:tcW w:w="1005" w:type="dxa"/>
                  <w:vAlign w:val="center"/>
                </w:tcPr>
                <w:p w14:paraId="134357C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eastAsia" w:cs="Times New Roman"/>
                      <w:i w:val="0"/>
                      <w:iCs w:val="0"/>
                      <w:color w:val="0000FF"/>
                      <w:kern w:val="0"/>
                      <w:sz w:val="21"/>
                      <w:szCs w:val="21"/>
                      <w:u w:val="none" w:color="auto"/>
                      <w:lang w:val="en-US" w:eastAsia="zh-CN" w:bidi="ar"/>
                    </w:rPr>
                    <w:t>32.200</w:t>
                  </w:r>
                </w:p>
              </w:tc>
              <w:tc>
                <w:tcPr>
                  <w:tcW w:w="1590" w:type="dxa"/>
                  <w:vMerge w:val="restart"/>
                  <w:vAlign w:val="center"/>
                </w:tcPr>
                <w:p w14:paraId="4FFCB59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一般医疗废水，pH值、SS、CODcr、BOD</w:t>
                  </w:r>
                  <w:r>
                    <w:rPr>
                      <w:rFonts w:hint="default" w:ascii="Times New Roman" w:hAnsi="Times New Roman" w:eastAsia="宋体" w:cs="Times New Roman"/>
                      <w:i w:val="0"/>
                      <w:iCs w:val="0"/>
                      <w:color w:val="auto"/>
                      <w:kern w:val="0"/>
                      <w:sz w:val="21"/>
                      <w:szCs w:val="21"/>
                      <w:u w:val="none" w:color="auto"/>
                      <w:vertAlign w:val="subscript"/>
                      <w:lang w:val="en-US" w:eastAsia="zh-CN" w:bidi="ar"/>
                    </w:rPr>
                    <w:t>5</w:t>
                  </w:r>
                  <w:r>
                    <w:rPr>
                      <w:rFonts w:hint="default" w:ascii="Times New Roman" w:hAnsi="Times New Roman" w:eastAsia="宋体" w:cs="Times New Roman"/>
                      <w:i w:val="0"/>
                      <w:iCs w:val="0"/>
                      <w:color w:val="auto"/>
                      <w:kern w:val="0"/>
                      <w:sz w:val="21"/>
                      <w:szCs w:val="21"/>
                      <w:u w:val="none" w:color="auto"/>
                      <w:lang w:val="en-US" w:eastAsia="zh-CN" w:bidi="ar"/>
                    </w:rPr>
                    <w:t>、氨氮、动植物油、粪大肠菌群</w:t>
                  </w:r>
                </w:p>
              </w:tc>
              <w:tc>
                <w:tcPr>
                  <w:tcW w:w="1296" w:type="dxa"/>
                  <w:vMerge w:val="restart"/>
                  <w:vAlign w:val="center"/>
                </w:tcPr>
                <w:p w14:paraId="0052410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各项污、废水（特殊废水经预处理、食堂废水隔油预处理）排入化粪池+地埋式污水处理站（格栅+混凝沉淀+A/O生物接触氧化+紫外线消毒）处理后外排。</w:t>
                  </w:r>
                </w:p>
              </w:tc>
            </w:tr>
            <w:tr w14:paraId="694B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0" w:type="dxa"/>
                  <w:vAlign w:val="center"/>
                </w:tcPr>
                <w:p w14:paraId="602875F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医护人员在岗办公</w:t>
                  </w:r>
                </w:p>
              </w:tc>
              <w:tc>
                <w:tcPr>
                  <w:tcW w:w="1402" w:type="dxa"/>
                  <w:vAlign w:val="center"/>
                </w:tcPr>
                <w:p w14:paraId="0762D13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200L/人·d</w:t>
                  </w:r>
                </w:p>
              </w:tc>
              <w:tc>
                <w:tcPr>
                  <w:tcW w:w="1200" w:type="dxa"/>
                  <w:vAlign w:val="center"/>
                </w:tcPr>
                <w:p w14:paraId="41553A6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95人</w:t>
                  </w:r>
                </w:p>
              </w:tc>
              <w:tc>
                <w:tcPr>
                  <w:tcW w:w="975" w:type="dxa"/>
                  <w:vAlign w:val="center"/>
                </w:tcPr>
                <w:p w14:paraId="16F13DA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19.000</w:t>
                  </w:r>
                </w:p>
              </w:tc>
              <w:tc>
                <w:tcPr>
                  <w:tcW w:w="1005" w:type="dxa"/>
                  <w:vAlign w:val="center"/>
                </w:tcPr>
                <w:p w14:paraId="69EA0B1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15.200</w:t>
                  </w:r>
                </w:p>
              </w:tc>
              <w:tc>
                <w:tcPr>
                  <w:tcW w:w="1590" w:type="dxa"/>
                  <w:vMerge w:val="continue"/>
                  <w:vAlign w:val="center"/>
                </w:tcPr>
                <w:p w14:paraId="4A15EBD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u w:val="none" w:color="auto"/>
                    </w:rPr>
                  </w:pPr>
                </w:p>
              </w:tc>
              <w:tc>
                <w:tcPr>
                  <w:tcW w:w="1296" w:type="dxa"/>
                  <w:vMerge w:val="continue"/>
                  <w:vAlign w:val="center"/>
                </w:tcPr>
                <w:p w14:paraId="272A4F2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u w:val="none" w:color="auto"/>
                    </w:rPr>
                  </w:pPr>
                </w:p>
              </w:tc>
            </w:tr>
            <w:tr w14:paraId="4DB87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0" w:type="dxa"/>
                  <w:vAlign w:val="center"/>
                </w:tcPr>
                <w:p w14:paraId="603B536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门诊</w:t>
                  </w:r>
                </w:p>
              </w:tc>
              <w:tc>
                <w:tcPr>
                  <w:tcW w:w="1402" w:type="dxa"/>
                  <w:vAlign w:val="center"/>
                </w:tcPr>
                <w:p w14:paraId="217703F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15L/人·次</w:t>
                  </w:r>
                </w:p>
              </w:tc>
              <w:tc>
                <w:tcPr>
                  <w:tcW w:w="1200" w:type="dxa"/>
                  <w:vAlign w:val="center"/>
                </w:tcPr>
                <w:p w14:paraId="75D3E63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50人</w:t>
                  </w:r>
                </w:p>
              </w:tc>
              <w:tc>
                <w:tcPr>
                  <w:tcW w:w="975" w:type="dxa"/>
                  <w:vAlign w:val="center"/>
                </w:tcPr>
                <w:p w14:paraId="7C6363B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0.750</w:t>
                  </w:r>
                </w:p>
              </w:tc>
              <w:tc>
                <w:tcPr>
                  <w:tcW w:w="1005" w:type="dxa"/>
                  <w:vAlign w:val="center"/>
                </w:tcPr>
                <w:p w14:paraId="544B227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0.600</w:t>
                  </w:r>
                </w:p>
              </w:tc>
              <w:tc>
                <w:tcPr>
                  <w:tcW w:w="1590" w:type="dxa"/>
                  <w:vMerge w:val="continue"/>
                  <w:vAlign w:val="center"/>
                </w:tcPr>
                <w:p w14:paraId="2CB51E5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u w:val="none" w:color="auto"/>
                    </w:rPr>
                  </w:pPr>
                </w:p>
              </w:tc>
              <w:tc>
                <w:tcPr>
                  <w:tcW w:w="1296" w:type="dxa"/>
                  <w:vMerge w:val="continue"/>
                  <w:vAlign w:val="center"/>
                </w:tcPr>
                <w:p w14:paraId="66E5C51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u w:val="none" w:color="auto"/>
                    </w:rPr>
                  </w:pPr>
                </w:p>
              </w:tc>
            </w:tr>
            <w:tr w14:paraId="5905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90" w:type="dxa"/>
                  <w:vAlign w:val="center"/>
                </w:tcPr>
                <w:p w14:paraId="0CD95DE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洗衣房</w:t>
                  </w:r>
                </w:p>
              </w:tc>
              <w:tc>
                <w:tcPr>
                  <w:tcW w:w="1402" w:type="dxa"/>
                  <w:vAlign w:val="center"/>
                </w:tcPr>
                <w:p w14:paraId="5FDB369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70L/kg干衣</w:t>
                  </w:r>
                </w:p>
              </w:tc>
              <w:tc>
                <w:tcPr>
                  <w:tcW w:w="1200" w:type="dxa"/>
                  <w:vAlign w:val="center"/>
                </w:tcPr>
                <w:p w14:paraId="5825C08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FF"/>
                      <w:sz w:val="21"/>
                      <w:szCs w:val="21"/>
                      <w:u w:val="none" w:color="auto"/>
                    </w:rPr>
                  </w:pPr>
                  <w:r>
                    <w:rPr>
                      <w:rFonts w:hint="eastAsia" w:cs="Times New Roman"/>
                      <w:i w:val="0"/>
                      <w:iCs w:val="0"/>
                      <w:color w:val="0000FF"/>
                      <w:kern w:val="0"/>
                      <w:sz w:val="21"/>
                      <w:szCs w:val="21"/>
                      <w:u w:val="none" w:color="auto"/>
                      <w:lang w:val="en-US" w:eastAsia="zh-CN" w:bidi="ar"/>
                    </w:rPr>
                    <w:t>431</w:t>
                  </w:r>
                  <w:r>
                    <w:rPr>
                      <w:rFonts w:hint="default" w:ascii="Times New Roman" w:hAnsi="Times New Roman" w:eastAsia="宋体" w:cs="Times New Roman"/>
                      <w:i w:val="0"/>
                      <w:iCs w:val="0"/>
                      <w:color w:val="0000FF"/>
                      <w:kern w:val="0"/>
                      <w:sz w:val="21"/>
                      <w:szCs w:val="21"/>
                      <w:u w:val="none" w:color="auto"/>
                      <w:lang w:val="en-US" w:eastAsia="zh-CN" w:bidi="ar"/>
                    </w:rPr>
                    <w:t>kg</w:t>
                  </w:r>
                </w:p>
              </w:tc>
              <w:tc>
                <w:tcPr>
                  <w:tcW w:w="975" w:type="dxa"/>
                  <w:vAlign w:val="center"/>
                </w:tcPr>
                <w:p w14:paraId="1EBEBA5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cs="Times New Roman"/>
                      <w:i w:val="0"/>
                      <w:iCs w:val="0"/>
                      <w:color w:val="0000FF"/>
                      <w:kern w:val="0"/>
                      <w:sz w:val="21"/>
                      <w:szCs w:val="21"/>
                      <w:u w:val="none" w:color="auto"/>
                      <w:lang w:val="en-US" w:eastAsia="zh-CN" w:bidi="ar"/>
                    </w:rPr>
                    <w:t>30.170</w:t>
                  </w:r>
                </w:p>
              </w:tc>
              <w:tc>
                <w:tcPr>
                  <w:tcW w:w="1005" w:type="dxa"/>
                  <w:vAlign w:val="center"/>
                </w:tcPr>
                <w:p w14:paraId="29FF303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cs="Times New Roman"/>
                      <w:i w:val="0"/>
                      <w:iCs w:val="0"/>
                      <w:color w:val="0000FF"/>
                      <w:kern w:val="0"/>
                      <w:sz w:val="21"/>
                      <w:szCs w:val="21"/>
                      <w:u w:val="none" w:color="auto"/>
                      <w:lang w:val="en-US" w:eastAsia="zh-CN" w:bidi="ar"/>
                    </w:rPr>
                    <w:t>24.136</w:t>
                  </w:r>
                </w:p>
              </w:tc>
              <w:tc>
                <w:tcPr>
                  <w:tcW w:w="1590" w:type="dxa"/>
                  <w:vMerge w:val="continue"/>
                  <w:vAlign w:val="center"/>
                </w:tcPr>
                <w:p w14:paraId="7C5B53A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u w:val="none" w:color="auto"/>
                    </w:rPr>
                  </w:pPr>
                </w:p>
              </w:tc>
              <w:tc>
                <w:tcPr>
                  <w:tcW w:w="1296" w:type="dxa"/>
                  <w:vMerge w:val="continue"/>
                  <w:vAlign w:val="center"/>
                </w:tcPr>
                <w:p w14:paraId="6B54DEA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u w:val="none" w:color="auto"/>
                    </w:rPr>
                  </w:pPr>
                </w:p>
              </w:tc>
            </w:tr>
            <w:tr w14:paraId="4A4D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0" w:type="dxa"/>
                  <w:vAlign w:val="center"/>
                </w:tcPr>
                <w:p w14:paraId="39F7B62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检验科</w:t>
                  </w:r>
                </w:p>
              </w:tc>
              <w:tc>
                <w:tcPr>
                  <w:tcW w:w="1402" w:type="dxa"/>
                  <w:vAlign w:val="center"/>
                </w:tcPr>
                <w:p w14:paraId="23A4284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2L/人·次</w:t>
                  </w:r>
                </w:p>
              </w:tc>
              <w:tc>
                <w:tcPr>
                  <w:tcW w:w="1200" w:type="dxa"/>
                  <w:vAlign w:val="center"/>
                </w:tcPr>
                <w:p w14:paraId="0A1CB78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50人次</w:t>
                  </w:r>
                </w:p>
              </w:tc>
              <w:tc>
                <w:tcPr>
                  <w:tcW w:w="975" w:type="dxa"/>
                  <w:vAlign w:val="center"/>
                </w:tcPr>
                <w:p w14:paraId="165E5ED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0.100</w:t>
                  </w:r>
                </w:p>
              </w:tc>
              <w:tc>
                <w:tcPr>
                  <w:tcW w:w="1005" w:type="dxa"/>
                  <w:vAlign w:val="center"/>
                </w:tcPr>
                <w:p w14:paraId="4F654ED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0.080</w:t>
                  </w:r>
                </w:p>
              </w:tc>
              <w:tc>
                <w:tcPr>
                  <w:tcW w:w="1590" w:type="dxa"/>
                  <w:vAlign w:val="center"/>
                </w:tcPr>
                <w:p w14:paraId="2BC8E20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特殊医疗废水，为酸性废水。</w:t>
                  </w:r>
                </w:p>
              </w:tc>
              <w:tc>
                <w:tcPr>
                  <w:tcW w:w="1296" w:type="dxa"/>
                  <w:vMerge w:val="continue"/>
                  <w:vAlign w:val="center"/>
                </w:tcPr>
                <w:p w14:paraId="52EC527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r>
            <w:tr w14:paraId="369B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0" w:type="dxa"/>
                  <w:vAlign w:val="center"/>
                </w:tcPr>
                <w:p w14:paraId="7A8FA93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煎药</w:t>
                  </w:r>
                </w:p>
              </w:tc>
              <w:tc>
                <w:tcPr>
                  <w:tcW w:w="1402" w:type="dxa"/>
                  <w:vAlign w:val="center"/>
                </w:tcPr>
                <w:p w14:paraId="0C7C2B6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0.00075m</w:t>
                  </w:r>
                  <w:r>
                    <w:rPr>
                      <w:rFonts w:hint="default" w:ascii="Times New Roman" w:hAnsi="Times New Roman" w:eastAsia="宋体" w:cs="Times New Roman"/>
                      <w:i w:val="0"/>
                      <w:iCs w:val="0"/>
                      <w:color w:val="auto"/>
                      <w:kern w:val="0"/>
                      <w:sz w:val="21"/>
                      <w:szCs w:val="21"/>
                      <w:u w:val="none" w:color="auto"/>
                      <w:vertAlign w:val="superscript"/>
                      <w:lang w:val="en-US" w:eastAsia="zh-CN" w:bidi="ar"/>
                    </w:rPr>
                    <w:t>3</w:t>
                  </w:r>
                  <w:r>
                    <w:rPr>
                      <w:rFonts w:hint="default" w:ascii="Times New Roman" w:hAnsi="Times New Roman" w:eastAsia="宋体" w:cs="Times New Roman"/>
                      <w:i w:val="0"/>
                      <w:iCs w:val="0"/>
                      <w:color w:val="auto"/>
                      <w:kern w:val="0"/>
                      <w:sz w:val="21"/>
                      <w:szCs w:val="21"/>
                      <w:u w:val="none" w:color="auto"/>
                      <w:lang w:val="en-US" w:eastAsia="zh-CN" w:bidi="ar"/>
                    </w:rPr>
                    <w:t>/副</w:t>
                  </w:r>
                </w:p>
              </w:tc>
              <w:tc>
                <w:tcPr>
                  <w:tcW w:w="1200" w:type="dxa"/>
                  <w:vAlign w:val="center"/>
                </w:tcPr>
                <w:p w14:paraId="4400A6E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20副/天</w:t>
                  </w:r>
                </w:p>
              </w:tc>
              <w:tc>
                <w:tcPr>
                  <w:tcW w:w="975" w:type="dxa"/>
                  <w:vAlign w:val="center"/>
                </w:tcPr>
                <w:p w14:paraId="5506176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0.015</w:t>
                  </w:r>
                </w:p>
              </w:tc>
              <w:tc>
                <w:tcPr>
                  <w:tcW w:w="1005" w:type="dxa"/>
                  <w:vAlign w:val="center"/>
                </w:tcPr>
                <w:p w14:paraId="488040D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0.000</w:t>
                  </w:r>
                </w:p>
              </w:tc>
              <w:tc>
                <w:tcPr>
                  <w:tcW w:w="1590" w:type="dxa"/>
                  <w:vAlign w:val="center"/>
                </w:tcPr>
                <w:p w14:paraId="236A827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w:t>
                  </w:r>
                </w:p>
              </w:tc>
              <w:tc>
                <w:tcPr>
                  <w:tcW w:w="1296" w:type="dxa"/>
                  <w:vMerge w:val="continue"/>
                  <w:vAlign w:val="center"/>
                </w:tcPr>
                <w:p w14:paraId="4E467F7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r>
            <w:tr w14:paraId="3F5B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0" w:type="dxa"/>
                  <w:vAlign w:val="center"/>
                </w:tcPr>
                <w:p w14:paraId="649BEB5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煎药设备清洗</w:t>
                  </w:r>
                </w:p>
              </w:tc>
              <w:tc>
                <w:tcPr>
                  <w:tcW w:w="1402" w:type="dxa"/>
                  <w:vAlign w:val="center"/>
                </w:tcPr>
                <w:p w14:paraId="2AB6F00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40L/d</w:t>
                  </w:r>
                </w:p>
              </w:tc>
              <w:tc>
                <w:tcPr>
                  <w:tcW w:w="1200" w:type="dxa"/>
                  <w:vAlign w:val="center"/>
                </w:tcPr>
                <w:p w14:paraId="5BC4722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w:t>
                  </w:r>
                </w:p>
              </w:tc>
              <w:tc>
                <w:tcPr>
                  <w:tcW w:w="975" w:type="dxa"/>
                  <w:vAlign w:val="center"/>
                </w:tcPr>
                <w:p w14:paraId="5C4B1807">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0.040</w:t>
                  </w:r>
                </w:p>
              </w:tc>
              <w:tc>
                <w:tcPr>
                  <w:tcW w:w="1005" w:type="dxa"/>
                  <w:vAlign w:val="center"/>
                </w:tcPr>
                <w:p w14:paraId="7A68BFA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0.032</w:t>
                  </w:r>
                </w:p>
              </w:tc>
              <w:tc>
                <w:tcPr>
                  <w:tcW w:w="1590" w:type="dxa"/>
                  <w:vAlign w:val="center"/>
                </w:tcPr>
                <w:p w14:paraId="5189C9F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一般医疗废水，pH值、SS、CODcr、BOD</w:t>
                  </w:r>
                  <w:r>
                    <w:rPr>
                      <w:rFonts w:hint="default" w:ascii="Times New Roman" w:hAnsi="Times New Roman" w:eastAsia="宋体" w:cs="Times New Roman"/>
                      <w:i w:val="0"/>
                      <w:iCs w:val="0"/>
                      <w:color w:val="auto"/>
                      <w:kern w:val="0"/>
                      <w:sz w:val="21"/>
                      <w:szCs w:val="21"/>
                      <w:u w:val="none" w:color="auto"/>
                      <w:vertAlign w:val="subscript"/>
                      <w:lang w:val="en-US" w:eastAsia="zh-CN" w:bidi="ar"/>
                    </w:rPr>
                    <w:t>5</w:t>
                  </w:r>
                  <w:r>
                    <w:rPr>
                      <w:rFonts w:hint="default" w:ascii="Times New Roman" w:hAnsi="Times New Roman" w:eastAsia="宋体" w:cs="Times New Roman"/>
                      <w:i w:val="0"/>
                      <w:iCs w:val="0"/>
                      <w:color w:val="auto"/>
                      <w:kern w:val="0"/>
                      <w:sz w:val="21"/>
                      <w:szCs w:val="21"/>
                      <w:u w:val="none" w:color="auto"/>
                      <w:lang w:val="en-US" w:eastAsia="zh-CN" w:bidi="ar"/>
                    </w:rPr>
                    <w:t>、氨氮等</w:t>
                  </w:r>
                </w:p>
              </w:tc>
              <w:tc>
                <w:tcPr>
                  <w:tcW w:w="1296" w:type="dxa"/>
                  <w:vMerge w:val="continue"/>
                  <w:vAlign w:val="center"/>
                </w:tcPr>
                <w:p w14:paraId="2B7A71D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r>
            <w:tr w14:paraId="0495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0" w:type="dxa"/>
                  <w:vAlign w:val="center"/>
                </w:tcPr>
                <w:p w14:paraId="6971E3D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食堂</w:t>
                  </w:r>
                </w:p>
              </w:tc>
              <w:tc>
                <w:tcPr>
                  <w:tcW w:w="1402" w:type="dxa"/>
                  <w:vAlign w:val="center"/>
                </w:tcPr>
                <w:p w14:paraId="4410B46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10L/人次·d</w:t>
                  </w:r>
                </w:p>
              </w:tc>
              <w:tc>
                <w:tcPr>
                  <w:tcW w:w="1200" w:type="dxa"/>
                  <w:vAlign w:val="center"/>
                </w:tcPr>
                <w:p w14:paraId="61A09CA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1200人次</w:t>
                  </w:r>
                </w:p>
              </w:tc>
              <w:tc>
                <w:tcPr>
                  <w:tcW w:w="975" w:type="dxa"/>
                  <w:vAlign w:val="center"/>
                </w:tcPr>
                <w:p w14:paraId="2439D21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21.000</w:t>
                  </w:r>
                </w:p>
              </w:tc>
              <w:tc>
                <w:tcPr>
                  <w:tcW w:w="1005" w:type="dxa"/>
                  <w:vAlign w:val="center"/>
                </w:tcPr>
                <w:p w14:paraId="7464A75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cs="Times New Roman"/>
                      <w:i w:val="0"/>
                      <w:iCs w:val="0"/>
                      <w:color w:val="0000FF"/>
                      <w:kern w:val="0"/>
                      <w:sz w:val="21"/>
                      <w:szCs w:val="21"/>
                      <w:u w:val="none" w:color="auto"/>
                      <w:lang w:val="en-US" w:eastAsia="zh-CN" w:bidi="ar"/>
                    </w:rPr>
                    <w:t>16.260</w:t>
                  </w:r>
                </w:p>
              </w:tc>
              <w:tc>
                <w:tcPr>
                  <w:tcW w:w="1590" w:type="dxa"/>
                  <w:vAlign w:val="center"/>
                </w:tcPr>
                <w:p w14:paraId="7A1CD9C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一般医疗废水</w:t>
                  </w:r>
                </w:p>
              </w:tc>
              <w:tc>
                <w:tcPr>
                  <w:tcW w:w="1296" w:type="dxa"/>
                  <w:vMerge w:val="continue"/>
                  <w:vAlign w:val="center"/>
                </w:tcPr>
                <w:p w14:paraId="354DB6D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r>
            <w:tr w14:paraId="7EE0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0" w:type="dxa"/>
                  <w:vAlign w:val="center"/>
                </w:tcPr>
                <w:p w14:paraId="28DD26D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bookmarkStart w:id="9" w:name="OLE_LINK9" w:colFirst="0" w:colLast="0"/>
                  <w:r>
                    <w:rPr>
                      <w:rFonts w:hint="default" w:ascii="Times New Roman" w:hAnsi="Times New Roman" w:eastAsia="宋体" w:cs="Times New Roman"/>
                      <w:i w:val="0"/>
                      <w:iCs w:val="0"/>
                      <w:color w:val="auto"/>
                      <w:kern w:val="0"/>
                      <w:sz w:val="21"/>
                      <w:szCs w:val="21"/>
                      <w:u w:val="none" w:color="auto"/>
                      <w:lang w:val="en-US" w:eastAsia="zh-CN" w:bidi="ar"/>
                    </w:rPr>
                    <w:t>后勤人员办公</w:t>
                  </w:r>
                </w:p>
              </w:tc>
              <w:tc>
                <w:tcPr>
                  <w:tcW w:w="1402" w:type="dxa"/>
                  <w:vAlign w:val="center"/>
                </w:tcPr>
                <w:p w14:paraId="693CFF4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50L/人·d</w:t>
                  </w:r>
                </w:p>
              </w:tc>
              <w:tc>
                <w:tcPr>
                  <w:tcW w:w="1200" w:type="dxa"/>
                  <w:vAlign w:val="center"/>
                </w:tcPr>
                <w:p w14:paraId="68B70807">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15人</w:t>
                  </w:r>
                </w:p>
              </w:tc>
              <w:tc>
                <w:tcPr>
                  <w:tcW w:w="975" w:type="dxa"/>
                  <w:vAlign w:val="center"/>
                </w:tcPr>
                <w:p w14:paraId="2D671E4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0.750</w:t>
                  </w:r>
                </w:p>
              </w:tc>
              <w:tc>
                <w:tcPr>
                  <w:tcW w:w="1005" w:type="dxa"/>
                  <w:vAlign w:val="center"/>
                </w:tcPr>
                <w:p w14:paraId="1C92B3B7">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i w:val="0"/>
                      <w:iCs w:val="0"/>
                      <w:color w:val="auto"/>
                      <w:kern w:val="0"/>
                      <w:sz w:val="21"/>
                      <w:szCs w:val="21"/>
                      <w:u w:val="none" w:color="auto"/>
                      <w:lang w:val="en-US" w:eastAsia="zh-CN" w:bidi="ar"/>
                    </w:rPr>
                    <w:t>0.600</w:t>
                  </w:r>
                </w:p>
              </w:tc>
              <w:tc>
                <w:tcPr>
                  <w:tcW w:w="1590" w:type="dxa"/>
                  <w:vAlign w:val="center"/>
                </w:tcPr>
                <w:p w14:paraId="3E05A0E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一般医疗废水</w:t>
                  </w:r>
                </w:p>
              </w:tc>
              <w:tc>
                <w:tcPr>
                  <w:tcW w:w="1296" w:type="dxa"/>
                  <w:vMerge w:val="continue"/>
                  <w:vAlign w:val="center"/>
                </w:tcPr>
                <w:p w14:paraId="4281CAA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r>
            <w:bookmarkEnd w:id="9"/>
            <w:tr w14:paraId="69CBF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0" w:type="dxa"/>
                  <w:vAlign w:val="center"/>
                </w:tcPr>
                <w:p w14:paraId="33B2BCA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绿化</w:t>
                  </w:r>
                </w:p>
              </w:tc>
              <w:tc>
                <w:tcPr>
                  <w:tcW w:w="1402" w:type="dxa"/>
                  <w:vAlign w:val="center"/>
                </w:tcPr>
                <w:p w14:paraId="2339AF5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1L/ m</w:t>
                  </w:r>
                  <w:r>
                    <w:rPr>
                      <w:rFonts w:hint="default" w:ascii="Times New Roman" w:hAnsi="Times New Roman" w:eastAsia="宋体" w:cs="Times New Roman"/>
                      <w:i w:val="0"/>
                      <w:iCs w:val="0"/>
                      <w:color w:val="auto"/>
                      <w:kern w:val="0"/>
                      <w:sz w:val="21"/>
                      <w:szCs w:val="21"/>
                      <w:u w:val="none" w:color="auto"/>
                      <w:vertAlign w:val="superscript"/>
                      <w:lang w:val="en-US" w:eastAsia="zh-CN" w:bidi="ar"/>
                    </w:rPr>
                    <w:t>2</w:t>
                  </w:r>
                  <w:r>
                    <w:rPr>
                      <w:rFonts w:hint="default" w:ascii="Times New Roman" w:hAnsi="Times New Roman" w:eastAsia="宋体" w:cs="Times New Roman"/>
                      <w:i w:val="0"/>
                      <w:iCs w:val="0"/>
                      <w:color w:val="auto"/>
                      <w:kern w:val="0"/>
                      <w:sz w:val="21"/>
                      <w:szCs w:val="21"/>
                      <w:u w:val="none" w:color="auto"/>
                      <w:lang w:val="en-US" w:eastAsia="zh-CN" w:bidi="ar"/>
                    </w:rPr>
                    <w:t>·d</w:t>
                  </w:r>
                </w:p>
              </w:tc>
              <w:tc>
                <w:tcPr>
                  <w:tcW w:w="1200" w:type="dxa"/>
                  <w:vAlign w:val="center"/>
                </w:tcPr>
                <w:p w14:paraId="4CA566D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50</w:t>
                  </w:r>
                  <w:r>
                    <w:rPr>
                      <w:rFonts w:hint="eastAsia" w:cs="Times New Roman"/>
                      <w:i w:val="0"/>
                      <w:iCs w:val="0"/>
                      <w:color w:val="auto"/>
                      <w:kern w:val="0"/>
                      <w:sz w:val="21"/>
                      <w:szCs w:val="21"/>
                      <w:u w:val="none" w:color="auto"/>
                      <w:lang w:val="en-US" w:eastAsia="zh-CN" w:bidi="ar"/>
                    </w:rPr>
                    <w:t>0</w:t>
                  </w:r>
                  <w:r>
                    <w:rPr>
                      <w:rFonts w:hint="default" w:ascii="Times New Roman" w:hAnsi="Times New Roman" w:eastAsia="宋体" w:cs="Times New Roman"/>
                      <w:i w:val="0"/>
                      <w:iCs w:val="0"/>
                      <w:color w:val="auto"/>
                      <w:kern w:val="0"/>
                      <w:sz w:val="21"/>
                      <w:szCs w:val="21"/>
                      <w:u w:val="none" w:color="auto"/>
                      <w:lang w:val="en-US" w:eastAsia="zh-CN" w:bidi="ar"/>
                    </w:rPr>
                    <w:t>m</w:t>
                  </w:r>
                  <w:r>
                    <w:rPr>
                      <w:rFonts w:hint="default" w:ascii="Times New Roman" w:hAnsi="Times New Roman" w:eastAsia="宋体" w:cs="Times New Roman"/>
                      <w:i w:val="0"/>
                      <w:iCs w:val="0"/>
                      <w:color w:val="auto"/>
                      <w:kern w:val="0"/>
                      <w:sz w:val="21"/>
                      <w:szCs w:val="21"/>
                      <w:u w:val="none" w:color="auto"/>
                      <w:vertAlign w:val="superscript"/>
                      <w:lang w:val="en-US" w:eastAsia="zh-CN" w:bidi="ar"/>
                    </w:rPr>
                    <w:t>2</w:t>
                  </w:r>
                </w:p>
              </w:tc>
              <w:tc>
                <w:tcPr>
                  <w:tcW w:w="975" w:type="dxa"/>
                  <w:vAlign w:val="center"/>
                </w:tcPr>
                <w:p w14:paraId="18941077">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0.500</w:t>
                  </w:r>
                </w:p>
              </w:tc>
              <w:tc>
                <w:tcPr>
                  <w:tcW w:w="1005" w:type="dxa"/>
                  <w:vAlign w:val="center"/>
                </w:tcPr>
                <w:p w14:paraId="7A52819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0.000</w:t>
                  </w:r>
                </w:p>
              </w:tc>
              <w:tc>
                <w:tcPr>
                  <w:tcW w:w="1590" w:type="dxa"/>
                  <w:vAlign w:val="center"/>
                </w:tcPr>
                <w:p w14:paraId="45BBECB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w:t>
                  </w:r>
                </w:p>
              </w:tc>
              <w:tc>
                <w:tcPr>
                  <w:tcW w:w="1296" w:type="dxa"/>
                  <w:vAlign w:val="center"/>
                </w:tcPr>
                <w:p w14:paraId="6160FC0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绿化，自然损耗</w:t>
                  </w:r>
                </w:p>
              </w:tc>
            </w:tr>
            <w:tr w14:paraId="2332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0" w:type="dxa"/>
                  <w:vAlign w:val="center"/>
                </w:tcPr>
                <w:p w14:paraId="44D0D017">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合计</w:t>
                  </w:r>
                </w:p>
              </w:tc>
              <w:tc>
                <w:tcPr>
                  <w:tcW w:w="1402" w:type="dxa"/>
                  <w:vAlign w:val="center"/>
                </w:tcPr>
                <w:p w14:paraId="4C80839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w:t>
                  </w:r>
                </w:p>
              </w:tc>
              <w:tc>
                <w:tcPr>
                  <w:tcW w:w="1200" w:type="dxa"/>
                  <w:vAlign w:val="center"/>
                </w:tcPr>
                <w:p w14:paraId="053BE6A7">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w:t>
                  </w:r>
                </w:p>
              </w:tc>
              <w:tc>
                <w:tcPr>
                  <w:tcW w:w="975" w:type="dxa"/>
                  <w:vAlign w:val="center"/>
                </w:tcPr>
                <w:p w14:paraId="4A6A1A6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cs="Times New Roman"/>
                      <w:i w:val="0"/>
                      <w:iCs w:val="0"/>
                      <w:color w:val="0000FF"/>
                      <w:kern w:val="0"/>
                      <w:sz w:val="21"/>
                      <w:szCs w:val="21"/>
                      <w:u w:val="none" w:color="auto"/>
                      <w:lang w:val="en-US" w:eastAsia="zh-CN" w:bidi="ar"/>
                    </w:rPr>
                    <w:t>107.835</w:t>
                  </w:r>
                </w:p>
              </w:tc>
              <w:tc>
                <w:tcPr>
                  <w:tcW w:w="1005" w:type="dxa"/>
                  <w:vAlign w:val="center"/>
                </w:tcPr>
                <w:p w14:paraId="6C46323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cs="Times New Roman"/>
                      <w:i w:val="0"/>
                      <w:iCs w:val="0"/>
                      <w:color w:val="0000FF"/>
                      <w:kern w:val="0"/>
                      <w:sz w:val="21"/>
                      <w:szCs w:val="21"/>
                      <w:u w:val="none" w:color="auto"/>
                      <w:lang w:val="en-US" w:eastAsia="zh-CN" w:bidi="ar"/>
                    </w:rPr>
                    <w:t>85.856</w:t>
                  </w:r>
                </w:p>
              </w:tc>
              <w:tc>
                <w:tcPr>
                  <w:tcW w:w="1590" w:type="dxa"/>
                  <w:vAlign w:val="center"/>
                </w:tcPr>
                <w:p w14:paraId="2D2F0C1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w:t>
                  </w:r>
                </w:p>
              </w:tc>
              <w:tc>
                <w:tcPr>
                  <w:tcW w:w="1296" w:type="dxa"/>
                  <w:vAlign w:val="center"/>
                </w:tcPr>
                <w:p w14:paraId="4A5042A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合计</w:t>
                  </w:r>
                </w:p>
              </w:tc>
            </w:tr>
          </w:tbl>
          <w:p w14:paraId="3A9C441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宋体" w:eastAsia="宋体"/>
                <w:color w:val="auto"/>
                <w:sz w:val="24"/>
                <w:u w:val="none" w:color="auto"/>
                <w:lang w:val="en-US" w:eastAsia="zh-CN"/>
              </w:rPr>
            </w:pPr>
            <w:r>
              <w:rPr>
                <w:rFonts w:hint="eastAsia" w:ascii="宋体" w:hAnsi="宋体" w:eastAsia="宋体"/>
                <w:color w:val="auto"/>
                <w:sz w:val="24"/>
                <w:szCs w:val="24"/>
                <w:highlight w:val="none"/>
                <w:u w:val="none" w:color="auto"/>
              </w:rPr>
              <w:t>项目总废水量为</w:t>
            </w:r>
            <w:r>
              <w:rPr>
                <w:rFonts w:hint="eastAsia" w:ascii="TimesNewRomanPSMT" w:hAnsi="TimesNewRomanPSMT"/>
                <w:color w:val="0000FF"/>
                <w:sz w:val="24"/>
                <w:szCs w:val="24"/>
                <w:highlight w:val="none"/>
                <w:u w:val="none" w:color="auto"/>
                <w:lang w:val="en-US" w:eastAsia="zh-CN"/>
              </w:rPr>
              <w:t>85.856</w:t>
            </w:r>
            <w:r>
              <w:rPr>
                <w:rFonts w:hint="eastAsia" w:ascii="TimesNewRomanPSMT" w:hAnsi="TimesNewRomanPSMT" w:eastAsia="TimesNewRomanPSMT"/>
                <w:color w:val="auto"/>
                <w:sz w:val="24"/>
                <w:szCs w:val="24"/>
                <w:highlight w:val="none"/>
                <w:u w:val="none" w:color="auto"/>
              </w:rPr>
              <w:t>m</w:t>
            </w:r>
            <w:r>
              <w:rPr>
                <w:rFonts w:hint="eastAsia" w:ascii="TimesNewRomanPSMT" w:hAnsi="TimesNewRomanPSMT" w:eastAsia="TimesNewRomanPSMT"/>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/d</w:t>
            </w:r>
            <w:r>
              <w:rPr>
                <w:rFonts w:hint="eastAsia" w:ascii="宋体" w:hAnsi="宋体" w:eastAsia="宋体"/>
                <w:color w:val="auto"/>
                <w:sz w:val="24"/>
                <w:szCs w:val="24"/>
                <w:highlight w:val="none"/>
                <w:u w:val="none" w:color="auto"/>
              </w:rPr>
              <w:t>（</w:t>
            </w:r>
            <w:r>
              <w:rPr>
                <w:rFonts w:hint="eastAsia" w:ascii="TimesNewRomanPSMT" w:hAnsi="TimesNewRomanPSMT"/>
                <w:color w:val="0000FF"/>
                <w:sz w:val="24"/>
                <w:szCs w:val="24"/>
                <w:highlight w:val="none"/>
                <w:u w:val="none" w:color="auto"/>
                <w:lang w:val="en-US" w:eastAsia="zh-CN"/>
              </w:rPr>
              <w:t>31337.440</w:t>
            </w:r>
            <w:r>
              <w:rPr>
                <w:rFonts w:hint="eastAsia" w:ascii="TimesNewRomanPSMT" w:hAnsi="TimesNewRomanPSMT" w:eastAsia="TimesNewRomanPSMT"/>
                <w:color w:val="auto"/>
                <w:sz w:val="24"/>
                <w:szCs w:val="24"/>
                <w:highlight w:val="none"/>
                <w:u w:val="none" w:color="auto"/>
              </w:rPr>
              <w:t>m</w:t>
            </w:r>
            <w:r>
              <w:rPr>
                <w:rFonts w:hint="eastAsia" w:ascii="TimesNewRomanPSMT" w:hAnsi="TimesNewRomanPSMT" w:eastAsia="TimesNewRomanPSMT"/>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/a</w:t>
            </w:r>
            <w:r>
              <w:rPr>
                <w:rFonts w:hint="eastAsia" w:ascii="宋体" w:hAnsi="宋体" w:eastAsia="宋体"/>
                <w:color w:val="auto"/>
                <w:sz w:val="24"/>
                <w:szCs w:val="24"/>
                <w:highlight w:val="none"/>
                <w:u w:val="none" w:color="auto"/>
              </w:rPr>
              <w:t>）</w:t>
            </w:r>
            <w:r>
              <w:rPr>
                <w:rFonts w:hint="eastAsia" w:ascii="宋体" w:hAnsi="宋体"/>
                <w:color w:val="auto"/>
                <w:sz w:val="24"/>
                <w:szCs w:val="24"/>
                <w:highlight w:val="none"/>
                <w:u w:val="none" w:color="auto"/>
                <w:lang w:eastAsia="zh-CN"/>
              </w:rPr>
              <w:t>，</w:t>
            </w:r>
            <w:r>
              <w:rPr>
                <w:rFonts w:hint="eastAsia" w:hAnsi="宋体"/>
                <w:color w:val="auto"/>
                <w:sz w:val="24"/>
                <w:u w:val="none" w:color="auto"/>
                <w:lang w:val="en-US" w:eastAsia="zh-CN"/>
              </w:rPr>
              <w:t>各项污、废水</w:t>
            </w:r>
            <w:r>
              <w:rPr>
                <w:rFonts w:ascii="Times New Roman" w:hAnsi="宋体"/>
                <w:color w:val="auto"/>
                <w:sz w:val="24"/>
                <w:u w:val="none" w:color="auto"/>
              </w:rPr>
              <w:t>（特殊废水经预处理</w:t>
            </w:r>
            <w:r>
              <w:rPr>
                <w:rFonts w:hint="eastAsia" w:hAnsi="宋体"/>
                <w:color w:val="auto"/>
                <w:sz w:val="24"/>
                <w:u w:val="none" w:color="auto"/>
                <w:lang w:eastAsia="zh-CN"/>
              </w:rPr>
              <w:t>、</w:t>
            </w:r>
            <w:r>
              <w:rPr>
                <w:rFonts w:hint="eastAsia" w:hAnsi="宋体"/>
                <w:color w:val="auto"/>
                <w:sz w:val="24"/>
                <w:u w:val="none" w:color="auto"/>
                <w:lang w:val="en-US" w:eastAsia="zh-CN"/>
              </w:rPr>
              <w:t>食堂废水隔油预处理</w:t>
            </w:r>
            <w:r>
              <w:rPr>
                <w:rFonts w:ascii="Times New Roman" w:hAnsi="宋体"/>
                <w:color w:val="auto"/>
                <w:sz w:val="24"/>
                <w:u w:val="none" w:color="auto"/>
              </w:rPr>
              <w:t>）排入</w:t>
            </w:r>
            <w:r>
              <w:rPr>
                <w:rFonts w:hint="default" w:ascii="Times New Roman" w:hAnsi="宋体"/>
                <w:color w:val="auto"/>
                <w:sz w:val="24"/>
                <w:u w:val="none" w:color="auto"/>
                <w:lang w:val="en-US" w:eastAsia="zh-CN"/>
              </w:rPr>
              <w:t>化粪池+地埋式污水处理站</w:t>
            </w:r>
            <w:r>
              <w:rPr>
                <w:rFonts w:hint="eastAsia" w:hAnsi="宋体"/>
                <w:color w:val="auto"/>
                <w:sz w:val="24"/>
                <w:u w:val="none" w:color="auto"/>
                <w:lang w:val="en-US" w:eastAsia="zh-CN"/>
              </w:rPr>
              <w:t>（格栅+</w:t>
            </w:r>
            <w:r>
              <w:rPr>
                <w:rFonts w:hint="eastAsia"/>
                <w:color w:val="auto"/>
                <w:sz w:val="24"/>
                <w:u w:val="none" w:color="auto"/>
                <w:lang w:val="en-US" w:eastAsia="zh-CN"/>
              </w:rPr>
              <w:t>混凝沉淀</w:t>
            </w:r>
            <w:r>
              <w:rPr>
                <w:rFonts w:ascii="Times New Roman" w:hAnsi="Times New Roman"/>
                <w:color w:val="auto"/>
                <w:sz w:val="24"/>
                <w:u w:val="none" w:color="auto"/>
              </w:rPr>
              <w:t>+</w:t>
            </w:r>
            <w:r>
              <w:rPr>
                <w:rFonts w:hint="eastAsia"/>
                <w:color w:val="auto"/>
                <w:sz w:val="24"/>
                <w:u w:val="none" w:color="auto"/>
                <w:lang w:val="en-US" w:eastAsia="zh-CN"/>
              </w:rPr>
              <w:t>A/O生物接触氧化+</w:t>
            </w:r>
            <w:r>
              <w:rPr>
                <w:rFonts w:hint="eastAsia" w:hAnsi="宋体"/>
                <w:color w:val="auto"/>
                <w:sz w:val="24"/>
                <w:u w:val="none" w:color="auto"/>
                <w:lang w:val="en-US" w:eastAsia="zh-CN"/>
              </w:rPr>
              <w:t>紫外线消毒）</w:t>
            </w:r>
            <w:r>
              <w:rPr>
                <w:rFonts w:ascii="Times New Roman" w:hAnsi="宋体"/>
                <w:color w:val="auto"/>
                <w:sz w:val="24"/>
                <w:u w:val="none" w:color="auto"/>
              </w:rPr>
              <w:t>，经处理达</w:t>
            </w:r>
            <w:r>
              <w:rPr>
                <w:rFonts w:hint="eastAsia" w:hAnsi="宋体"/>
                <w:color w:val="auto"/>
                <w:sz w:val="24"/>
                <w:u w:val="none" w:color="auto"/>
                <w:lang w:val="en-US" w:eastAsia="zh-CN"/>
              </w:rPr>
              <w:t>到</w:t>
            </w:r>
            <w:r>
              <w:rPr>
                <w:rFonts w:ascii="Times New Roman" w:hAnsi="宋体"/>
                <w:color w:val="auto"/>
                <w:sz w:val="24"/>
                <w:u w:val="none" w:color="auto"/>
              </w:rPr>
              <w:t>《医疗机构水污染物排放标准》（</w:t>
            </w:r>
            <w:r>
              <w:rPr>
                <w:rFonts w:ascii="Times New Roman" w:hAnsi="Times New Roman"/>
                <w:color w:val="auto"/>
                <w:sz w:val="24"/>
                <w:u w:val="none" w:color="auto"/>
              </w:rPr>
              <w:t>GB18466-2005</w:t>
            </w:r>
            <w:r>
              <w:rPr>
                <w:rFonts w:ascii="Times New Roman" w:hAnsi="宋体"/>
                <w:color w:val="auto"/>
                <w:sz w:val="24"/>
                <w:u w:val="none" w:color="auto"/>
              </w:rPr>
              <w:t>）</w:t>
            </w:r>
            <w:r>
              <w:rPr>
                <w:rFonts w:ascii="Times New Roman" w:hAnsi="宋体"/>
                <w:color w:val="auto"/>
                <w:sz w:val="24"/>
                <w:u w:val="none" w:color="auto"/>
                <w:lang w:val="zh-CN"/>
              </w:rPr>
              <w:t>综合医疗机构和其他医疗机构水污染物</w:t>
            </w:r>
            <w:r>
              <w:rPr>
                <w:rFonts w:hint="eastAsia" w:ascii="Times New Roman" w:hAnsi="宋体"/>
                <w:color w:val="auto"/>
                <w:sz w:val="24"/>
                <w:u w:val="none" w:color="auto"/>
                <w:lang w:val="zh-CN"/>
              </w:rPr>
              <w:t>预处理标准</w:t>
            </w:r>
            <w:r>
              <w:rPr>
                <w:rFonts w:hint="eastAsia" w:hAnsi="宋体"/>
                <w:color w:val="auto"/>
                <w:sz w:val="24"/>
                <w:u w:val="none" w:color="auto"/>
                <w:lang w:val="en-US" w:eastAsia="zh-CN"/>
              </w:rPr>
              <w:t>及江南区污水处理厂纳管标准较严值后</w:t>
            </w:r>
            <w:r>
              <w:rPr>
                <w:rFonts w:hint="eastAsia"/>
                <w:color w:val="auto"/>
                <w:u w:val="none" w:color="auto"/>
                <w:lang w:val="en-US" w:eastAsia="zh-CN"/>
              </w:rPr>
              <w:t>排入市政污水管网，进入南宁市江南污水处理厂进一步处理。</w:t>
            </w:r>
          </w:p>
          <w:p w14:paraId="1F5A8A9E">
            <w:pPr>
              <w:spacing w:line="480" w:lineRule="exact"/>
              <w:ind w:firstLine="480" w:firstLineChars="200"/>
              <w:rPr>
                <w:rFonts w:hint="default"/>
                <w:color w:val="auto"/>
                <w:sz w:val="24"/>
                <w:u w:val="none" w:color="auto"/>
                <w:lang w:val="en-US" w:eastAsia="zh-CN"/>
              </w:rPr>
            </w:pPr>
            <w:r>
              <w:rPr>
                <w:rFonts w:hint="eastAsia"/>
                <w:color w:val="auto"/>
                <w:sz w:val="24"/>
                <w:u w:val="none" w:color="auto"/>
                <w:lang w:val="en-US" w:eastAsia="zh-CN"/>
              </w:rPr>
              <w:t>项目水平衡图如下图：</w:t>
            </w:r>
          </w:p>
          <w:p w14:paraId="0566DD6F">
            <w:pPr>
              <w:keepNext w:val="0"/>
              <w:keepLines w:val="0"/>
              <w:pageBreakBefore w:val="0"/>
              <w:widowControl w:val="0"/>
              <w:kinsoku/>
              <w:wordWrap/>
              <w:overflowPunct/>
              <w:topLinePunct w:val="0"/>
              <w:autoSpaceDE/>
              <w:autoSpaceDN/>
              <w:bidi w:val="0"/>
              <w:adjustRightInd/>
              <w:snapToGrid/>
              <w:spacing w:line="240" w:lineRule="atLeast"/>
              <w:ind w:firstLine="0" w:firstLineChars="0"/>
              <w:textAlignment w:val="auto"/>
              <w:rPr>
                <w:rFonts w:hint="eastAsia" w:ascii="Times New Roman" w:hAnsi="宋体" w:eastAsia="宋体"/>
                <w:color w:val="auto"/>
                <w:sz w:val="24"/>
                <w:u w:val="none" w:color="auto"/>
                <w:lang w:eastAsia="zh-CN"/>
              </w:rPr>
            </w:pPr>
            <w:r>
              <w:drawing>
                <wp:inline distT="0" distB="0" distL="114300" distR="114300">
                  <wp:extent cx="5478780" cy="5591175"/>
                  <wp:effectExtent l="0" t="0" r="7620" b="9525"/>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pic:cNvPicPr>
                        </pic:nvPicPr>
                        <pic:blipFill>
                          <a:blip r:embed="rId16"/>
                          <a:stretch>
                            <a:fillRect/>
                          </a:stretch>
                        </pic:blipFill>
                        <pic:spPr>
                          <a:xfrm>
                            <a:off x="0" y="0"/>
                            <a:ext cx="5478780" cy="5591175"/>
                          </a:xfrm>
                          <a:prstGeom prst="rect">
                            <a:avLst/>
                          </a:prstGeom>
                          <a:noFill/>
                          <a:ln>
                            <a:noFill/>
                          </a:ln>
                        </pic:spPr>
                      </pic:pic>
                    </a:graphicData>
                  </a:graphic>
                </wp:inline>
              </w:drawing>
            </w:r>
          </w:p>
          <w:p w14:paraId="44507E4A">
            <w:pPr>
              <w:pStyle w:val="6"/>
              <w:rPr>
                <w:color w:val="auto"/>
                <w:u w:val="none" w:color="auto"/>
              </w:rPr>
            </w:pPr>
            <w:r>
              <w:rPr>
                <w:rFonts w:cs="Times New Roman"/>
                <w:color w:val="auto"/>
                <w:u w:val="none" w:color="auto"/>
              </w:rPr>
              <w:t xml:space="preserve">图 </w:t>
            </w:r>
            <w:r>
              <w:rPr>
                <w:rFonts w:cs="Times New Roman"/>
                <w:color w:val="auto"/>
                <w:u w:val="none" w:color="auto"/>
              </w:rPr>
              <w:fldChar w:fldCharType="begin"/>
            </w:r>
            <w:r>
              <w:rPr>
                <w:rFonts w:cs="Times New Roman"/>
                <w:color w:val="auto"/>
                <w:u w:val="none" w:color="auto"/>
              </w:rPr>
              <w:instrText xml:space="preserve"> SEQ 图 \* ARABIC </w:instrText>
            </w:r>
            <w:r>
              <w:rPr>
                <w:rFonts w:cs="Times New Roman"/>
                <w:color w:val="auto"/>
                <w:u w:val="none" w:color="auto"/>
              </w:rPr>
              <w:fldChar w:fldCharType="separate"/>
            </w:r>
            <w:r>
              <w:rPr>
                <w:rFonts w:cs="Times New Roman"/>
                <w:color w:val="auto"/>
                <w:u w:val="none" w:color="auto"/>
              </w:rPr>
              <w:t>1</w:t>
            </w:r>
            <w:r>
              <w:rPr>
                <w:rFonts w:cs="Times New Roman"/>
                <w:color w:val="auto"/>
                <w:u w:val="none" w:color="auto"/>
              </w:rPr>
              <w:fldChar w:fldCharType="end"/>
            </w:r>
            <w:r>
              <w:rPr>
                <w:rFonts w:hint="eastAsia" w:cs="Times New Roman"/>
                <w:color w:val="auto"/>
                <w:u w:val="none" w:color="auto"/>
                <w:lang w:val="en-US" w:eastAsia="zh-CN"/>
              </w:rPr>
              <w:t xml:space="preserve">  </w:t>
            </w:r>
            <w:r>
              <w:rPr>
                <w:rFonts w:cs="Times New Roman"/>
                <w:color w:val="auto"/>
                <w:u w:val="none" w:color="auto"/>
              </w:rPr>
              <w:t>项目水平衡图（m³/</w:t>
            </w:r>
            <w:r>
              <w:rPr>
                <w:rFonts w:hint="eastAsia" w:cs="Times New Roman"/>
                <w:color w:val="auto"/>
                <w:u w:val="none" w:color="auto"/>
                <w:lang w:val="en-US" w:eastAsia="zh-CN"/>
              </w:rPr>
              <w:t>d</w:t>
            </w:r>
            <w:r>
              <w:rPr>
                <w:rFonts w:cs="Times New Roman"/>
                <w:color w:val="auto"/>
                <w:u w:val="none" w:color="auto"/>
              </w:rPr>
              <w:t>）</w:t>
            </w:r>
          </w:p>
        </w:tc>
      </w:tr>
      <w:tr w14:paraId="5A7D06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12" w:hRule="atLeast"/>
          <w:jc w:val="center"/>
        </w:trPr>
        <w:tc>
          <w:tcPr>
            <w:tcW w:w="461" w:type="dxa"/>
            <w:vAlign w:val="center"/>
          </w:tcPr>
          <w:p w14:paraId="27DC7F12">
            <w:pPr>
              <w:pStyle w:val="19"/>
              <w:adjustRightInd w:val="0"/>
              <w:snapToGrid w:val="0"/>
              <w:spacing w:before="0" w:beforeAutospacing="0" w:after="0" w:afterAutospacing="0" w:line="240" w:lineRule="auto"/>
              <w:ind w:firstLine="0" w:firstLineChars="0"/>
              <w:jc w:val="center"/>
              <w:rPr>
                <w:rFonts w:ascii="Times New Roman" w:hAnsi="Times New Roman"/>
                <w:color w:val="auto"/>
                <w:szCs w:val="21"/>
                <w:u w:val="none" w:color="auto"/>
              </w:rPr>
            </w:pPr>
            <w:r>
              <w:rPr>
                <w:rFonts w:ascii="Times New Roman" w:hAnsi="Times New Roman"/>
                <w:color w:val="auto"/>
                <w:szCs w:val="21"/>
                <w:u w:val="none" w:color="auto"/>
              </w:rPr>
              <w:t>工艺流程和产排污环节</w:t>
            </w:r>
          </w:p>
        </w:tc>
        <w:tc>
          <w:tcPr>
            <w:tcW w:w="8848" w:type="dxa"/>
            <w:gridSpan w:val="2"/>
          </w:tcPr>
          <w:p w14:paraId="195C9010">
            <w:pPr>
              <w:pStyle w:val="36"/>
              <w:numPr>
                <w:ilvl w:val="0"/>
                <w:numId w:val="6"/>
              </w:numPr>
              <w:ind w:firstLineChars="0"/>
              <w:rPr>
                <w:b/>
                <w:color w:val="auto"/>
                <w:u w:val="none" w:color="auto"/>
              </w:rPr>
            </w:pPr>
            <w:r>
              <w:rPr>
                <w:b/>
                <w:color w:val="auto"/>
                <w:u w:val="none" w:color="auto"/>
              </w:rPr>
              <w:t>施工期</w:t>
            </w:r>
          </w:p>
          <w:p w14:paraId="613B93AC">
            <w:pPr>
              <w:ind w:firstLine="480"/>
              <w:rPr>
                <w:rFonts w:hint="default" w:eastAsia="宋体"/>
                <w:b/>
                <w:color w:val="auto"/>
                <w:highlight w:val="none"/>
                <w:u w:val="none" w:color="auto"/>
                <w:lang w:val="en-US" w:eastAsia="zh-CN"/>
              </w:rPr>
            </w:pPr>
            <w:r>
              <w:rPr>
                <w:rFonts w:hint="eastAsia"/>
                <w:color w:val="auto"/>
                <w:u w:val="none" w:color="auto"/>
                <w:lang w:val="en-US" w:eastAsia="zh-CN"/>
              </w:rPr>
              <w:t>根据企业提供的资料，建设单位租赁的“三产综合楼”由广西多加宝商务服务有限公司开发建设，本次租赁的2号楼已建成</w:t>
            </w:r>
            <w:r>
              <w:rPr>
                <w:rFonts w:hint="eastAsia"/>
                <w:color w:val="auto"/>
                <w:highlight w:val="none"/>
                <w:u w:val="none" w:color="auto"/>
                <w:lang w:val="en-US" w:eastAsia="zh-CN"/>
              </w:rPr>
              <w:t>，</w:t>
            </w:r>
            <w:r>
              <w:rPr>
                <w:rFonts w:hint="eastAsia"/>
                <w:color w:val="auto"/>
                <w:u w:val="none" w:color="auto"/>
                <w:lang w:val="en-US" w:eastAsia="zh-CN"/>
              </w:rPr>
              <w:t>建设单位（</w:t>
            </w:r>
            <w:r>
              <w:rPr>
                <w:rFonts w:hint="eastAsia"/>
                <w:color w:val="auto"/>
                <w:u w:val="none" w:color="auto"/>
                <w:lang w:eastAsia="zh-CN"/>
              </w:rPr>
              <w:t>南宁市健宁精神病医院有限公司</w:t>
            </w:r>
            <w:r>
              <w:rPr>
                <w:rFonts w:hint="eastAsia"/>
                <w:color w:val="auto"/>
                <w:u w:val="none" w:color="auto"/>
                <w:lang w:val="en-US" w:eastAsia="zh-CN"/>
              </w:rPr>
              <w:t>）将自行完善房屋内的水电设施、适当改造，并建设食堂、污水处理设施、绿化、文化走廊等</w:t>
            </w:r>
            <w:r>
              <w:rPr>
                <w:color w:val="auto"/>
                <w:highlight w:val="none"/>
                <w:u w:val="none" w:color="auto"/>
              </w:rPr>
              <w:t>。</w:t>
            </w:r>
            <w:r>
              <w:rPr>
                <w:rFonts w:hint="eastAsia"/>
                <w:color w:val="auto"/>
                <w:highlight w:val="none"/>
                <w:u w:val="none" w:color="auto"/>
                <w:lang w:val="en-US" w:eastAsia="zh-CN"/>
              </w:rPr>
              <w:t>本项目施工过程产生施工噪声、废包装材料、少量建筑垃圾，施工人员产生生活污水和生活垃圾，材料和设备运输过程产生扬尘、汽车尾气及噪声。</w:t>
            </w:r>
          </w:p>
          <w:p w14:paraId="507BA965">
            <w:pPr>
              <w:pStyle w:val="36"/>
              <w:numPr>
                <w:ilvl w:val="0"/>
                <w:numId w:val="6"/>
              </w:numPr>
              <w:ind w:firstLineChars="0"/>
              <w:rPr>
                <w:b/>
                <w:color w:val="auto"/>
                <w:u w:val="none" w:color="auto"/>
              </w:rPr>
            </w:pPr>
            <w:r>
              <w:rPr>
                <w:b/>
                <w:color w:val="auto"/>
                <w:u w:val="none" w:color="auto"/>
              </w:rPr>
              <w:t>运营期</w:t>
            </w:r>
          </w:p>
          <w:p w14:paraId="1979D3B4">
            <w:pPr>
              <w:ind w:firstLine="480"/>
              <w:jc w:val="left"/>
              <w:rPr>
                <w:rFonts w:hint="eastAsia" w:eastAsia="宋体"/>
                <w:color w:val="auto"/>
                <w:u w:val="none" w:color="auto"/>
                <w:lang w:eastAsia="zh-CN"/>
              </w:rPr>
            </w:pPr>
            <w:r>
              <w:rPr>
                <w:color w:val="auto"/>
                <w:u w:val="none" w:color="auto"/>
              </w:rPr>
              <w:t>项目运营期</w:t>
            </w:r>
            <w:r>
              <w:rPr>
                <w:color w:val="auto"/>
                <w:szCs w:val="21"/>
                <w:u w:val="none" w:color="auto"/>
              </w:rPr>
              <w:t>工艺流程和产污环节如下：</w:t>
            </w:r>
            <w:r>
              <w:rPr>
                <w:color w:val="auto"/>
                <w:sz w:val="24"/>
                <w:u w:val="none" w:color="auto"/>
              </w:rPr>
              <mc:AlternateContent>
                <mc:Choice Requires="wpc">
                  <w:drawing>
                    <wp:inline distT="0" distB="0" distL="114300" distR="114300">
                      <wp:extent cx="5481320" cy="2393315"/>
                      <wp:effectExtent l="0" t="0" r="5080" b="0"/>
                      <wp:docPr id="30" name="画布 30"/>
                      <wp:cNvGraphicFramePr/>
                      <a:graphic xmlns:a="http://schemas.openxmlformats.org/drawingml/2006/main">
                        <a:graphicData uri="http://schemas.microsoft.com/office/word/2010/wordprocessingCanvas">
                          <wpc:wpc>
                            <wpc:bg/>
                            <wpc:whole/>
                            <wps:wsp>
                              <wps:cNvPr id="40" name="文本框 40"/>
                              <wps:cNvSpPr txBox="1"/>
                              <wps:spPr>
                                <a:xfrm>
                                  <a:off x="2127250" y="228600"/>
                                  <a:ext cx="927100" cy="330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88EFF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sz w:val="21"/>
                                        <w:szCs w:val="21"/>
                                      </w:rPr>
                                    </w:pPr>
                                    <w:r>
                                      <w:rPr>
                                        <w:rFonts w:hint="eastAsia"/>
                                        <w:sz w:val="21"/>
                                        <w:szCs w:val="21"/>
                                      </w:rPr>
                                      <w:t>投入使用</w:t>
                                    </w:r>
                                  </w:p>
                                </w:txbxContent>
                              </wps:txbx>
                              <wps:bodyPr upright="1"/>
                            </wps:wsp>
                            <wps:wsp>
                              <wps:cNvPr id="37" name="直接连接符 37"/>
                              <wps:cNvCnPr/>
                              <wps:spPr>
                                <a:xfrm flipH="1">
                                  <a:off x="2578735" y="565150"/>
                                  <a:ext cx="8890" cy="482600"/>
                                </a:xfrm>
                                <a:prstGeom prst="line">
                                  <a:avLst/>
                                </a:prstGeom>
                                <a:ln w="9525" cap="flat" cmpd="sng">
                                  <a:solidFill>
                                    <a:srgbClr val="000000"/>
                                  </a:solidFill>
                                  <a:prstDash val="solid"/>
                                  <a:headEnd type="none" w="med" len="med"/>
                                  <a:tailEnd type="triangle" w="med" len="med"/>
                                </a:ln>
                              </wps:spPr>
                              <wps:bodyPr upright="1"/>
                            </wps:wsp>
                            <wps:wsp>
                              <wps:cNvPr id="38" name="直接连接符 38"/>
                              <wps:cNvCnPr/>
                              <wps:spPr>
                                <a:xfrm>
                                  <a:off x="1828800" y="1047750"/>
                                  <a:ext cx="0" cy="330200"/>
                                </a:xfrm>
                                <a:prstGeom prst="line">
                                  <a:avLst/>
                                </a:prstGeom>
                                <a:ln w="9525" cap="flat" cmpd="sng">
                                  <a:solidFill>
                                    <a:srgbClr val="000000"/>
                                  </a:solidFill>
                                  <a:prstDash val="dash"/>
                                  <a:headEnd type="none" w="med" len="med"/>
                                  <a:tailEnd type="triangle" w="med" len="med"/>
                                </a:ln>
                              </wps:spPr>
                              <wps:bodyPr upright="1"/>
                            </wps:wsp>
                            <wps:wsp>
                              <wps:cNvPr id="35" name="直接连接符 35"/>
                              <wps:cNvCnPr/>
                              <wps:spPr>
                                <a:xfrm>
                                  <a:off x="3441700" y="1047750"/>
                                  <a:ext cx="0" cy="330200"/>
                                </a:xfrm>
                                <a:prstGeom prst="line">
                                  <a:avLst/>
                                </a:prstGeom>
                                <a:ln w="9525" cap="flat" cmpd="sng">
                                  <a:solidFill>
                                    <a:srgbClr val="000000"/>
                                  </a:solidFill>
                                  <a:prstDash val="dash"/>
                                  <a:headEnd type="none" w="med" len="med"/>
                                  <a:tailEnd type="triangle" w="med" len="med"/>
                                </a:ln>
                              </wps:spPr>
                              <wps:bodyPr upright="1"/>
                            </wps:wsp>
                            <wps:wsp>
                              <wps:cNvPr id="32" name="直接连接符 32"/>
                              <wps:cNvCnPr/>
                              <wps:spPr>
                                <a:xfrm>
                                  <a:off x="444500" y="1047750"/>
                                  <a:ext cx="0" cy="330200"/>
                                </a:xfrm>
                                <a:prstGeom prst="line">
                                  <a:avLst/>
                                </a:prstGeom>
                                <a:ln w="9525" cap="flat" cmpd="sng">
                                  <a:solidFill>
                                    <a:srgbClr val="000000"/>
                                  </a:solidFill>
                                  <a:prstDash val="dash"/>
                                  <a:headEnd type="none" w="med" len="med"/>
                                  <a:tailEnd type="triangle" w="med" len="med"/>
                                </a:ln>
                              </wps:spPr>
                              <wps:bodyPr upright="1"/>
                            </wps:wsp>
                            <wps:wsp>
                              <wps:cNvPr id="31" name="文本框 31"/>
                              <wps:cNvSpPr txBox="1"/>
                              <wps:spPr>
                                <a:xfrm>
                                  <a:off x="2857500" y="1390650"/>
                                  <a:ext cx="1219200" cy="482600"/>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7C65BC1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sz w:val="21"/>
                                        <w:szCs w:val="21"/>
                                      </w:rPr>
                                    </w:pPr>
                                    <w:r>
                                      <w:rPr>
                                        <w:rFonts w:hint="eastAsia"/>
                                        <w:sz w:val="21"/>
                                        <w:szCs w:val="21"/>
                                      </w:rPr>
                                      <w:t>机动车噪声</w:t>
                                    </w:r>
                                  </w:p>
                                  <w:p w14:paraId="1F23526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sz w:val="21"/>
                                        <w:szCs w:val="21"/>
                                      </w:rPr>
                                    </w:pPr>
                                    <w:r>
                                      <w:rPr>
                                        <w:rFonts w:hint="eastAsia"/>
                                        <w:sz w:val="21"/>
                                        <w:szCs w:val="21"/>
                                      </w:rPr>
                                      <w:t>设备噪声</w:t>
                                    </w:r>
                                  </w:p>
                                </w:txbxContent>
                              </wps:txbx>
                              <wps:bodyPr upright="1"/>
                            </wps:wsp>
                            <wps:wsp>
                              <wps:cNvPr id="41" name="文本框 41"/>
                              <wps:cNvSpPr txBox="1"/>
                              <wps:spPr>
                                <a:xfrm>
                                  <a:off x="4191000" y="1047750"/>
                                  <a:ext cx="838200" cy="266700"/>
                                </a:xfrm>
                                <a:prstGeom prst="rect">
                                  <a:avLst/>
                                </a:prstGeom>
                                <a:noFill/>
                                <a:ln w="15875">
                                  <a:noFill/>
                                </a:ln>
                              </wps:spPr>
                              <wps:txbx>
                                <w:txbxContent>
                                  <w:p w14:paraId="55634713">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eastAsia="宋体"/>
                                        <w:sz w:val="21"/>
                                        <w:szCs w:val="21"/>
                                        <w:lang w:val="en-US" w:eastAsia="zh-CN"/>
                                      </w:rPr>
                                    </w:pPr>
                                    <w:r>
                                      <w:rPr>
                                        <w:rFonts w:hint="eastAsia"/>
                                        <w:sz w:val="21"/>
                                        <w:szCs w:val="21"/>
                                        <w:lang w:val="en-US" w:eastAsia="zh-CN"/>
                                      </w:rPr>
                                      <w:t>固体废物</w:t>
                                    </w:r>
                                  </w:p>
                                </w:txbxContent>
                              </wps:txbx>
                              <wps:bodyPr upright="1"/>
                            </wps:wsp>
                            <wps:wsp>
                              <wps:cNvPr id="42" name="直接连接符 42"/>
                              <wps:cNvCnPr/>
                              <wps:spPr>
                                <a:xfrm>
                                  <a:off x="4864100" y="1060450"/>
                                  <a:ext cx="0" cy="330200"/>
                                </a:xfrm>
                                <a:prstGeom prst="line">
                                  <a:avLst/>
                                </a:prstGeom>
                                <a:ln w="9525" cap="flat" cmpd="sng">
                                  <a:solidFill>
                                    <a:srgbClr val="000000"/>
                                  </a:solidFill>
                                  <a:prstDash val="dash"/>
                                  <a:headEnd type="none" w="med" len="med"/>
                                  <a:tailEnd type="triangle" w="med" len="med"/>
                                </a:ln>
                              </wps:spPr>
                              <wps:bodyPr upright="1"/>
                            </wps:wsp>
                            <wps:wsp>
                              <wps:cNvPr id="39" name="直接连接符 39"/>
                              <wps:cNvCnPr/>
                              <wps:spPr>
                                <a:xfrm flipV="1">
                                  <a:off x="469900" y="1035050"/>
                                  <a:ext cx="4381500" cy="0"/>
                                </a:xfrm>
                                <a:prstGeom prst="line">
                                  <a:avLst/>
                                </a:prstGeom>
                                <a:ln w="9525" cap="flat" cmpd="sng">
                                  <a:solidFill>
                                    <a:srgbClr val="000000"/>
                                  </a:solidFill>
                                  <a:prstDash val="solid"/>
                                  <a:headEnd type="none" w="med" len="med"/>
                                  <a:tailEnd type="none" w="med" len="med"/>
                                </a:ln>
                              </wps:spPr>
                              <wps:bodyPr upright="1"/>
                            </wps:wsp>
                            <wps:wsp>
                              <wps:cNvPr id="33" name="文本框 33"/>
                              <wps:cNvSpPr txBox="1"/>
                              <wps:spPr>
                                <a:xfrm>
                                  <a:off x="2933700" y="1035050"/>
                                  <a:ext cx="609600" cy="314325"/>
                                </a:xfrm>
                                <a:prstGeom prst="rect">
                                  <a:avLst/>
                                </a:prstGeom>
                                <a:noFill/>
                                <a:ln w="15875">
                                  <a:noFill/>
                                </a:ln>
                              </wps:spPr>
                              <wps:txbx>
                                <w:txbxContent>
                                  <w:p w14:paraId="7052EEAE">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sz w:val="21"/>
                                        <w:szCs w:val="21"/>
                                      </w:rPr>
                                    </w:pPr>
                                    <w:r>
                                      <w:rPr>
                                        <w:rFonts w:hint="eastAsia"/>
                                        <w:sz w:val="21"/>
                                        <w:szCs w:val="21"/>
                                      </w:rPr>
                                      <w:t>噪声</w:t>
                                    </w:r>
                                  </w:p>
                                </w:txbxContent>
                              </wps:txbx>
                              <wps:bodyPr upright="1"/>
                            </wps:wsp>
                            <wps:wsp>
                              <wps:cNvPr id="34" name="文本框 34"/>
                              <wps:cNvSpPr txBox="1"/>
                              <wps:spPr>
                                <a:xfrm>
                                  <a:off x="1397000" y="1054100"/>
                                  <a:ext cx="609600" cy="285750"/>
                                </a:xfrm>
                                <a:prstGeom prst="rect">
                                  <a:avLst/>
                                </a:prstGeom>
                                <a:noFill/>
                                <a:ln w="15875">
                                  <a:noFill/>
                                </a:ln>
                              </wps:spPr>
                              <wps:txbx>
                                <w:txbxContent>
                                  <w:p w14:paraId="5AAFE644">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sz w:val="21"/>
                                        <w:szCs w:val="21"/>
                                      </w:rPr>
                                    </w:pPr>
                                    <w:r>
                                      <w:rPr>
                                        <w:rFonts w:hint="eastAsia"/>
                                        <w:sz w:val="21"/>
                                        <w:szCs w:val="21"/>
                                      </w:rPr>
                                      <w:t>废气</w:t>
                                    </w:r>
                                  </w:p>
                                </w:txbxContent>
                              </wps:txbx>
                              <wps:bodyPr upright="1"/>
                            </wps:wsp>
                            <wps:wsp>
                              <wps:cNvPr id="43" name="文本框 43"/>
                              <wps:cNvSpPr txBox="1"/>
                              <wps:spPr>
                                <a:xfrm>
                                  <a:off x="0" y="1035050"/>
                                  <a:ext cx="609600" cy="333375"/>
                                </a:xfrm>
                                <a:prstGeom prst="rect">
                                  <a:avLst/>
                                </a:prstGeom>
                                <a:noFill/>
                                <a:ln w="15875">
                                  <a:noFill/>
                                </a:ln>
                              </wps:spPr>
                              <wps:txbx>
                                <w:txbxContent>
                                  <w:p w14:paraId="14B80489">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sz w:val="21"/>
                                        <w:szCs w:val="21"/>
                                      </w:rPr>
                                    </w:pPr>
                                    <w:r>
                                      <w:rPr>
                                        <w:rFonts w:hint="eastAsia"/>
                                        <w:sz w:val="21"/>
                                        <w:szCs w:val="21"/>
                                      </w:rPr>
                                      <w:t>废水</w:t>
                                    </w:r>
                                  </w:p>
                                </w:txbxContent>
                              </wps:txbx>
                              <wps:bodyPr upright="1"/>
                            </wps:wsp>
                            <wps:wsp>
                              <wps:cNvPr id="44" name="文本框 44"/>
                              <wps:cNvSpPr txBox="1"/>
                              <wps:spPr>
                                <a:xfrm>
                                  <a:off x="114300" y="1377950"/>
                                  <a:ext cx="889000" cy="844550"/>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7B3C0AD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sz w:val="21"/>
                                        <w:szCs w:val="21"/>
                                      </w:rPr>
                                    </w:pPr>
                                    <w:r>
                                      <w:rPr>
                                        <w:rFonts w:hint="eastAsia"/>
                                        <w:sz w:val="21"/>
                                        <w:szCs w:val="21"/>
                                      </w:rPr>
                                      <w:t>医疗废水</w:t>
                                    </w:r>
                                  </w:p>
                                  <w:p w14:paraId="22959463">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sz w:val="21"/>
                                        <w:szCs w:val="21"/>
                                        <w:lang w:val="en-US" w:eastAsia="zh-CN"/>
                                      </w:rPr>
                                    </w:pPr>
                                    <w:r>
                                      <w:rPr>
                                        <w:rFonts w:hint="eastAsia"/>
                                        <w:sz w:val="21"/>
                                        <w:szCs w:val="21"/>
                                        <w:lang w:val="en-US" w:eastAsia="zh-CN"/>
                                      </w:rPr>
                                      <w:t>食堂废水</w:t>
                                    </w:r>
                                  </w:p>
                                  <w:p w14:paraId="3422D58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sz w:val="21"/>
                                        <w:szCs w:val="21"/>
                                        <w:lang w:val="en-US" w:eastAsia="zh-CN"/>
                                      </w:rPr>
                                    </w:pPr>
                                    <w:r>
                                      <w:rPr>
                                        <w:rFonts w:hint="eastAsia"/>
                                        <w:sz w:val="21"/>
                                        <w:szCs w:val="21"/>
                                        <w:lang w:val="en-US" w:eastAsia="zh-CN"/>
                                      </w:rPr>
                                      <w:t>洗衣废水</w:t>
                                    </w:r>
                                  </w:p>
                                  <w:p w14:paraId="4AE9B43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sz w:val="21"/>
                                        <w:szCs w:val="21"/>
                                        <w:lang w:val="en-US" w:eastAsia="zh-CN"/>
                                      </w:rPr>
                                    </w:pPr>
                                    <w:r>
                                      <w:rPr>
                                        <w:rFonts w:hint="eastAsia"/>
                                        <w:sz w:val="21"/>
                                        <w:szCs w:val="21"/>
                                        <w:lang w:val="en-US" w:eastAsia="zh-CN"/>
                                      </w:rPr>
                                      <w:t>生活污水</w:t>
                                    </w:r>
                                  </w:p>
                                </w:txbxContent>
                              </wps:txbx>
                              <wps:bodyPr upright="1"/>
                            </wps:wsp>
                            <wps:wsp>
                              <wps:cNvPr id="45" name="文本框 45"/>
                              <wps:cNvSpPr txBox="1"/>
                              <wps:spPr>
                                <a:xfrm>
                                  <a:off x="1143000" y="1390650"/>
                                  <a:ext cx="1409700" cy="876300"/>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04B38CB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sz w:val="21"/>
                                        <w:szCs w:val="21"/>
                                        <w:lang w:val="en-US"/>
                                      </w:rPr>
                                    </w:pPr>
                                    <w:r>
                                      <w:rPr>
                                        <w:rFonts w:hint="default"/>
                                        <w:sz w:val="21"/>
                                        <w:szCs w:val="21"/>
                                        <w:lang w:val="en-US"/>
                                      </w:rPr>
                                      <w:t>厨房油烟、垃圾臭气、污水处理站废气、消毒水恶臭</w:t>
                                    </w:r>
                                  </w:p>
                                </w:txbxContent>
                              </wps:txbx>
                              <wps:bodyPr upright="1"/>
                            </wps:wsp>
                            <wps:wsp>
                              <wps:cNvPr id="36" name="文本框 36"/>
                              <wps:cNvSpPr txBox="1"/>
                              <wps:spPr>
                                <a:xfrm>
                                  <a:off x="4267200" y="1403350"/>
                                  <a:ext cx="1181100" cy="898525"/>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55F92CF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sz w:val="21"/>
                                        <w:szCs w:val="21"/>
                                      </w:rPr>
                                    </w:pPr>
                                    <w:r>
                                      <w:rPr>
                                        <w:rFonts w:hint="eastAsia"/>
                                        <w:sz w:val="21"/>
                                        <w:szCs w:val="21"/>
                                      </w:rPr>
                                      <w:t>生活垃圾</w:t>
                                    </w:r>
                                  </w:p>
                                  <w:p w14:paraId="3132E8D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sz w:val="21"/>
                                        <w:szCs w:val="21"/>
                                      </w:rPr>
                                    </w:pPr>
                                    <w:r>
                                      <w:rPr>
                                        <w:rFonts w:hint="eastAsia"/>
                                        <w:sz w:val="21"/>
                                        <w:szCs w:val="21"/>
                                      </w:rPr>
                                      <w:t>医疗废物</w:t>
                                    </w:r>
                                  </w:p>
                                  <w:p w14:paraId="1F56880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eastAsia="宋体"/>
                                        <w:sz w:val="21"/>
                                        <w:szCs w:val="21"/>
                                        <w:lang w:val="en-US" w:eastAsia="zh-CN"/>
                                      </w:rPr>
                                    </w:pPr>
                                    <w:r>
                                      <w:rPr>
                                        <w:rFonts w:hint="eastAsia"/>
                                        <w:sz w:val="21"/>
                                        <w:szCs w:val="21"/>
                                        <w:lang w:val="en-US" w:eastAsia="zh-CN"/>
                                      </w:rPr>
                                      <w:t>危险废物</w:t>
                                    </w:r>
                                  </w:p>
                                  <w:p w14:paraId="12C5CD23">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sz w:val="21"/>
                                        <w:szCs w:val="21"/>
                                      </w:rPr>
                                    </w:pPr>
                                    <w:r>
                                      <w:rPr>
                                        <w:rFonts w:hint="eastAsia"/>
                                        <w:sz w:val="21"/>
                                        <w:szCs w:val="21"/>
                                      </w:rPr>
                                      <w:t>污水处理站污泥</w:t>
                                    </w:r>
                                  </w:p>
                                </w:txbxContent>
                              </wps:txbx>
                              <wps:bodyPr upright="1"/>
                            </wps:wsp>
                          </wpc:wpc>
                        </a:graphicData>
                      </a:graphic>
                    </wp:inline>
                  </w:drawing>
                </mc:Choice>
                <mc:Fallback>
                  <w:pict>
                    <v:group id="_x0000_s1026" o:spid="_x0000_s1026" o:spt="203" style="height:188.45pt;width:431.6pt;" coordsize="5481320,2393315" editas="canvas" o:gfxdata="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">
                      <o:lock v:ext="edit" aspectratio="f"/>
                      <v:shape id="_x0000_s1026" o:spid="_x0000_s1026" style="position:absolute;left:0;top:0;height:2393315;width:5481320;" filled="f" stroked="f" coordsize="21600,21600" o:gfxdata="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">
                        <v:fill on="f" focussize="0,0"/>
                        <v:stroke on="f"/>
                        <v:imagedata o:title=""/>
                        <o:lock v:ext="edit" aspectratio="f"/>
                      </v:shape>
                      <v:shape id="_x0000_s1026" o:spid="_x0000_s1026" o:spt="202" type="#_x0000_t202" style="position:absolute;left:2127250;top:228600;height:330200;width:927100;" fillcolor="#FFFFFF" filled="t" stroked="t" coordsize="21600,21600" o:gfxdata="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IAXNNYAAAAFAQAADwAAAAAAAAAB&#10;ACAAAAAiAAAAZHJzL2Rvd25yZXYueG1sUEsBAhQAFAAAAAgAh07iQD9/78oSAgAAQgQAAA4AAAAA&#10;AAAAAQAgAAAAJQEAAGRycy9lMm9Eb2MueG1sUEsFBgAAAAAGAAYAWQEAAKkFAAAAAA==&#10;">
                        <v:fill on="t" focussize="0,0"/>
                        <v:stroke color="#000000" joinstyle="miter"/>
                        <v:imagedata o:title=""/>
                        <o:lock v:ext="edit" aspectratio="f"/>
                        <v:textbox>
                          <w:txbxContent>
                            <w:p w14:paraId="4088EFF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sz w:val="21"/>
                                  <w:szCs w:val="21"/>
                                </w:rPr>
                              </w:pPr>
                              <w:r>
                                <w:rPr>
                                  <w:rFonts w:hint="eastAsia"/>
                                  <w:sz w:val="21"/>
                                  <w:szCs w:val="21"/>
                                </w:rPr>
                                <w:t>投入使用</w:t>
                              </w:r>
                            </w:p>
                          </w:txbxContent>
                        </v:textbox>
                      </v:shape>
                      <v:line id="_x0000_s1026" o:spid="_x0000_s1026" o:spt="20" style="position:absolute;left:2578735;top:565150;flip:x;height:482600;width:8890;" filled="f" stroked="t" coordsize="21600,21600" o:gfxdata="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Z0OgfYAAAABQEAAA8A&#10;AAAAAAAAAQAgAAAAIgAAAGRycy9kb3ducmV2LnhtbFBLAQIUABQAAAAIAIdO4kCSnvWlFwIAAAEE&#10;AAAOAAAAAAAAAAEAIAAAACcBAABkcnMvZTJvRG9jLnhtbFBLBQYAAAAABgAGAFkBAACwBQAAAAA=&#10;">
                        <v:fill on="f" focussize="0,0"/>
                        <v:stroke color="#000000" joinstyle="round" endarrow="block"/>
                        <v:imagedata o:title=""/>
                        <o:lock v:ext="edit" aspectratio="f"/>
                      </v:line>
                      <v:line id="_x0000_s1026" o:spid="_x0000_s1026" o:spt="20" style="position:absolute;left:1828800;top:1047750;height:330200;width:0;" filled="f" stroked="t" coordsize="21600,21600" o:gfxdata="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QudcNgAAAAFAQAADwAAAAAAAAABACAAAAAiAAAA&#10;ZHJzL2Rvd25yZXYueG1sUEsBAhQAFAAAAAgAh07iQB5H6EwHAgAA9AMAAA4AAAAAAAAAAQAgAAAA&#10;JwEAAGRycy9lMm9Eb2MueG1sUEsFBgAAAAAGAAYAWQEAAKAFAAAAAA==&#10;">
                        <v:fill on="f" focussize="0,0"/>
                        <v:stroke color="#000000" joinstyle="round" dashstyle="dash" endarrow="block"/>
                        <v:imagedata o:title=""/>
                        <o:lock v:ext="edit" aspectratio="f"/>
                      </v:line>
                      <v:line id="_x0000_s1026" o:spid="_x0000_s1026" o:spt="20" style="position:absolute;left:3441700;top:1047750;height:330200;width:0;" filled="f" stroked="t" coordsize="21600,21600" o:gfxdata="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QudcNgAAAAFAQAADwAAAAAAAAABACAAAAAiAAAA&#10;ZHJzL2Rvd25yZXYueG1sUEsBAhQAFAAAAAgAh07iQH0lxFMHAgAA9AMAAA4AAAAAAAAAAQAgAAAA&#10;JwEAAGRycy9lMm9Eb2MueG1sUEsFBgAAAAAGAAYAWQEAAKAFAAAAAA==&#10;">
                        <v:fill on="f" focussize="0,0"/>
                        <v:stroke color="#000000" joinstyle="round" dashstyle="dash" endarrow="block"/>
                        <v:imagedata o:title=""/>
                        <o:lock v:ext="edit" aspectratio="f"/>
                      </v:line>
                      <v:line id="_x0000_s1026" o:spid="_x0000_s1026" o:spt="20" style="position:absolute;left:444500;top:1047750;height:330200;width:0;" filled="f" stroked="t" coordsize="21600,21600" o:gfxdata="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C51w2AAAAAUBAAAPAAAAAAAAAAEAIAAAACIAAABk&#10;cnMvZG93bnJldi54bWxQSwECFAAUAAAACACHTuJA8pO2HgYCAADzAwAADgAAAAAAAAABACAAAAAn&#10;AQAAZHJzL2Uyb0RvYy54bWxQSwUGAAAAAAYABgBZAQAAnwUAAAAA&#10;">
                        <v:fill on="f" focussize="0,0"/>
                        <v:stroke color="#000000" joinstyle="round" dashstyle="dash" endarrow="block"/>
                        <v:imagedata o:title=""/>
                        <o:lock v:ext="edit" aspectratio="f"/>
                      </v:line>
                      <v:shape id="_x0000_s1026" o:spid="_x0000_s1026" o:spt="202" type="#_x0000_t202" style="position:absolute;left:2857500;top:1390650;height:482600;width:1219200;" fillcolor="#FFFFFF" filled="t" stroked="t" coordsize="21600,21600" o:gfxdata="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g27rf1QAAAAUBAAAPAAAAAAAA&#10;AAEAIAAAACIAAABkcnMvZG93bnJldi54bWxQSwECFAAUAAAACACHTuJAqXNnhBUCAABDBAAADgAA&#10;AAAAAAABACAAAAAkAQAAZHJzL2Uyb0RvYy54bWxQSwUGAAAAAAYABgBZAQAAqwUAAAAA&#10;">
                        <v:fill on="t" focussize="0,0"/>
                        <v:stroke color="#000000" joinstyle="miter" dashstyle="dash"/>
                        <v:imagedata o:title=""/>
                        <o:lock v:ext="edit" aspectratio="f"/>
                        <v:textbox>
                          <w:txbxContent>
                            <w:p w14:paraId="7C65BC1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sz w:val="21"/>
                                  <w:szCs w:val="21"/>
                                </w:rPr>
                              </w:pPr>
                              <w:r>
                                <w:rPr>
                                  <w:rFonts w:hint="eastAsia"/>
                                  <w:sz w:val="21"/>
                                  <w:szCs w:val="21"/>
                                </w:rPr>
                                <w:t>机动车噪声</w:t>
                              </w:r>
                            </w:p>
                            <w:p w14:paraId="1F23526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sz w:val="21"/>
                                  <w:szCs w:val="21"/>
                                </w:rPr>
                              </w:pPr>
                              <w:r>
                                <w:rPr>
                                  <w:rFonts w:hint="eastAsia"/>
                                  <w:sz w:val="21"/>
                                  <w:szCs w:val="21"/>
                                </w:rPr>
                                <w:t>设备噪声</w:t>
                              </w:r>
                            </w:p>
                          </w:txbxContent>
                        </v:textbox>
                      </v:shape>
                      <v:shape id="_x0000_s1026" o:spid="_x0000_s1026" o:spt="202" type="#_x0000_t202" style="position:absolute;left:4191000;top:1047750;height:266700;width:838200;" filled="f" stroked="f" coordsize="21600,21600" o:gfxdata="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Iipc52QAAAAUBAAAPAAAAAAAAAAEAIAAAACIAAABkcnMvZG93bnJldi54&#10;bWxQSwECFAAUAAAACACHTuJAIJzp7cABAABlAwAADgAAAAAAAAABACAAAAAoAQAAZHJzL2Uyb0Rv&#10;Yy54bWxQSwUGAAAAAAYABgBZAQAAWgUAAAAA&#10;">
                        <v:fill on="f" focussize="0,0"/>
                        <v:stroke on="f" weight="1.25pt"/>
                        <v:imagedata o:title=""/>
                        <o:lock v:ext="edit" aspectratio="f"/>
                        <v:textbox>
                          <w:txbxContent>
                            <w:p w14:paraId="55634713">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eastAsia="宋体"/>
                                  <w:sz w:val="21"/>
                                  <w:szCs w:val="21"/>
                                  <w:lang w:val="en-US" w:eastAsia="zh-CN"/>
                                </w:rPr>
                              </w:pPr>
                              <w:r>
                                <w:rPr>
                                  <w:rFonts w:hint="eastAsia"/>
                                  <w:sz w:val="21"/>
                                  <w:szCs w:val="21"/>
                                  <w:lang w:val="en-US" w:eastAsia="zh-CN"/>
                                </w:rPr>
                                <w:t>固体废物</w:t>
                              </w:r>
                            </w:p>
                          </w:txbxContent>
                        </v:textbox>
                      </v:shape>
                      <v:line id="_x0000_s1026" o:spid="_x0000_s1026" o:spt="20" style="position:absolute;left:4864100;top:1060450;height:330200;width:0;" filled="f" stroked="t" coordsize="21600,21600" o:gfxdata="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QudcNgAAAAFAQAADwAAAAAAAAABACAAAAAiAAAA&#10;ZHJzL2Rvd25yZXYueG1sUEsBAhQAFAAAAAgAh07iQBoiAHEHAgAA9AMAAA4AAAAAAAAAAQAgAAAA&#10;JwEAAGRycy9lMm9Eb2MueG1sUEsFBgAAAAAGAAYAWQEAAKAFAAAAAA==&#10;">
                        <v:fill on="f" focussize="0,0"/>
                        <v:stroke color="#000000" joinstyle="round" dashstyle="dash" endarrow="block"/>
                        <v:imagedata o:title=""/>
                        <o:lock v:ext="edit" aspectratio="f"/>
                      </v:line>
                      <v:line id="_x0000_s1026" o:spid="_x0000_s1026" o:spt="20" style="position:absolute;left:469900;top:1035050;flip:y;height:0;width:4381500;" filled="f" stroked="t" coordsize="21600,21600" o:gfxdata="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&#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FeA5rUAAAABQEAAA8AAAAAAAAAAQAgAAAAIgAAAGRy&#10;cy9kb3ducmV2LnhtbFBLAQIUABQAAAAIAIdO4kDEEC5GCQIAAPsDAAAOAAAAAAAAAAEAIAAAACMB&#10;AABkcnMvZTJvRG9jLnhtbFBLBQYAAAAABgAGAFkBAACeBQAAAAA=&#10;">
                        <v:fill on="f" focussize="0,0"/>
                        <v:stroke color="#000000" joinstyle="round"/>
                        <v:imagedata o:title=""/>
                        <o:lock v:ext="edit" aspectratio="f"/>
                      </v:line>
                      <v:shape id="_x0000_s1026" o:spid="_x0000_s1026" o:spt="202" type="#_x0000_t202" style="position:absolute;left:2933700;top:1035050;height:314325;width:609600;" filled="f" stroked="f" coordsize="21600,21600" o:gfxdata="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Iipc52QAAAAUBAAAPAAAAAAAAAAEAIAAAACIAAABkcnMvZG93bnJldi54&#10;bWxQSwECFAAUAAAACACHTuJAG+zaZ8ABAABlAwAADgAAAAAAAAABACAAAAAoAQAAZHJzL2Uyb0Rv&#10;Yy54bWxQSwUGAAAAAAYABgBZAQAAWgUAAAAA&#10;">
                        <v:fill on="f" focussize="0,0"/>
                        <v:stroke on="f" weight="1.25pt"/>
                        <v:imagedata o:title=""/>
                        <o:lock v:ext="edit" aspectratio="f"/>
                        <v:textbox>
                          <w:txbxContent>
                            <w:p w14:paraId="7052EEAE">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sz w:val="21"/>
                                  <w:szCs w:val="21"/>
                                </w:rPr>
                              </w:pPr>
                              <w:r>
                                <w:rPr>
                                  <w:rFonts w:hint="eastAsia"/>
                                  <w:sz w:val="21"/>
                                  <w:szCs w:val="21"/>
                                </w:rPr>
                                <w:t>噪声</w:t>
                              </w:r>
                            </w:p>
                          </w:txbxContent>
                        </v:textbox>
                      </v:shape>
                      <v:shape id="_x0000_s1026" o:spid="_x0000_s1026" o:spt="202" type="#_x0000_t202" style="position:absolute;left:1397000;top:1054100;height:285750;width:609600;" filled="f" stroked="f" coordsize="21600,21600" o:gfxdata="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Iipc52QAAAAUBAAAPAAAAAAAAAAEAIAAAACIAAABkcnMvZG93bnJldi54&#10;bWxQSwECFAAUAAAACACHTuJAE7VVf8ABAABlAwAADgAAAAAAAAABACAAAAAoAQAAZHJzL2Uyb0Rv&#10;Yy54bWxQSwUGAAAAAAYABgBZAQAAWgUAAAAA&#10;">
                        <v:fill on="f" focussize="0,0"/>
                        <v:stroke on="f" weight="1.25pt"/>
                        <v:imagedata o:title=""/>
                        <o:lock v:ext="edit" aspectratio="f"/>
                        <v:textbox>
                          <w:txbxContent>
                            <w:p w14:paraId="5AAFE644">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sz w:val="21"/>
                                  <w:szCs w:val="21"/>
                                </w:rPr>
                              </w:pPr>
                              <w:r>
                                <w:rPr>
                                  <w:rFonts w:hint="eastAsia"/>
                                  <w:sz w:val="21"/>
                                  <w:szCs w:val="21"/>
                                </w:rPr>
                                <w:t>废气</w:t>
                              </w:r>
                            </w:p>
                          </w:txbxContent>
                        </v:textbox>
                      </v:shape>
                      <v:shape id="_x0000_s1026" o:spid="_x0000_s1026" o:spt="202" type="#_x0000_t202" style="position:absolute;left:0;top:1035050;height:333375;width:609600;" filled="f" stroked="f" coordsize="21600,21600" o:gfxdata="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iKlznZAAAABQEAAA8AAAAAAAAAAQAgAAAAIgAAAGRycy9kb3ducmV2LnhtbFBLAQIU&#10;ABQAAAAIAIdO4kBuz32fuQEAAF8DAAAOAAAAAAAAAAEAIAAAACgBAABkcnMvZTJvRG9jLnhtbFBL&#10;BQYAAAAABgAGAFkBAABTBQAAAAA=&#10;">
                        <v:fill on="f" focussize="0,0"/>
                        <v:stroke on="f" weight="1.25pt"/>
                        <v:imagedata o:title=""/>
                        <o:lock v:ext="edit" aspectratio="f"/>
                        <v:textbox>
                          <w:txbxContent>
                            <w:p w14:paraId="14B80489">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sz w:val="21"/>
                                  <w:szCs w:val="21"/>
                                </w:rPr>
                              </w:pPr>
                              <w:r>
                                <w:rPr>
                                  <w:rFonts w:hint="eastAsia"/>
                                  <w:sz w:val="21"/>
                                  <w:szCs w:val="21"/>
                                </w:rPr>
                                <w:t>废水</w:t>
                              </w:r>
                            </w:p>
                          </w:txbxContent>
                        </v:textbox>
                      </v:shape>
                      <v:shape id="_x0000_s1026" o:spid="_x0000_s1026" o:spt="202" type="#_x0000_t202" style="position:absolute;left:114300;top:1377950;height:844550;width:889000;" fillcolor="#FFFFFF" filled="t" stroked="t" coordsize="21600,21600" o:gfxdata="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Nu639UAAAAFAQAADwAAAAAA&#10;AAABACAAAAAiAAAAZHJzL2Rvd25yZXYueG1sUEsBAhQAFAAAAAgAh07iQLbBtUkWAgAAQQQAAA4A&#10;AAAAAAAAAQAgAAAAJAEAAGRycy9lMm9Eb2MueG1sUEsFBgAAAAAGAAYAWQEAAKwFAAAAAA==&#10;">
                        <v:fill on="t" focussize="0,0"/>
                        <v:stroke color="#000000" joinstyle="miter" dashstyle="dash"/>
                        <v:imagedata o:title=""/>
                        <o:lock v:ext="edit" aspectratio="f"/>
                        <v:textbox>
                          <w:txbxContent>
                            <w:p w14:paraId="7B3C0AD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sz w:val="21"/>
                                  <w:szCs w:val="21"/>
                                </w:rPr>
                              </w:pPr>
                              <w:r>
                                <w:rPr>
                                  <w:rFonts w:hint="eastAsia"/>
                                  <w:sz w:val="21"/>
                                  <w:szCs w:val="21"/>
                                </w:rPr>
                                <w:t>医疗废水</w:t>
                              </w:r>
                            </w:p>
                            <w:p w14:paraId="22959463">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sz w:val="21"/>
                                  <w:szCs w:val="21"/>
                                  <w:lang w:val="en-US" w:eastAsia="zh-CN"/>
                                </w:rPr>
                              </w:pPr>
                              <w:r>
                                <w:rPr>
                                  <w:rFonts w:hint="eastAsia"/>
                                  <w:sz w:val="21"/>
                                  <w:szCs w:val="21"/>
                                  <w:lang w:val="en-US" w:eastAsia="zh-CN"/>
                                </w:rPr>
                                <w:t>食堂废水</w:t>
                              </w:r>
                            </w:p>
                            <w:p w14:paraId="3422D58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sz w:val="21"/>
                                  <w:szCs w:val="21"/>
                                  <w:lang w:val="en-US" w:eastAsia="zh-CN"/>
                                </w:rPr>
                              </w:pPr>
                              <w:r>
                                <w:rPr>
                                  <w:rFonts w:hint="eastAsia"/>
                                  <w:sz w:val="21"/>
                                  <w:szCs w:val="21"/>
                                  <w:lang w:val="en-US" w:eastAsia="zh-CN"/>
                                </w:rPr>
                                <w:t>洗衣废水</w:t>
                              </w:r>
                            </w:p>
                            <w:p w14:paraId="4AE9B43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sz w:val="21"/>
                                  <w:szCs w:val="21"/>
                                  <w:lang w:val="en-US" w:eastAsia="zh-CN"/>
                                </w:rPr>
                              </w:pPr>
                              <w:r>
                                <w:rPr>
                                  <w:rFonts w:hint="eastAsia"/>
                                  <w:sz w:val="21"/>
                                  <w:szCs w:val="21"/>
                                  <w:lang w:val="en-US" w:eastAsia="zh-CN"/>
                                </w:rPr>
                                <w:t>生活污水</w:t>
                              </w:r>
                            </w:p>
                          </w:txbxContent>
                        </v:textbox>
                      </v:shape>
                      <v:shape id="_x0000_s1026" o:spid="_x0000_s1026" o:spt="202" type="#_x0000_t202" style="position:absolute;left:1143000;top:1390650;height:876300;width:1409700;" fillcolor="#FFFFFF" filled="t" stroked="t" coordsize="21600,21600" o:gfxdata="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Nu639UAAAAFAQAADwAAAAAA&#10;AAABACAAAAAiAAAAZHJzL2Rvd25yZXYueG1sUEsBAhQAFAAAAAgAh07iQFMCU1UWAgAAQwQAAA4A&#10;AAAAAAAAAQAgAAAAJAEAAGRycy9lMm9Eb2MueG1sUEsFBgAAAAAGAAYAWQEAAKwFAAAAAA==&#10;">
                        <v:fill on="t" focussize="0,0"/>
                        <v:stroke color="#000000" joinstyle="miter" dashstyle="dash"/>
                        <v:imagedata o:title=""/>
                        <o:lock v:ext="edit" aspectratio="f"/>
                        <v:textbox>
                          <w:txbxContent>
                            <w:p w14:paraId="04B38CB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sz w:val="21"/>
                                  <w:szCs w:val="21"/>
                                  <w:lang w:val="en-US"/>
                                </w:rPr>
                              </w:pPr>
                              <w:r>
                                <w:rPr>
                                  <w:rFonts w:hint="default"/>
                                  <w:sz w:val="21"/>
                                  <w:szCs w:val="21"/>
                                  <w:lang w:val="en-US"/>
                                </w:rPr>
                                <w:t>厨房油烟、垃圾臭气、污水处理站废气、消毒水恶臭</w:t>
                              </w:r>
                            </w:p>
                          </w:txbxContent>
                        </v:textbox>
                      </v:shape>
                      <v:shape id="_x0000_s1026" o:spid="_x0000_s1026" o:spt="202" type="#_x0000_t202" style="position:absolute;left:4267200;top:1403350;height:898525;width:1181100;" fillcolor="#FFFFFF" filled="t" stroked="t" coordsize="21600,21600" o:gfxdata="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Dbut/VAAAABQEAAA8AAAAAAAAA&#10;AQAgAAAAIgAAAGRycy9kb3ducmV2LnhtbFBLAQIUABQAAAAIAIdO4kD4VLptFAIAAEMEAAAOAAAA&#10;AAAAAAEAIAAAACQBAABkcnMvZTJvRG9jLnhtbFBLBQYAAAAABgAGAFkBAACqBQAAAAA=&#10;">
                        <v:fill on="t" focussize="0,0"/>
                        <v:stroke color="#000000" joinstyle="miter" dashstyle="dash"/>
                        <v:imagedata o:title=""/>
                        <o:lock v:ext="edit" aspectratio="f"/>
                        <v:textbox>
                          <w:txbxContent>
                            <w:p w14:paraId="55F92CF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sz w:val="21"/>
                                  <w:szCs w:val="21"/>
                                </w:rPr>
                              </w:pPr>
                              <w:r>
                                <w:rPr>
                                  <w:rFonts w:hint="eastAsia"/>
                                  <w:sz w:val="21"/>
                                  <w:szCs w:val="21"/>
                                </w:rPr>
                                <w:t>生活垃圾</w:t>
                              </w:r>
                            </w:p>
                            <w:p w14:paraId="3132E8D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sz w:val="21"/>
                                  <w:szCs w:val="21"/>
                                </w:rPr>
                              </w:pPr>
                              <w:r>
                                <w:rPr>
                                  <w:rFonts w:hint="eastAsia"/>
                                  <w:sz w:val="21"/>
                                  <w:szCs w:val="21"/>
                                </w:rPr>
                                <w:t>医疗废物</w:t>
                              </w:r>
                            </w:p>
                            <w:p w14:paraId="1F56880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eastAsia="宋体"/>
                                  <w:sz w:val="21"/>
                                  <w:szCs w:val="21"/>
                                  <w:lang w:val="en-US" w:eastAsia="zh-CN"/>
                                </w:rPr>
                              </w:pPr>
                              <w:r>
                                <w:rPr>
                                  <w:rFonts w:hint="eastAsia"/>
                                  <w:sz w:val="21"/>
                                  <w:szCs w:val="21"/>
                                  <w:lang w:val="en-US" w:eastAsia="zh-CN"/>
                                </w:rPr>
                                <w:t>危险废物</w:t>
                              </w:r>
                            </w:p>
                            <w:p w14:paraId="12C5CD23">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sz w:val="21"/>
                                  <w:szCs w:val="21"/>
                                </w:rPr>
                              </w:pPr>
                              <w:r>
                                <w:rPr>
                                  <w:rFonts w:hint="eastAsia"/>
                                  <w:sz w:val="21"/>
                                  <w:szCs w:val="21"/>
                                </w:rPr>
                                <w:t>污水处理站污泥</w:t>
                              </w:r>
                            </w:p>
                          </w:txbxContent>
                        </v:textbox>
                      </v:shape>
                      <w10:wrap type="none"/>
                      <w10:anchorlock/>
                    </v:group>
                  </w:pict>
                </mc:Fallback>
              </mc:AlternateContent>
            </w:r>
          </w:p>
          <w:p w14:paraId="6F6B1A40">
            <w:pPr>
              <w:keepNext/>
              <w:adjustRightInd w:val="0"/>
              <w:snapToGrid w:val="0"/>
              <w:ind w:firstLine="0" w:firstLineChars="0"/>
              <w:rPr>
                <w:color w:val="auto"/>
                <w:u w:val="none" w:color="auto"/>
              </w:rPr>
            </w:pPr>
          </w:p>
          <w:p w14:paraId="71CCAD93">
            <w:pPr>
              <w:pStyle w:val="6"/>
              <w:rPr>
                <w:rFonts w:cs="Times New Roman"/>
                <w:color w:val="auto"/>
                <w:u w:val="none" w:color="auto"/>
              </w:rPr>
            </w:pPr>
            <w:r>
              <w:rPr>
                <w:rFonts w:cs="Times New Roman"/>
                <w:color w:val="auto"/>
                <w:u w:val="none" w:color="auto"/>
              </w:rPr>
              <w:t>图</w:t>
            </w:r>
            <w:r>
              <w:rPr>
                <w:rFonts w:hint="eastAsia" w:cs="Times New Roman"/>
                <w:color w:val="auto"/>
                <w:u w:val="none" w:color="auto"/>
                <w:lang w:val="en-US" w:eastAsia="zh-CN"/>
              </w:rPr>
              <w:t>3</w:t>
            </w:r>
            <w:r>
              <w:rPr>
                <w:rFonts w:cs="Times New Roman"/>
                <w:color w:val="auto"/>
                <w:u w:val="none" w:color="auto"/>
              </w:rPr>
              <w:t xml:space="preserve"> 项目生产工艺</w:t>
            </w:r>
            <w:r>
              <w:rPr>
                <w:rFonts w:hint="eastAsia" w:cs="Times New Roman"/>
                <w:color w:val="auto"/>
                <w:u w:val="none" w:color="auto"/>
                <w:lang w:val="en-US" w:eastAsia="zh-CN"/>
              </w:rPr>
              <w:t>流程</w:t>
            </w:r>
            <w:r>
              <w:rPr>
                <w:rFonts w:cs="Times New Roman"/>
                <w:color w:val="auto"/>
                <w:u w:val="none" w:color="auto"/>
              </w:rPr>
              <w:t>及产污</w:t>
            </w:r>
            <w:r>
              <w:rPr>
                <w:rFonts w:hint="eastAsia" w:cs="Times New Roman"/>
                <w:color w:val="auto"/>
                <w:u w:val="none" w:color="auto"/>
                <w:lang w:val="en-US" w:eastAsia="zh-CN"/>
              </w:rPr>
              <w:t>节点</w:t>
            </w:r>
            <w:r>
              <w:rPr>
                <w:rFonts w:cs="Times New Roman"/>
                <w:color w:val="auto"/>
                <w:u w:val="none" w:color="auto"/>
              </w:rPr>
              <w:t>图</w:t>
            </w:r>
          </w:p>
          <w:p w14:paraId="130ED952">
            <w:pPr>
              <w:ind w:firstLine="480"/>
              <w:rPr>
                <w:color w:val="auto"/>
                <w:u w:val="none" w:color="auto"/>
              </w:rPr>
            </w:pPr>
          </w:p>
          <w:p w14:paraId="507219E0">
            <w:pPr>
              <w:pStyle w:val="10"/>
              <w:numPr>
                <w:ilvl w:val="0"/>
                <w:numId w:val="3"/>
              </w:numPr>
              <w:ind w:left="0" w:firstLine="0" w:firstLineChars="0"/>
              <w:jc w:val="center"/>
              <w:rPr>
                <w:rFonts w:hint="default" w:ascii="黑体" w:hAnsi="黑体" w:eastAsia="黑体"/>
                <w:b w:val="0"/>
                <w:color w:val="auto"/>
                <w:u w:val="none" w:color="auto"/>
                <w:lang w:val="en-US" w:eastAsia="zh-CN"/>
              </w:rPr>
            </w:pPr>
            <w:r>
              <w:rPr>
                <w:rFonts w:ascii="黑体" w:hAnsi="黑体" w:eastAsia="黑体"/>
                <w:b w:val="0"/>
                <w:color w:val="auto"/>
                <w:u w:val="none" w:color="auto"/>
              </w:rPr>
              <w:t>项目运营期</w:t>
            </w:r>
            <w:r>
              <w:rPr>
                <w:rFonts w:hint="eastAsia" w:ascii="黑体" w:hAnsi="黑体" w:eastAsia="黑体"/>
                <w:b w:val="0"/>
                <w:color w:val="auto"/>
                <w:u w:val="none" w:color="auto"/>
                <w:lang w:val="en-US" w:eastAsia="zh-CN"/>
              </w:rPr>
              <w:t>产污环节汇总表</w:t>
            </w:r>
          </w:p>
          <w:tbl>
            <w:tblPr>
              <w:tblStyle w:val="23"/>
              <w:tblW w:w="850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6"/>
              <w:gridCol w:w="449"/>
              <w:gridCol w:w="1650"/>
              <w:gridCol w:w="2679"/>
              <w:gridCol w:w="2890"/>
            </w:tblGrid>
            <w:tr w14:paraId="5A0AD9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6" w:type="dxa"/>
                  <w:tcBorders>
                    <w:left w:val="single" w:color="auto" w:sz="0" w:space="0"/>
                  </w:tcBorders>
                  <w:vAlign w:val="center"/>
                </w:tcPr>
                <w:p w14:paraId="4D006ED9">
                  <w:pPr>
                    <w:adjustRightInd w:val="0"/>
                    <w:snapToGrid w:val="0"/>
                    <w:spacing w:line="240" w:lineRule="auto"/>
                    <w:ind w:firstLine="0" w:firstLineChars="0"/>
                    <w:jc w:val="center"/>
                    <w:rPr>
                      <w:b/>
                      <w:color w:val="auto"/>
                      <w:sz w:val="21"/>
                      <w:szCs w:val="21"/>
                      <w:u w:val="none" w:color="auto"/>
                    </w:rPr>
                  </w:pPr>
                  <w:r>
                    <w:rPr>
                      <w:b/>
                      <w:color w:val="auto"/>
                      <w:sz w:val="21"/>
                      <w:szCs w:val="21"/>
                      <w:u w:val="none" w:color="auto"/>
                    </w:rPr>
                    <w:t>污染类别</w:t>
                  </w:r>
                </w:p>
              </w:tc>
              <w:tc>
                <w:tcPr>
                  <w:tcW w:w="2099" w:type="dxa"/>
                  <w:gridSpan w:val="2"/>
                  <w:vAlign w:val="center"/>
                </w:tcPr>
                <w:p w14:paraId="24975FEC">
                  <w:pPr>
                    <w:adjustRightInd w:val="0"/>
                    <w:snapToGrid w:val="0"/>
                    <w:spacing w:line="240" w:lineRule="auto"/>
                    <w:ind w:firstLine="0" w:firstLineChars="0"/>
                    <w:jc w:val="center"/>
                    <w:rPr>
                      <w:b/>
                      <w:color w:val="auto"/>
                      <w:sz w:val="21"/>
                      <w:szCs w:val="21"/>
                      <w:u w:val="none" w:color="auto"/>
                    </w:rPr>
                  </w:pPr>
                  <w:r>
                    <w:rPr>
                      <w:b/>
                      <w:color w:val="auto"/>
                      <w:sz w:val="21"/>
                      <w:szCs w:val="21"/>
                      <w:u w:val="none" w:color="auto"/>
                    </w:rPr>
                    <w:t>污染名称</w:t>
                  </w:r>
                </w:p>
              </w:tc>
              <w:tc>
                <w:tcPr>
                  <w:tcW w:w="2679" w:type="dxa"/>
                  <w:vAlign w:val="center"/>
                </w:tcPr>
                <w:p w14:paraId="553BC597">
                  <w:pPr>
                    <w:adjustRightInd w:val="0"/>
                    <w:snapToGrid w:val="0"/>
                    <w:spacing w:line="240" w:lineRule="auto"/>
                    <w:ind w:firstLine="0" w:firstLineChars="0"/>
                    <w:jc w:val="center"/>
                    <w:rPr>
                      <w:b/>
                      <w:color w:val="auto"/>
                      <w:sz w:val="21"/>
                      <w:szCs w:val="21"/>
                      <w:u w:val="none" w:color="auto"/>
                    </w:rPr>
                  </w:pPr>
                  <w:r>
                    <w:rPr>
                      <w:b/>
                      <w:color w:val="auto"/>
                      <w:sz w:val="21"/>
                      <w:szCs w:val="21"/>
                      <w:u w:val="none" w:color="auto"/>
                    </w:rPr>
                    <w:t>产生工序</w:t>
                  </w:r>
                </w:p>
              </w:tc>
              <w:tc>
                <w:tcPr>
                  <w:tcW w:w="2890" w:type="dxa"/>
                  <w:tcBorders>
                    <w:right w:val="single" w:color="auto" w:sz="4" w:space="0"/>
                  </w:tcBorders>
                  <w:vAlign w:val="center"/>
                </w:tcPr>
                <w:p w14:paraId="476E663F">
                  <w:pPr>
                    <w:adjustRightInd w:val="0"/>
                    <w:snapToGrid w:val="0"/>
                    <w:spacing w:line="240" w:lineRule="auto"/>
                    <w:ind w:firstLine="0" w:firstLineChars="0"/>
                    <w:jc w:val="center"/>
                    <w:rPr>
                      <w:b/>
                      <w:color w:val="auto"/>
                      <w:sz w:val="21"/>
                      <w:szCs w:val="21"/>
                      <w:u w:val="none" w:color="auto"/>
                    </w:rPr>
                  </w:pPr>
                  <w:r>
                    <w:rPr>
                      <w:b/>
                      <w:color w:val="auto"/>
                      <w:sz w:val="21"/>
                      <w:szCs w:val="21"/>
                      <w:u w:val="none" w:color="auto"/>
                    </w:rPr>
                    <w:t>主要污染因子</w:t>
                  </w:r>
                </w:p>
              </w:tc>
            </w:tr>
            <w:tr w14:paraId="143FF6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restart"/>
                  <w:tcBorders>
                    <w:left w:val="single" w:color="auto" w:sz="4" w:space="0"/>
                  </w:tcBorders>
                  <w:vAlign w:val="center"/>
                </w:tcPr>
                <w:p w14:paraId="3C975D23">
                  <w:pPr>
                    <w:adjustRightInd w:val="0"/>
                    <w:snapToGrid w:val="0"/>
                    <w:spacing w:line="240" w:lineRule="auto"/>
                    <w:ind w:firstLine="0" w:firstLineChars="0"/>
                    <w:jc w:val="center"/>
                    <w:rPr>
                      <w:bCs/>
                      <w:color w:val="auto"/>
                      <w:sz w:val="21"/>
                      <w:szCs w:val="21"/>
                      <w:u w:val="none" w:color="auto"/>
                    </w:rPr>
                  </w:pPr>
                  <w:r>
                    <w:rPr>
                      <w:bCs/>
                      <w:color w:val="auto"/>
                      <w:sz w:val="21"/>
                      <w:szCs w:val="21"/>
                      <w:u w:val="none" w:color="auto"/>
                    </w:rPr>
                    <w:t>废气</w:t>
                  </w:r>
                </w:p>
              </w:tc>
              <w:tc>
                <w:tcPr>
                  <w:tcW w:w="2099" w:type="dxa"/>
                  <w:gridSpan w:val="2"/>
                  <w:vMerge w:val="restart"/>
                  <w:vAlign w:val="center"/>
                </w:tcPr>
                <w:p w14:paraId="48ADE618">
                  <w:pPr>
                    <w:adjustRightInd w:val="0"/>
                    <w:snapToGrid w:val="0"/>
                    <w:spacing w:line="240" w:lineRule="auto"/>
                    <w:ind w:firstLine="0" w:firstLineChars="0"/>
                    <w:jc w:val="center"/>
                    <w:rPr>
                      <w:rFonts w:hint="eastAsia" w:eastAsia="宋体"/>
                      <w:bCs/>
                      <w:color w:val="auto"/>
                      <w:sz w:val="21"/>
                      <w:szCs w:val="21"/>
                      <w:u w:val="none" w:color="auto"/>
                      <w:lang w:eastAsia="zh-CN"/>
                    </w:rPr>
                  </w:pPr>
                  <w:r>
                    <w:rPr>
                      <w:rFonts w:hint="eastAsia"/>
                      <w:bCs/>
                      <w:color w:val="auto"/>
                      <w:sz w:val="21"/>
                      <w:szCs w:val="21"/>
                      <w:u w:val="none" w:color="auto"/>
                      <w:lang w:val="en-US" w:eastAsia="zh-CN"/>
                    </w:rPr>
                    <w:t>异味</w:t>
                  </w:r>
                </w:p>
              </w:tc>
              <w:tc>
                <w:tcPr>
                  <w:tcW w:w="2679" w:type="dxa"/>
                  <w:vAlign w:val="center"/>
                </w:tcPr>
                <w:p w14:paraId="6945E398">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Cs/>
                      <w:color w:val="auto"/>
                      <w:sz w:val="21"/>
                      <w:szCs w:val="21"/>
                      <w:u w:val="none" w:color="auto"/>
                    </w:rPr>
                  </w:pPr>
                  <w:r>
                    <w:rPr>
                      <w:rFonts w:hint="eastAsia"/>
                      <w:color w:val="auto"/>
                      <w:sz w:val="21"/>
                      <w:szCs w:val="21"/>
                      <w:u w:val="none" w:color="auto"/>
                    </w:rPr>
                    <w:t>厨房油烟、垃圾臭气、污水处理站废气、消毒水恶臭</w:t>
                  </w:r>
                </w:p>
              </w:tc>
              <w:tc>
                <w:tcPr>
                  <w:tcW w:w="2890" w:type="dxa"/>
                  <w:tcBorders>
                    <w:right w:val="single" w:color="auto" w:sz="4" w:space="0"/>
                  </w:tcBorders>
                  <w:vAlign w:val="center"/>
                </w:tcPr>
                <w:p w14:paraId="23D8325C">
                  <w:pPr>
                    <w:adjustRightInd w:val="0"/>
                    <w:snapToGrid w:val="0"/>
                    <w:spacing w:line="240" w:lineRule="auto"/>
                    <w:ind w:firstLine="0" w:firstLineChars="0"/>
                    <w:jc w:val="center"/>
                    <w:rPr>
                      <w:rFonts w:hint="default" w:eastAsia="宋体"/>
                      <w:bCs/>
                      <w:color w:val="auto"/>
                      <w:sz w:val="21"/>
                      <w:szCs w:val="21"/>
                      <w:u w:val="none" w:color="auto"/>
                      <w:lang w:val="en-US" w:eastAsia="zh-CN"/>
                    </w:rPr>
                  </w:pPr>
                  <w:r>
                    <w:rPr>
                      <w:rFonts w:hint="eastAsia"/>
                      <w:bCs/>
                      <w:color w:val="auto"/>
                      <w:sz w:val="21"/>
                      <w:szCs w:val="21"/>
                      <w:u w:val="none" w:color="auto"/>
                      <w:lang w:val="en-US" w:eastAsia="zh-CN"/>
                    </w:rPr>
                    <w:t>臭气浓度、</w:t>
                  </w:r>
                  <w:r>
                    <w:rPr>
                      <w:bCs/>
                      <w:strike w:val="0"/>
                      <w:dstrike w:val="0"/>
                      <w:color w:val="auto"/>
                      <w:sz w:val="21"/>
                      <w:szCs w:val="21"/>
                      <w:u w:val="none" w:color="auto"/>
                    </w:rPr>
                    <w:t>NH</w:t>
                  </w:r>
                  <w:r>
                    <w:rPr>
                      <w:rFonts w:hint="eastAsia"/>
                      <w:bCs/>
                      <w:strike w:val="0"/>
                      <w:dstrike w:val="0"/>
                      <w:color w:val="auto"/>
                      <w:sz w:val="21"/>
                      <w:szCs w:val="21"/>
                      <w:u w:val="none" w:color="auto"/>
                      <w:vertAlign w:val="subscript"/>
                      <w:lang w:val="en-US" w:eastAsia="zh-CN"/>
                    </w:rPr>
                    <w:t>3</w:t>
                  </w:r>
                  <w:r>
                    <w:rPr>
                      <w:bCs/>
                      <w:strike w:val="0"/>
                      <w:dstrike w:val="0"/>
                      <w:color w:val="auto"/>
                      <w:sz w:val="21"/>
                      <w:szCs w:val="21"/>
                      <w:u w:val="none" w:color="auto"/>
                    </w:rPr>
                    <w:t>、</w:t>
                  </w:r>
                  <w:r>
                    <w:rPr>
                      <w:rFonts w:hint="eastAsia"/>
                      <w:bCs/>
                      <w:color w:val="auto"/>
                      <w:sz w:val="21"/>
                      <w:szCs w:val="21"/>
                      <w:u w:val="none" w:color="auto"/>
                      <w:lang w:val="en-US" w:eastAsia="zh-CN"/>
                    </w:rPr>
                    <w:t>H</w:t>
                  </w:r>
                  <w:r>
                    <w:rPr>
                      <w:rFonts w:hint="eastAsia"/>
                      <w:bCs/>
                      <w:color w:val="auto"/>
                      <w:sz w:val="21"/>
                      <w:szCs w:val="21"/>
                      <w:u w:val="none" w:color="auto"/>
                      <w:vertAlign w:val="subscript"/>
                      <w:lang w:val="en-US" w:eastAsia="zh-CN"/>
                    </w:rPr>
                    <w:t>2</w:t>
                  </w:r>
                  <w:r>
                    <w:rPr>
                      <w:rFonts w:hint="eastAsia"/>
                      <w:bCs/>
                      <w:color w:val="auto"/>
                      <w:sz w:val="21"/>
                      <w:szCs w:val="21"/>
                      <w:u w:val="none" w:color="auto"/>
                      <w:lang w:val="en-US" w:eastAsia="zh-CN"/>
                    </w:rPr>
                    <w:t>S</w:t>
                  </w:r>
                </w:p>
              </w:tc>
            </w:tr>
            <w:tr w14:paraId="4A6468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tcBorders>
                    <w:left w:val="single" w:color="auto" w:sz="4" w:space="0"/>
                  </w:tcBorders>
                  <w:vAlign w:val="center"/>
                </w:tcPr>
                <w:p w14:paraId="139E4AEF">
                  <w:pPr>
                    <w:adjustRightInd w:val="0"/>
                    <w:snapToGrid w:val="0"/>
                    <w:spacing w:line="240" w:lineRule="auto"/>
                    <w:ind w:firstLine="0" w:firstLineChars="0"/>
                    <w:jc w:val="center"/>
                    <w:rPr>
                      <w:bCs/>
                      <w:color w:val="auto"/>
                      <w:sz w:val="21"/>
                      <w:szCs w:val="21"/>
                      <w:u w:val="none" w:color="auto"/>
                    </w:rPr>
                  </w:pPr>
                </w:p>
              </w:tc>
              <w:tc>
                <w:tcPr>
                  <w:tcW w:w="2099" w:type="dxa"/>
                  <w:gridSpan w:val="2"/>
                  <w:vMerge w:val="continue"/>
                  <w:vAlign w:val="center"/>
                </w:tcPr>
                <w:p w14:paraId="553DD302">
                  <w:pPr>
                    <w:adjustRightInd w:val="0"/>
                    <w:snapToGrid w:val="0"/>
                    <w:spacing w:line="240" w:lineRule="auto"/>
                    <w:ind w:firstLine="0" w:firstLineChars="0"/>
                    <w:jc w:val="center"/>
                    <w:rPr>
                      <w:rFonts w:hint="eastAsia"/>
                      <w:bCs/>
                      <w:color w:val="auto"/>
                      <w:sz w:val="21"/>
                      <w:szCs w:val="21"/>
                      <w:u w:val="none" w:color="auto"/>
                      <w:lang w:val="en-US" w:eastAsia="zh-CN"/>
                    </w:rPr>
                  </w:pPr>
                </w:p>
              </w:tc>
              <w:tc>
                <w:tcPr>
                  <w:tcW w:w="2679" w:type="dxa"/>
                  <w:vAlign w:val="center"/>
                </w:tcPr>
                <w:p w14:paraId="3D1DDB2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中药煎煮</w:t>
                  </w:r>
                </w:p>
              </w:tc>
              <w:tc>
                <w:tcPr>
                  <w:tcW w:w="2890" w:type="dxa"/>
                  <w:tcBorders>
                    <w:right w:val="single" w:color="auto" w:sz="4" w:space="0"/>
                  </w:tcBorders>
                  <w:vAlign w:val="center"/>
                </w:tcPr>
                <w:p w14:paraId="677D8195">
                  <w:pPr>
                    <w:adjustRightInd w:val="0"/>
                    <w:snapToGrid w:val="0"/>
                    <w:spacing w:line="240" w:lineRule="auto"/>
                    <w:ind w:firstLine="0" w:firstLineChars="0"/>
                    <w:jc w:val="center"/>
                    <w:rPr>
                      <w:rFonts w:hint="default"/>
                      <w:bCs/>
                      <w:color w:val="auto"/>
                      <w:sz w:val="21"/>
                      <w:szCs w:val="21"/>
                      <w:u w:val="none" w:color="auto"/>
                      <w:lang w:val="en-US" w:eastAsia="zh-CN"/>
                    </w:rPr>
                  </w:pPr>
                  <w:r>
                    <w:rPr>
                      <w:rFonts w:hint="eastAsia"/>
                      <w:bCs/>
                      <w:color w:val="auto"/>
                      <w:sz w:val="21"/>
                      <w:szCs w:val="21"/>
                      <w:u w:val="none" w:color="auto"/>
                      <w:lang w:val="en-US" w:eastAsia="zh-CN"/>
                    </w:rPr>
                    <w:t>异味</w:t>
                  </w:r>
                </w:p>
              </w:tc>
            </w:tr>
            <w:tr w14:paraId="669077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restart"/>
                  <w:tcBorders>
                    <w:left w:val="single" w:color="auto" w:sz="4" w:space="0"/>
                  </w:tcBorders>
                  <w:vAlign w:val="center"/>
                </w:tcPr>
                <w:p w14:paraId="4CA8EA90">
                  <w:pPr>
                    <w:adjustRightInd w:val="0"/>
                    <w:snapToGrid w:val="0"/>
                    <w:spacing w:line="240" w:lineRule="auto"/>
                    <w:ind w:firstLine="0" w:firstLineChars="0"/>
                    <w:jc w:val="center"/>
                    <w:rPr>
                      <w:bCs/>
                      <w:color w:val="auto"/>
                      <w:sz w:val="21"/>
                      <w:szCs w:val="21"/>
                      <w:u w:val="none" w:color="auto"/>
                    </w:rPr>
                  </w:pPr>
                  <w:r>
                    <w:rPr>
                      <w:bCs/>
                      <w:color w:val="auto"/>
                      <w:sz w:val="21"/>
                      <w:szCs w:val="21"/>
                      <w:u w:val="none" w:color="auto"/>
                    </w:rPr>
                    <w:t>废水</w:t>
                  </w:r>
                </w:p>
              </w:tc>
              <w:tc>
                <w:tcPr>
                  <w:tcW w:w="2099" w:type="dxa"/>
                  <w:gridSpan w:val="2"/>
                  <w:vAlign w:val="center"/>
                </w:tcPr>
                <w:p w14:paraId="2BDB6A05">
                  <w:pPr>
                    <w:adjustRightInd w:val="0"/>
                    <w:snapToGrid w:val="0"/>
                    <w:spacing w:line="240" w:lineRule="auto"/>
                    <w:ind w:firstLine="0" w:firstLineChars="0"/>
                    <w:jc w:val="center"/>
                    <w:rPr>
                      <w:rFonts w:hint="default" w:eastAsia="宋体"/>
                      <w:bCs/>
                      <w:color w:val="auto"/>
                      <w:sz w:val="21"/>
                      <w:szCs w:val="21"/>
                      <w:u w:val="none" w:color="auto"/>
                      <w:lang w:val="en-US" w:eastAsia="zh-CN"/>
                    </w:rPr>
                  </w:pPr>
                  <w:r>
                    <w:rPr>
                      <w:rFonts w:hint="eastAsia"/>
                      <w:bCs/>
                      <w:color w:val="auto"/>
                      <w:sz w:val="21"/>
                      <w:szCs w:val="21"/>
                      <w:u w:val="none" w:color="auto"/>
                      <w:lang w:val="en-US" w:eastAsia="zh-CN"/>
                    </w:rPr>
                    <w:t>医疗废水</w:t>
                  </w:r>
                </w:p>
              </w:tc>
              <w:tc>
                <w:tcPr>
                  <w:tcW w:w="2679" w:type="dxa"/>
                  <w:vAlign w:val="center"/>
                </w:tcPr>
                <w:p w14:paraId="795A3C4E">
                  <w:pPr>
                    <w:adjustRightInd w:val="0"/>
                    <w:snapToGrid w:val="0"/>
                    <w:spacing w:line="240" w:lineRule="auto"/>
                    <w:ind w:firstLine="0" w:firstLineChars="0"/>
                    <w:jc w:val="center"/>
                    <w:rPr>
                      <w:rFonts w:hint="default" w:eastAsia="宋体"/>
                      <w:bCs/>
                      <w:color w:val="auto"/>
                      <w:sz w:val="21"/>
                      <w:szCs w:val="21"/>
                      <w:u w:val="none" w:color="auto"/>
                      <w:lang w:val="en-US" w:eastAsia="zh-CN"/>
                    </w:rPr>
                  </w:pPr>
                  <w:r>
                    <w:rPr>
                      <w:rFonts w:hint="eastAsia"/>
                      <w:bCs/>
                      <w:color w:val="auto"/>
                      <w:sz w:val="21"/>
                      <w:szCs w:val="21"/>
                      <w:u w:val="none" w:color="auto"/>
                      <w:lang w:val="en-US" w:eastAsia="zh-CN"/>
                    </w:rPr>
                    <w:t>医疗过程</w:t>
                  </w:r>
                </w:p>
              </w:tc>
              <w:tc>
                <w:tcPr>
                  <w:tcW w:w="2890" w:type="dxa"/>
                  <w:tcBorders>
                    <w:right w:val="single" w:color="auto" w:sz="4" w:space="0"/>
                  </w:tcBorders>
                  <w:vAlign w:val="center"/>
                </w:tcPr>
                <w:p w14:paraId="4BA8165C">
                  <w:pPr>
                    <w:adjustRightInd w:val="0"/>
                    <w:snapToGrid w:val="0"/>
                    <w:spacing w:line="240" w:lineRule="auto"/>
                    <w:ind w:firstLine="0" w:firstLineChars="0"/>
                    <w:jc w:val="center"/>
                    <w:rPr>
                      <w:rFonts w:hint="default" w:eastAsia="宋体"/>
                      <w:bCs/>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一般医疗废水，pH值、SS、COD</w:t>
                  </w:r>
                  <w:r>
                    <w:rPr>
                      <w:rFonts w:hint="default" w:ascii="Times New Roman" w:hAnsi="Times New Roman" w:eastAsia="宋体" w:cs="Times New Roman"/>
                      <w:color w:val="auto"/>
                      <w:sz w:val="21"/>
                      <w:szCs w:val="21"/>
                      <w:u w:val="none" w:color="auto"/>
                      <w:vertAlign w:val="subscript"/>
                    </w:rPr>
                    <w:t>cr</w:t>
                  </w:r>
                  <w:r>
                    <w:rPr>
                      <w:rFonts w:hint="default" w:ascii="Times New Roman" w:hAnsi="Times New Roman" w:eastAsia="宋体" w:cs="Times New Roman"/>
                      <w:color w:val="auto"/>
                      <w:sz w:val="21"/>
                      <w:szCs w:val="21"/>
                      <w:u w:val="none" w:color="auto"/>
                    </w:rPr>
                    <w:t>、BOD</w:t>
                  </w:r>
                  <w:r>
                    <w:rPr>
                      <w:rFonts w:hint="default" w:ascii="Times New Roman" w:hAnsi="Times New Roman" w:eastAsia="宋体" w:cs="Times New Roman"/>
                      <w:color w:val="auto"/>
                      <w:sz w:val="21"/>
                      <w:szCs w:val="21"/>
                      <w:u w:val="none" w:color="auto"/>
                      <w:vertAlign w:val="subscript"/>
                    </w:rPr>
                    <w:t>5</w:t>
                  </w:r>
                  <w:r>
                    <w:rPr>
                      <w:rFonts w:hint="default" w:ascii="Times New Roman" w:hAnsi="Times New Roman" w:eastAsia="宋体" w:cs="Times New Roman"/>
                      <w:color w:val="auto"/>
                      <w:sz w:val="21"/>
                      <w:szCs w:val="21"/>
                      <w:u w:val="none" w:color="auto"/>
                    </w:rPr>
                    <w:t>、氨氮、动植物油、粪大肠菌群</w:t>
                  </w:r>
                  <w:r>
                    <w:rPr>
                      <w:rFonts w:hint="eastAsia" w:cs="Times New Roman"/>
                      <w:color w:val="auto"/>
                      <w:sz w:val="21"/>
                      <w:szCs w:val="21"/>
                      <w:u w:val="none" w:color="auto"/>
                      <w:lang w:val="en-US" w:eastAsia="zh-CN"/>
                    </w:rPr>
                    <w:t>等</w:t>
                  </w:r>
                  <w:r>
                    <w:rPr>
                      <w:rFonts w:hint="eastAsia" w:cs="Times New Roman"/>
                      <w:color w:val="auto"/>
                      <w:sz w:val="21"/>
                      <w:szCs w:val="21"/>
                      <w:u w:val="none" w:color="auto"/>
                      <w:lang w:eastAsia="zh-CN"/>
                    </w:rPr>
                    <w:t>，</w:t>
                  </w:r>
                  <w:r>
                    <w:rPr>
                      <w:rFonts w:hint="eastAsia" w:cs="Times New Roman"/>
                      <w:color w:val="auto"/>
                      <w:sz w:val="21"/>
                      <w:szCs w:val="21"/>
                      <w:u w:val="none" w:color="auto"/>
                      <w:lang w:val="en-US" w:eastAsia="zh-CN"/>
                    </w:rPr>
                    <w:t>特殊医疗废水为酸碱废水。</w:t>
                  </w:r>
                </w:p>
              </w:tc>
            </w:tr>
            <w:tr w14:paraId="6533BC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tcBorders>
                    <w:left w:val="single" w:color="auto" w:sz="4" w:space="0"/>
                  </w:tcBorders>
                  <w:vAlign w:val="center"/>
                </w:tcPr>
                <w:p w14:paraId="2262A688">
                  <w:pPr>
                    <w:adjustRightInd w:val="0"/>
                    <w:snapToGrid w:val="0"/>
                    <w:spacing w:line="240" w:lineRule="auto"/>
                    <w:ind w:firstLine="0" w:firstLineChars="0"/>
                    <w:jc w:val="center"/>
                    <w:rPr>
                      <w:bCs/>
                      <w:color w:val="auto"/>
                      <w:sz w:val="21"/>
                      <w:szCs w:val="21"/>
                      <w:u w:val="none" w:color="auto"/>
                    </w:rPr>
                  </w:pPr>
                </w:p>
              </w:tc>
              <w:tc>
                <w:tcPr>
                  <w:tcW w:w="2099" w:type="dxa"/>
                  <w:gridSpan w:val="2"/>
                  <w:vAlign w:val="center"/>
                </w:tcPr>
                <w:p w14:paraId="1E4FEDAD">
                  <w:pPr>
                    <w:adjustRightInd w:val="0"/>
                    <w:snapToGrid w:val="0"/>
                    <w:spacing w:line="240" w:lineRule="auto"/>
                    <w:ind w:firstLine="0" w:firstLineChars="0"/>
                    <w:jc w:val="center"/>
                    <w:rPr>
                      <w:rFonts w:hint="default" w:eastAsia="宋体"/>
                      <w:bCs/>
                      <w:color w:val="auto"/>
                      <w:sz w:val="21"/>
                      <w:szCs w:val="21"/>
                      <w:u w:val="none" w:color="auto"/>
                      <w:lang w:val="en-US" w:eastAsia="zh-CN"/>
                    </w:rPr>
                  </w:pPr>
                  <w:r>
                    <w:rPr>
                      <w:rFonts w:hint="eastAsia"/>
                      <w:bCs/>
                      <w:color w:val="auto"/>
                      <w:sz w:val="21"/>
                      <w:szCs w:val="21"/>
                      <w:u w:val="none" w:color="auto"/>
                      <w:lang w:val="en-US" w:eastAsia="zh-CN"/>
                    </w:rPr>
                    <w:t>食堂废水</w:t>
                  </w:r>
                </w:p>
              </w:tc>
              <w:tc>
                <w:tcPr>
                  <w:tcW w:w="2679" w:type="dxa"/>
                  <w:vAlign w:val="center"/>
                </w:tcPr>
                <w:p w14:paraId="0FD7E64A">
                  <w:pPr>
                    <w:adjustRightInd w:val="0"/>
                    <w:snapToGrid w:val="0"/>
                    <w:spacing w:line="240" w:lineRule="auto"/>
                    <w:ind w:firstLine="0" w:firstLineChars="0"/>
                    <w:jc w:val="center"/>
                    <w:rPr>
                      <w:bCs/>
                      <w:color w:val="auto"/>
                      <w:sz w:val="21"/>
                      <w:szCs w:val="21"/>
                      <w:u w:val="none" w:color="auto"/>
                    </w:rPr>
                  </w:pPr>
                  <w:r>
                    <w:rPr>
                      <w:bCs/>
                      <w:color w:val="auto"/>
                      <w:sz w:val="21"/>
                      <w:szCs w:val="21"/>
                      <w:u w:val="none" w:color="auto"/>
                    </w:rPr>
                    <w:t>职工生活</w:t>
                  </w:r>
                </w:p>
              </w:tc>
              <w:tc>
                <w:tcPr>
                  <w:tcW w:w="2890" w:type="dxa"/>
                  <w:tcBorders>
                    <w:right w:val="single" w:color="auto" w:sz="4" w:space="0"/>
                  </w:tcBorders>
                  <w:vAlign w:val="center"/>
                </w:tcPr>
                <w:p w14:paraId="6FECB7EF">
                  <w:pPr>
                    <w:adjustRightInd w:val="0"/>
                    <w:snapToGrid w:val="0"/>
                    <w:spacing w:line="240" w:lineRule="auto"/>
                    <w:ind w:firstLine="0" w:firstLineChars="0"/>
                    <w:jc w:val="center"/>
                    <w:rPr>
                      <w:rFonts w:hint="default" w:eastAsia="宋体"/>
                      <w:bCs/>
                      <w:color w:val="auto"/>
                      <w:sz w:val="21"/>
                      <w:szCs w:val="21"/>
                      <w:u w:val="none" w:color="auto"/>
                      <w:lang w:val="en-US" w:eastAsia="zh-CN"/>
                    </w:rPr>
                  </w:pPr>
                  <w:r>
                    <w:rPr>
                      <w:bCs/>
                      <w:color w:val="auto"/>
                      <w:sz w:val="21"/>
                      <w:szCs w:val="21"/>
                      <w:u w:val="none" w:color="auto"/>
                    </w:rPr>
                    <w:t>pH值、COD</w:t>
                  </w:r>
                  <w:r>
                    <w:rPr>
                      <w:bCs/>
                      <w:color w:val="auto"/>
                      <w:sz w:val="21"/>
                      <w:szCs w:val="21"/>
                      <w:u w:val="none" w:color="auto"/>
                      <w:vertAlign w:val="subscript"/>
                    </w:rPr>
                    <w:t>cr</w:t>
                  </w:r>
                  <w:r>
                    <w:rPr>
                      <w:bCs/>
                      <w:color w:val="auto"/>
                      <w:sz w:val="21"/>
                      <w:szCs w:val="21"/>
                      <w:u w:val="none" w:color="auto"/>
                    </w:rPr>
                    <w:t>、NH</w:t>
                  </w:r>
                  <w:r>
                    <w:rPr>
                      <w:bCs/>
                      <w:color w:val="auto"/>
                      <w:sz w:val="21"/>
                      <w:szCs w:val="21"/>
                      <w:u w:val="none" w:color="auto"/>
                      <w:vertAlign w:val="subscript"/>
                    </w:rPr>
                    <w:t>3</w:t>
                  </w:r>
                  <w:r>
                    <w:rPr>
                      <w:bCs/>
                      <w:color w:val="auto"/>
                      <w:sz w:val="21"/>
                      <w:szCs w:val="21"/>
                      <w:u w:val="none" w:color="auto"/>
                    </w:rPr>
                    <w:t>-N、SS、BOD</w:t>
                  </w:r>
                  <w:r>
                    <w:rPr>
                      <w:bCs/>
                      <w:color w:val="auto"/>
                      <w:sz w:val="21"/>
                      <w:szCs w:val="21"/>
                      <w:u w:val="none" w:color="auto"/>
                      <w:vertAlign w:val="subscript"/>
                    </w:rPr>
                    <w:t>5</w:t>
                  </w:r>
                  <w:r>
                    <w:rPr>
                      <w:rFonts w:hint="eastAsia"/>
                      <w:bCs/>
                      <w:color w:val="auto"/>
                      <w:sz w:val="21"/>
                      <w:szCs w:val="21"/>
                      <w:u w:val="none" w:color="auto"/>
                      <w:vertAlign w:val="baseline"/>
                      <w:lang w:eastAsia="zh-CN"/>
                    </w:rPr>
                    <w:t>、</w:t>
                  </w:r>
                  <w:r>
                    <w:rPr>
                      <w:rFonts w:hint="eastAsia"/>
                      <w:bCs/>
                      <w:color w:val="auto"/>
                      <w:sz w:val="21"/>
                      <w:szCs w:val="21"/>
                      <w:u w:val="none" w:color="auto"/>
                      <w:vertAlign w:val="baseline"/>
                      <w:lang w:val="en-US" w:eastAsia="zh-CN"/>
                    </w:rPr>
                    <w:t>动植物油</w:t>
                  </w:r>
                </w:p>
              </w:tc>
            </w:tr>
            <w:tr w14:paraId="544E69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left w:val="single" w:color="auto" w:sz="4" w:space="0"/>
                  </w:tcBorders>
                  <w:vAlign w:val="center"/>
                </w:tcPr>
                <w:p w14:paraId="2658EDCE">
                  <w:pPr>
                    <w:adjustRightInd w:val="0"/>
                    <w:snapToGrid w:val="0"/>
                    <w:spacing w:line="240" w:lineRule="auto"/>
                    <w:ind w:firstLine="0" w:firstLineChars="0"/>
                    <w:jc w:val="center"/>
                    <w:rPr>
                      <w:bCs/>
                      <w:color w:val="auto"/>
                      <w:sz w:val="21"/>
                      <w:szCs w:val="21"/>
                      <w:u w:val="none" w:color="auto"/>
                    </w:rPr>
                  </w:pPr>
                  <w:r>
                    <w:rPr>
                      <w:bCs/>
                      <w:color w:val="auto"/>
                      <w:sz w:val="21"/>
                      <w:szCs w:val="21"/>
                      <w:u w:val="none" w:color="auto"/>
                    </w:rPr>
                    <w:t>噪声</w:t>
                  </w:r>
                </w:p>
              </w:tc>
              <w:tc>
                <w:tcPr>
                  <w:tcW w:w="2099" w:type="dxa"/>
                  <w:gridSpan w:val="2"/>
                  <w:vAlign w:val="center"/>
                </w:tcPr>
                <w:p w14:paraId="027ADC89">
                  <w:pPr>
                    <w:adjustRightInd w:val="0"/>
                    <w:snapToGrid w:val="0"/>
                    <w:spacing w:line="240" w:lineRule="auto"/>
                    <w:ind w:firstLine="0" w:firstLineChars="0"/>
                    <w:jc w:val="center"/>
                    <w:rPr>
                      <w:bCs/>
                      <w:color w:val="auto"/>
                      <w:sz w:val="21"/>
                      <w:szCs w:val="21"/>
                      <w:u w:val="none" w:color="auto"/>
                    </w:rPr>
                  </w:pPr>
                  <w:r>
                    <w:rPr>
                      <w:bCs/>
                      <w:color w:val="auto"/>
                      <w:sz w:val="21"/>
                      <w:szCs w:val="21"/>
                      <w:u w:val="none" w:color="auto"/>
                    </w:rPr>
                    <w:t>生产设备噪声</w:t>
                  </w:r>
                </w:p>
              </w:tc>
              <w:tc>
                <w:tcPr>
                  <w:tcW w:w="2679" w:type="dxa"/>
                  <w:vAlign w:val="center"/>
                </w:tcPr>
                <w:p w14:paraId="617D721F">
                  <w:pPr>
                    <w:adjustRightInd w:val="0"/>
                    <w:snapToGrid w:val="0"/>
                    <w:spacing w:line="240" w:lineRule="auto"/>
                    <w:ind w:firstLine="0" w:firstLineChars="0"/>
                    <w:jc w:val="center"/>
                    <w:rPr>
                      <w:bCs/>
                      <w:color w:val="auto"/>
                      <w:sz w:val="21"/>
                      <w:szCs w:val="21"/>
                      <w:u w:val="none" w:color="auto"/>
                    </w:rPr>
                  </w:pPr>
                  <w:r>
                    <w:rPr>
                      <w:bCs/>
                      <w:color w:val="auto"/>
                      <w:sz w:val="21"/>
                      <w:szCs w:val="21"/>
                      <w:u w:val="none" w:color="auto"/>
                    </w:rPr>
                    <w:t>工作过程</w:t>
                  </w:r>
                </w:p>
              </w:tc>
              <w:tc>
                <w:tcPr>
                  <w:tcW w:w="2890" w:type="dxa"/>
                  <w:tcBorders>
                    <w:right w:val="single" w:color="auto" w:sz="4" w:space="0"/>
                  </w:tcBorders>
                  <w:vAlign w:val="center"/>
                </w:tcPr>
                <w:p w14:paraId="28CC2E69">
                  <w:pPr>
                    <w:adjustRightInd w:val="0"/>
                    <w:snapToGrid w:val="0"/>
                    <w:spacing w:line="240" w:lineRule="auto"/>
                    <w:ind w:firstLine="0" w:firstLineChars="0"/>
                    <w:jc w:val="center"/>
                    <w:rPr>
                      <w:bCs/>
                      <w:color w:val="auto"/>
                      <w:sz w:val="21"/>
                      <w:szCs w:val="21"/>
                      <w:u w:val="none" w:color="auto"/>
                    </w:rPr>
                  </w:pPr>
                  <w:r>
                    <w:rPr>
                      <w:rFonts w:hint="eastAsia"/>
                      <w:bCs/>
                      <w:color w:val="auto"/>
                      <w:sz w:val="21"/>
                      <w:szCs w:val="21"/>
                      <w:u w:val="none" w:color="auto"/>
                      <w:lang w:val="en-US" w:eastAsia="zh-CN"/>
                    </w:rPr>
                    <w:t>设备运行</w:t>
                  </w:r>
                  <w:r>
                    <w:rPr>
                      <w:bCs/>
                      <w:color w:val="auto"/>
                      <w:sz w:val="21"/>
                      <w:szCs w:val="21"/>
                      <w:u w:val="none" w:color="auto"/>
                    </w:rPr>
                    <w:t>噪声</w:t>
                  </w:r>
                </w:p>
              </w:tc>
            </w:tr>
            <w:tr w14:paraId="563518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restart"/>
                  <w:tcBorders>
                    <w:left w:val="single" w:color="auto" w:sz="4" w:space="0"/>
                  </w:tcBorders>
                  <w:vAlign w:val="center"/>
                </w:tcPr>
                <w:p w14:paraId="69821515">
                  <w:pPr>
                    <w:adjustRightInd w:val="0"/>
                    <w:snapToGrid w:val="0"/>
                    <w:spacing w:line="240" w:lineRule="auto"/>
                    <w:ind w:firstLine="0" w:firstLineChars="0"/>
                    <w:jc w:val="center"/>
                    <w:rPr>
                      <w:rFonts w:hint="eastAsia" w:eastAsia="宋体"/>
                      <w:bCs/>
                      <w:color w:val="auto"/>
                      <w:sz w:val="21"/>
                      <w:szCs w:val="21"/>
                      <w:u w:val="none" w:color="auto"/>
                      <w:lang w:eastAsia="zh-CN"/>
                    </w:rPr>
                  </w:pPr>
                  <w:r>
                    <w:rPr>
                      <w:rFonts w:hint="eastAsia"/>
                      <w:bCs/>
                      <w:color w:val="auto"/>
                      <w:sz w:val="21"/>
                      <w:szCs w:val="21"/>
                      <w:u w:val="none" w:color="auto"/>
                      <w:lang w:val="en-US" w:eastAsia="zh-CN"/>
                    </w:rPr>
                    <w:t>固体废物</w:t>
                  </w:r>
                </w:p>
              </w:tc>
              <w:tc>
                <w:tcPr>
                  <w:tcW w:w="2099" w:type="dxa"/>
                  <w:gridSpan w:val="2"/>
                  <w:vAlign w:val="center"/>
                </w:tcPr>
                <w:p w14:paraId="76F2CB8A">
                  <w:pPr>
                    <w:adjustRightInd w:val="0"/>
                    <w:snapToGrid w:val="0"/>
                    <w:spacing w:line="240" w:lineRule="auto"/>
                    <w:ind w:firstLine="0" w:firstLineChars="0"/>
                    <w:jc w:val="center"/>
                    <w:rPr>
                      <w:bCs/>
                      <w:color w:val="auto"/>
                      <w:sz w:val="21"/>
                      <w:szCs w:val="21"/>
                      <w:u w:val="none" w:color="auto"/>
                    </w:rPr>
                  </w:pPr>
                  <w:r>
                    <w:rPr>
                      <w:bCs/>
                      <w:color w:val="auto"/>
                      <w:sz w:val="21"/>
                      <w:szCs w:val="21"/>
                      <w:u w:val="none" w:color="auto"/>
                    </w:rPr>
                    <w:t>生活垃圾</w:t>
                  </w:r>
                </w:p>
              </w:tc>
              <w:tc>
                <w:tcPr>
                  <w:tcW w:w="2679" w:type="dxa"/>
                  <w:vAlign w:val="center"/>
                </w:tcPr>
                <w:p w14:paraId="3B39FF8C">
                  <w:pPr>
                    <w:adjustRightInd w:val="0"/>
                    <w:snapToGrid w:val="0"/>
                    <w:spacing w:line="240" w:lineRule="auto"/>
                    <w:ind w:firstLine="0" w:firstLineChars="0"/>
                    <w:jc w:val="center"/>
                    <w:rPr>
                      <w:bCs/>
                      <w:color w:val="auto"/>
                      <w:sz w:val="21"/>
                      <w:szCs w:val="21"/>
                      <w:u w:val="none" w:color="auto"/>
                    </w:rPr>
                  </w:pPr>
                  <w:r>
                    <w:rPr>
                      <w:bCs/>
                      <w:color w:val="auto"/>
                      <w:sz w:val="21"/>
                      <w:szCs w:val="21"/>
                      <w:u w:val="none" w:color="auto"/>
                    </w:rPr>
                    <w:t>职工生活</w:t>
                  </w:r>
                </w:p>
              </w:tc>
              <w:tc>
                <w:tcPr>
                  <w:tcW w:w="2890" w:type="dxa"/>
                  <w:tcBorders>
                    <w:right w:val="single" w:color="auto" w:sz="4" w:space="0"/>
                  </w:tcBorders>
                  <w:vAlign w:val="center"/>
                </w:tcPr>
                <w:p w14:paraId="617DA34F">
                  <w:pPr>
                    <w:adjustRightInd w:val="0"/>
                    <w:snapToGrid w:val="0"/>
                    <w:spacing w:line="240" w:lineRule="auto"/>
                    <w:ind w:firstLine="0" w:firstLineChars="0"/>
                    <w:jc w:val="center"/>
                    <w:rPr>
                      <w:bCs/>
                      <w:color w:val="auto"/>
                      <w:sz w:val="21"/>
                      <w:szCs w:val="21"/>
                      <w:u w:val="none" w:color="auto"/>
                    </w:rPr>
                  </w:pPr>
                  <w:r>
                    <w:rPr>
                      <w:bCs/>
                      <w:color w:val="auto"/>
                      <w:sz w:val="21"/>
                      <w:szCs w:val="21"/>
                      <w:u w:val="none" w:color="auto"/>
                    </w:rPr>
                    <w:t>生活垃圾</w:t>
                  </w:r>
                </w:p>
              </w:tc>
            </w:tr>
            <w:tr w14:paraId="393330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tcBorders>
                    <w:left w:val="single" w:color="auto" w:sz="4" w:space="0"/>
                  </w:tcBorders>
                  <w:vAlign w:val="center"/>
                </w:tcPr>
                <w:p w14:paraId="773D069E">
                  <w:pPr>
                    <w:adjustRightInd w:val="0"/>
                    <w:snapToGrid w:val="0"/>
                    <w:spacing w:line="240" w:lineRule="auto"/>
                    <w:ind w:firstLine="0" w:firstLineChars="0"/>
                    <w:jc w:val="center"/>
                    <w:rPr>
                      <w:rFonts w:hint="eastAsia"/>
                      <w:bCs/>
                      <w:color w:val="auto"/>
                      <w:sz w:val="21"/>
                      <w:szCs w:val="21"/>
                      <w:u w:val="none" w:color="auto"/>
                      <w:lang w:val="en-US" w:eastAsia="zh-CN"/>
                    </w:rPr>
                  </w:pPr>
                </w:p>
              </w:tc>
              <w:tc>
                <w:tcPr>
                  <w:tcW w:w="2099" w:type="dxa"/>
                  <w:gridSpan w:val="2"/>
                  <w:vAlign w:val="center"/>
                </w:tcPr>
                <w:p w14:paraId="2DC434C4">
                  <w:pPr>
                    <w:adjustRightInd w:val="0"/>
                    <w:snapToGrid w:val="0"/>
                    <w:spacing w:line="240" w:lineRule="auto"/>
                    <w:ind w:firstLine="0" w:firstLineChars="0"/>
                    <w:jc w:val="center"/>
                    <w:rPr>
                      <w:rFonts w:hint="eastAsia" w:eastAsia="宋体"/>
                      <w:bCs/>
                      <w:color w:val="auto"/>
                      <w:sz w:val="21"/>
                      <w:szCs w:val="21"/>
                      <w:u w:val="none" w:color="auto"/>
                      <w:lang w:val="en-US" w:eastAsia="zh-CN"/>
                    </w:rPr>
                  </w:pPr>
                  <w:r>
                    <w:rPr>
                      <w:rFonts w:hint="eastAsia"/>
                      <w:bCs/>
                      <w:color w:val="auto"/>
                      <w:sz w:val="21"/>
                      <w:szCs w:val="21"/>
                      <w:u w:val="none" w:color="auto"/>
                      <w:lang w:val="en-US" w:eastAsia="zh-CN"/>
                    </w:rPr>
                    <w:t>食堂隔油</w:t>
                  </w:r>
                </w:p>
              </w:tc>
              <w:tc>
                <w:tcPr>
                  <w:tcW w:w="2679" w:type="dxa"/>
                  <w:vAlign w:val="center"/>
                </w:tcPr>
                <w:p w14:paraId="6024AA1F">
                  <w:pPr>
                    <w:adjustRightInd w:val="0"/>
                    <w:snapToGrid w:val="0"/>
                    <w:spacing w:line="240" w:lineRule="auto"/>
                    <w:ind w:firstLine="0" w:firstLineChars="0"/>
                    <w:jc w:val="center"/>
                    <w:rPr>
                      <w:rFonts w:hint="eastAsia" w:eastAsia="宋体"/>
                      <w:bCs/>
                      <w:color w:val="auto"/>
                      <w:sz w:val="21"/>
                      <w:szCs w:val="21"/>
                      <w:u w:val="none" w:color="auto"/>
                      <w:lang w:val="en-US" w:eastAsia="zh-CN"/>
                    </w:rPr>
                  </w:pPr>
                  <w:r>
                    <w:rPr>
                      <w:rFonts w:hint="eastAsia"/>
                      <w:bCs/>
                      <w:color w:val="auto"/>
                      <w:sz w:val="21"/>
                      <w:szCs w:val="21"/>
                      <w:u w:val="none" w:color="auto"/>
                      <w:lang w:val="en-US" w:eastAsia="zh-CN"/>
                    </w:rPr>
                    <w:t>食堂</w:t>
                  </w:r>
                </w:p>
              </w:tc>
              <w:tc>
                <w:tcPr>
                  <w:tcW w:w="2890" w:type="dxa"/>
                  <w:tcBorders>
                    <w:right w:val="single" w:color="auto" w:sz="4" w:space="0"/>
                  </w:tcBorders>
                  <w:vAlign w:val="center"/>
                </w:tcPr>
                <w:p w14:paraId="4DAEC4D6">
                  <w:pPr>
                    <w:adjustRightInd w:val="0"/>
                    <w:snapToGrid w:val="0"/>
                    <w:spacing w:line="240" w:lineRule="auto"/>
                    <w:ind w:firstLine="0" w:firstLineChars="0"/>
                    <w:jc w:val="center"/>
                    <w:rPr>
                      <w:rFonts w:hint="default" w:eastAsia="宋体"/>
                      <w:bCs/>
                      <w:color w:val="auto"/>
                      <w:sz w:val="21"/>
                      <w:szCs w:val="21"/>
                      <w:u w:val="none" w:color="auto"/>
                      <w:lang w:val="en-US" w:eastAsia="zh-CN"/>
                    </w:rPr>
                  </w:pPr>
                  <w:r>
                    <w:rPr>
                      <w:rFonts w:hint="eastAsia"/>
                      <w:bCs/>
                      <w:color w:val="auto"/>
                      <w:sz w:val="21"/>
                      <w:szCs w:val="21"/>
                      <w:u w:val="none" w:color="auto"/>
                      <w:lang w:val="en-US" w:eastAsia="zh-CN"/>
                    </w:rPr>
                    <w:t>食堂隔油</w:t>
                  </w:r>
                </w:p>
              </w:tc>
            </w:tr>
            <w:tr w14:paraId="7505DB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tcBorders>
                    <w:left w:val="single" w:color="auto" w:sz="4" w:space="0"/>
                  </w:tcBorders>
                  <w:vAlign w:val="center"/>
                </w:tcPr>
                <w:p w14:paraId="58C7A015">
                  <w:pPr>
                    <w:adjustRightInd w:val="0"/>
                    <w:snapToGrid w:val="0"/>
                    <w:spacing w:line="240" w:lineRule="auto"/>
                    <w:ind w:firstLine="0" w:firstLineChars="0"/>
                    <w:jc w:val="center"/>
                    <w:rPr>
                      <w:rFonts w:hint="eastAsia"/>
                      <w:bCs/>
                      <w:color w:val="auto"/>
                      <w:sz w:val="21"/>
                      <w:szCs w:val="21"/>
                      <w:u w:val="none" w:color="auto"/>
                      <w:lang w:val="en-US" w:eastAsia="zh-CN"/>
                    </w:rPr>
                  </w:pPr>
                </w:p>
              </w:tc>
              <w:tc>
                <w:tcPr>
                  <w:tcW w:w="2099" w:type="dxa"/>
                  <w:gridSpan w:val="2"/>
                  <w:vAlign w:val="center"/>
                </w:tcPr>
                <w:p w14:paraId="709CD674">
                  <w:pPr>
                    <w:adjustRightInd w:val="0"/>
                    <w:snapToGrid w:val="0"/>
                    <w:spacing w:line="240" w:lineRule="auto"/>
                    <w:ind w:firstLine="0" w:firstLineChars="0"/>
                    <w:jc w:val="center"/>
                    <w:rPr>
                      <w:rFonts w:hint="default"/>
                      <w:bCs/>
                      <w:color w:val="auto"/>
                      <w:sz w:val="21"/>
                      <w:szCs w:val="21"/>
                      <w:u w:val="none" w:color="auto"/>
                      <w:lang w:val="en-US" w:eastAsia="zh-CN"/>
                    </w:rPr>
                  </w:pPr>
                  <w:r>
                    <w:rPr>
                      <w:rFonts w:hint="eastAsia"/>
                      <w:bCs/>
                      <w:color w:val="auto"/>
                      <w:sz w:val="21"/>
                      <w:szCs w:val="21"/>
                      <w:u w:val="none" w:color="auto"/>
                      <w:lang w:val="en-US" w:eastAsia="zh-CN"/>
                    </w:rPr>
                    <w:t>中药药渣</w:t>
                  </w:r>
                </w:p>
              </w:tc>
              <w:tc>
                <w:tcPr>
                  <w:tcW w:w="2679" w:type="dxa"/>
                  <w:vAlign w:val="center"/>
                </w:tcPr>
                <w:p w14:paraId="6BC49E2B">
                  <w:pPr>
                    <w:adjustRightInd w:val="0"/>
                    <w:snapToGrid w:val="0"/>
                    <w:spacing w:line="240" w:lineRule="auto"/>
                    <w:ind w:firstLine="0" w:firstLineChars="0"/>
                    <w:jc w:val="center"/>
                    <w:rPr>
                      <w:rFonts w:hint="eastAsia"/>
                      <w:bCs/>
                      <w:color w:val="auto"/>
                      <w:sz w:val="21"/>
                      <w:szCs w:val="21"/>
                      <w:u w:val="none" w:color="auto"/>
                      <w:lang w:val="en-US" w:eastAsia="zh-CN"/>
                    </w:rPr>
                  </w:pPr>
                  <w:r>
                    <w:rPr>
                      <w:rFonts w:hint="eastAsia"/>
                      <w:color w:val="auto"/>
                      <w:sz w:val="21"/>
                      <w:szCs w:val="21"/>
                      <w:u w:val="none" w:color="auto"/>
                      <w:lang w:val="en-US" w:eastAsia="zh-CN"/>
                    </w:rPr>
                    <w:t>中药煎煮</w:t>
                  </w:r>
                </w:p>
              </w:tc>
              <w:tc>
                <w:tcPr>
                  <w:tcW w:w="2890" w:type="dxa"/>
                  <w:tcBorders>
                    <w:right w:val="single" w:color="auto" w:sz="4" w:space="0"/>
                  </w:tcBorders>
                  <w:vAlign w:val="center"/>
                </w:tcPr>
                <w:p w14:paraId="5E545220">
                  <w:pPr>
                    <w:adjustRightInd w:val="0"/>
                    <w:snapToGrid w:val="0"/>
                    <w:spacing w:line="240" w:lineRule="auto"/>
                    <w:ind w:firstLine="0" w:firstLineChars="0"/>
                    <w:jc w:val="center"/>
                    <w:rPr>
                      <w:rFonts w:hint="eastAsia"/>
                      <w:bCs/>
                      <w:color w:val="auto"/>
                      <w:sz w:val="21"/>
                      <w:szCs w:val="21"/>
                      <w:u w:val="none" w:color="auto"/>
                      <w:lang w:val="en-US" w:eastAsia="zh-CN"/>
                    </w:rPr>
                  </w:pPr>
                  <w:r>
                    <w:rPr>
                      <w:rFonts w:hint="eastAsia"/>
                      <w:bCs/>
                      <w:color w:val="auto"/>
                      <w:sz w:val="21"/>
                      <w:szCs w:val="21"/>
                      <w:u w:val="none" w:color="auto"/>
                      <w:lang w:val="en-US" w:eastAsia="zh-CN"/>
                    </w:rPr>
                    <w:t>中药药渣</w:t>
                  </w:r>
                </w:p>
              </w:tc>
            </w:tr>
            <w:tr w14:paraId="3C96AB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tcBorders>
                    <w:left w:val="single" w:color="auto" w:sz="4" w:space="0"/>
                  </w:tcBorders>
                  <w:vAlign w:val="center"/>
                </w:tcPr>
                <w:p w14:paraId="704B791B">
                  <w:pPr>
                    <w:adjustRightInd w:val="0"/>
                    <w:snapToGrid w:val="0"/>
                    <w:spacing w:line="240" w:lineRule="auto"/>
                    <w:ind w:firstLine="0" w:firstLineChars="0"/>
                    <w:jc w:val="center"/>
                    <w:rPr>
                      <w:bCs/>
                      <w:color w:val="auto"/>
                      <w:sz w:val="21"/>
                      <w:szCs w:val="21"/>
                      <w:u w:val="none" w:color="auto"/>
                    </w:rPr>
                  </w:pPr>
                </w:p>
              </w:tc>
              <w:tc>
                <w:tcPr>
                  <w:tcW w:w="2099" w:type="dxa"/>
                  <w:gridSpan w:val="2"/>
                  <w:vAlign w:val="center"/>
                </w:tcPr>
                <w:p w14:paraId="054E2D57">
                  <w:pPr>
                    <w:adjustRightInd w:val="0"/>
                    <w:snapToGrid w:val="0"/>
                    <w:spacing w:line="240" w:lineRule="auto"/>
                    <w:ind w:firstLine="0" w:firstLineChars="0"/>
                    <w:jc w:val="center"/>
                    <w:rPr>
                      <w:rFonts w:hint="default" w:eastAsia="宋体"/>
                      <w:bCs/>
                      <w:color w:val="auto"/>
                      <w:sz w:val="21"/>
                      <w:szCs w:val="21"/>
                      <w:u w:val="none" w:color="auto"/>
                      <w:lang w:val="en-US" w:eastAsia="zh-CN"/>
                    </w:rPr>
                  </w:pPr>
                  <w:r>
                    <w:rPr>
                      <w:rFonts w:hint="eastAsia"/>
                      <w:bCs/>
                      <w:color w:val="auto"/>
                      <w:sz w:val="21"/>
                      <w:szCs w:val="21"/>
                      <w:u w:val="none" w:color="auto"/>
                      <w:lang w:val="en-US" w:eastAsia="zh-CN"/>
                    </w:rPr>
                    <w:t>一般性固体废物</w:t>
                  </w:r>
                </w:p>
              </w:tc>
              <w:tc>
                <w:tcPr>
                  <w:tcW w:w="2679" w:type="dxa"/>
                  <w:vAlign w:val="center"/>
                </w:tcPr>
                <w:p w14:paraId="027273FE">
                  <w:pPr>
                    <w:adjustRightInd w:val="0"/>
                    <w:snapToGrid w:val="0"/>
                    <w:spacing w:line="240" w:lineRule="auto"/>
                    <w:ind w:firstLine="0" w:firstLineChars="0"/>
                    <w:jc w:val="center"/>
                    <w:rPr>
                      <w:bCs/>
                      <w:color w:val="auto"/>
                      <w:sz w:val="21"/>
                      <w:szCs w:val="21"/>
                      <w:u w:val="none" w:color="auto"/>
                    </w:rPr>
                  </w:pPr>
                  <w:r>
                    <w:rPr>
                      <w:rFonts w:hint="eastAsia"/>
                      <w:bCs/>
                      <w:color w:val="auto"/>
                      <w:sz w:val="21"/>
                      <w:szCs w:val="21"/>
                      <w:u w:val="none" w:color="auto"/>
                      <w:lang w:val="en-US" w:eastAsia="zh-CN"/>
                    </w:rPr>
                    <w:t>医疗</w:t>
                  </w:r>
                  <w:r>
                    <w:rPr>
                      <w:bCs/>
                      <w:color w:val="auto"/>
                      <w:sz w:val="21"/>
                      <w:szCs w:val="21"/>
                      <w:u w:val="none" w:color="auto"/>
                    </w:rPr>
                    <w:t>过程</w:t>
                  </w:r>
                </w:p>
              </w:tc>
              <w:tc>
                <w:tcPr>
                  <w:tcW w:w="2890" w:type="dxa"/>
                  <w:tcBorders>
                    <w:right w:val="single" w:color="auto" w:sz="4" w:space="0"/>
                  </w:tcBorders>
                  <w:vAlign w:val="center"/>
                </w:tcPr>
                <w:p w14:paraId="23D55AAF">
                  <w:pPr>
                    <w:adjustRightInd w:val="0"/>
                    <w:snapToGrid w:val="0"/>
                    <w:spacing w:line="240" w:lineRule="auto"/>
                    <w:ind w:firstLine="0" w:firstLineChars="0"/>
                    <w:jc w:val="center"/>
                    <w:rPr>
                      <w:rFonts w:hint="eastAsia" w:eastAsia="宋体"/>
                      <w:bCs/>
                      <w:color w:val="auto"/>
                      <w:sz w:val="21"/>
                      <w:szCs w:val="21"/>
                      <w:u w:val="none" w:color="auto"/>
                      <w:lang w:eastAsia="zh-CN"/>
                    </w:rPr>
                  </w:pPr>
                  <w:r>
                    <w:rPr>
                      <w:rFonts w:hint="eastAsia"/>
                      <w:bCs/>
                      <w:color w:val="auto"/>
                      <w:sz w:val="21"/>
                      <w:szCs w:val="21"/>
                      <w:u w:val="none" w:color="auto"/>
                      <w:lang w:eastAsia="zh-CN"/>
                    </w:rPr>
                    <w:t>未被感染的一次性卫生用品和医疗用品、未被感染的输液瓶（袋）。</w:t>
                  </w:r>
                </w:p>
              </w:tc>
            </w:tr>
            <w:tr w14:paraId="38BDA1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tcBorders>
                    <w:left w:val="single" w:color="auto" w:sz="4" w:space="0"/>
                  </w:tcBorders>
                  <w:vAlign w:val="center"/>
                </w:tcPr>
                <w:p w14:paraId="1B85BD53">
                  <w:pPr>
                    <w:adjustRightInd w:val="0"/>
                    <w:snapToGrid w:val="0"/>
                    <w:spacing w:line="240" w:lineRule="auto"/>
                    <w:ind w:firstLine="0" w:firstLineChars="0"/>
                    <w:jc w:val="center"/>
                    <w:rPr>
                      <w:bCs/>
                      <w:color w:val="auto"/>
                      <w:sz w:val="21"/>
                      <w:szCs w:val="21"/>
                      <w:u w:val="none" w:color="auto"/>
                    </w:rPr>
                  </w:pPr>
                </w:p>
              </w:tc>
              <w:tc>
                <w:tcPr>
                  <w:tcW w:w="449" w:type="dxa"/>
                  <w:vMerge w:val="restart"/>
                  <w:vAlign w:val="center"/>
                </w:tcPr>
                <w:p w14:paraId="7C21F4F3">
                  <w:pPr>
                    <w:adjustRightInd w:val="0"/>
                    <w:snapToGrid w:val="0"/>
                    <w:spacing w:line="240" w:lineRule="auto"/>
                    <w:ind w:firstLine="0" w:firstLineChars="0"/>
                    <w:jc w:val="center"/>
                    <w:rPr>
                      <w:rFonts w:hint="default"/>
                      <w:bCs/>
                      <w:color w:val="auto"/>
                      <w:sz w:val="21"/>
                      <w:szCs w:val="21"/>
                      <w:u w:val="none" w:color="auto"/>
                      <w:lang w:val="en-US" w:eastAsia="zh-CN"/>
                    </w:rPr>
                  </w:pPr>
                  <w:r>
                    <w:rPr>
                      <w:rFonts w:hint="eastAsia"/>
                      <w:bCs/>
                      <w:color w:val="auto"/>
                      <w:sz w:val="21"/>
                      <w:szCs w:val="21"/>
                      <w:u w:val="none" w:color="auto"/>
                      <w:lang w:val="en-US" w:eastAsia="zh-CN"/>
                    </w:rPr>
                    <w:t>危险废物</w:t>
                  </w:r>
                </w:p>
              </w:tc>
              <w:tc>
                <w:tcPr>
                  <w:tcW w:w="1650" w:type="dxa"/>
                  <w:vAlign w:val="center"/>
                </w:tcPr>
                <w:p w14:paraId="68E1D890">
                  <w:pPr>
                    <w:adjustRightInd w:val="0"/>
                    <w:snapToGrid w:val="0"/>
                    <w:spacing w:line="240" w:lineRule="auto"/>
                    <w:ind w:firstLine="0" w:firstLineChars="0"/>
                    <w:jc w:val="center"/>
                    <w:rPr>
                      <w:rFonts w:hint="default"/>
                      <w:bCs/>
                      <w:color w:val="auto"/>
                      <w:sz w:val="21"/>
                      <w:szCs w:val="21"/>
                      <w:u w:val="none" w:color="auto"/>
                      <w:lang w:val="en-US" w:eastAsia="zh-CN"/>
                    </w:rPr>
                  </w:pPr>
                  <w:r>
                    <w:rPr>
                      <w:rFonts w:hint="eastAsia"/>
                      <w:bCs/>
                      <w:color w:val="auto"/>
                      <w:sz w:val="21"/>
                      <w:szCs w:val="21"/>
                      <w:u w:val="none" w:color="auto"/>
                      <w:lang w:val="en-US" w:eastAsia="zh-CN"/>
                    </w:rPr>
                    <w:t>医疗废物</w:t>
                  </w:r>
                </w:p>
              </w:tc>
              <w:tc>
                <w:tcPr>
                  <w:tcW w:w="2679" w:type="dxa"/>
                  <w:vAlign w:val="center"/>
                </w:tcPr>
                <w:p w14:paraId="5F7BCDEB">
                  <w:pPr>
                    <w:adjustRightInd w:val="0"/>
                    <w:snapToGrid w:val="0"/>
                    <w:spacing w:line="240" w:lineRule="auto"/>
                    <w:ind w:firstLine="0" w:firstLineChars="0"/>
                    <w:jc w:val="center"/>
                    <w:rPr>
                      <w:rFonts w:hint="default" w:eastAsia="宋体"/>
                      <w:bCs/>
                      <w:color w:val="auto"/>
                      <w:sz w:val="21"/>
                      <w:szCs w:val="21"/>
                      <w:u w:val="none" w:color="auto"/>
                      <w:lang w:val="en-US" w:eastAsia="zh-CN"/>
                    </w:rPr>
                  </w:pPr>
                  <w:r>
                    <w:rPr>
                      <w:rFonts w:hint="eastAsia"/>
                      <w:bCs/>
                      <w:color w:val="auto"/>
                      <w:sz w:val="21"/>
                      <w:szCs w:val="21"/>
                      <w:u w:val="none" w:color="auto"/>
                      <w:lang w:val="en-US" w:eastAsia="zh-CN"/>
                    </w:rPr>
                    <w:t>医疗过程</w:t>
                  </w:r>
                </w:p>
              </w:tc>
              <w:tc>
                <w:tcPr>
                  <w:tcW w:w="2890" w:type="dxa"/>
                  <w:tcBorders>
                    <w:right w:val="single" w:color="auto" w:sz="4" w:space="0"/>
                  </w:tcBorders>
                  <w:vAlign w:val="center"/>
                </w:tcPr>
                <w:p w14:paraId="0793CAE8">
                  <w:pPr>
                    <w:adjustRightInd w:val="0"/>
                    <w:snapToGrid w:val="0"/>
                    <w:spacing w:line="240" w:lineRule="auto"/>
                    <w:ind w:firstLine="0" w:firstLineChars="0"/>
                    <w:jc w:val="center"/>
                    <w:rPr>
                      <w:rFonts w:hint="default" w:eastAsiaTheme="minorEastAsia"/>
                      <w:color w:val="auto"/>
                      <w:sz w:val="21"/>
                      <w:szCs w:val="21"/>
                      <w:u w:val="none" w:color="auto"/>
                      <w:lang w:val="en-US" w:eastAsia="zh-CN"/>
                    </w:rPr>
                  </w:pPr>
                  <w:r>
                    <w:rPr>
                      <w:rFonts w:hint="eastAsia" w:eastAsiaTheme="minorEastAsia"/>
                      <w:color w:val="auto"/>
                      <w:sz w:val="21"/>
                      <w:szCs w:val="21"/>
                      <w:u w:val="none" w:color="auto"/>
                      <w:lang w:val="en-US" w:eastAsia="zh-CN"/>
                    </w:rPr>
                    <w:t>医疗废物</w:t>
                  </w:r>
                </w:p>
              </w:tc>
            </w:tr>
            <w:tr w14:paraId="26DFEC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tcBorders>
                    <w:left w:val="single" w:color="auto" w:sz="4" w:space="0"/>
                  </w:tcBorders>
                  <w:vAlign w:val="center"/>
                </w:tcPr>
                <w:p w14:paraId="62797145">
                  <w:pPr>
                    <w:adjustRightInd w:val="0"/>
                    <w:snapToGrid w:val="0"/>
                    <w:spacing w:line="240" w:lineRule="auto"/>
                    <w:ind w:firstLine="0" w:firstLineChars="0"/>
                    <w:jc w:val="center"/>
                    <w:rPr>
                      <w:bCs/>
                      <w:color w:val="auto"/>
                      <w:sz w:val="21"/>
                      <w:szCs w:val="21"/>
                      <w:u w:val="none" w:color="auto"/>
                    </w:rPr>
                  </w:pPr>
                </w:p>
              </w:tc>
              <w:tc>
                <w:tcPr>
                  <w:tcW w:w="449" w:type="dxa"/>
                  <w:vMerge w:val="continue"/>
                  <w:vAlign w:val="center"/>
                </w:tcPr>
                <w:p w14:paraId="31F612F3">
                  <w:pPr>
                    <w:adjustRightInd w:val="0"/>
                    <w:snapToGrid w:val="0"/>
                    <w:spacing w:line="240" w:lineRule="auto"/>
                    <w:ind w:firstLine="0" w:firstLineChars="0"/>
                    <w:jc w:val="center"/>
                    <w:rPr>
                      <w:rFonts w:hint="eastAsia"/>
                      <w:bCs/>
                      <w:color w:val="auto"/>
                      <w:sz w:val="21"/>
                      <w:szCs w:val="21"/>
                      <w:u w:val="none" w:color="auto"/>
                      <w:lang w:val="en-US" w:eastAsia="zh-CN"/>
                    </w:rPr>
                  </w:pPr>
                </w:p>
              </w:tc>
              <w:tc>
                <w:tcPr>
                  <w:tcW w:w="1650" w:type="dxa"/>
                  <w:vAlign w:val="center"/>
                </w:tcPr>
                <w:p w14:paraId="57AA5534">
                  <w:pPr>
                    <w:adjustRightInd w:val="0"/>
                    <w:snapToGrid w:val="0"/>
                    <w:spacing w:line="240" w:lineRule="auto"/>
                    <w:ind w:firstLine="0" w:firstLineChars="0"/>
                    <w:jc w:val="center"/>
                    <w:rPr>
                      <w:rFonts w:hint="eastAsia"/>
                      <w:bCs/>
                      <w:color w:val="auto"/>
                      <w:sz w:val="21"/>
                      <w:szCs w:val="21"/>
                      <w:u w:val="none" w:color="auto"/>
                      <w:lang w:val="en-US" w:eastAsia="zh-CN"/>
                    </w:rPr>
                  </w:pPr>
                  <w:r>
                    <w:rPr>
                      <w:rFonts w:hint="eastAsia"/>
                      <w:bCs/>
                      <w:color w:val="auto"/>
                      <w:sz w:val="21"/>
                      <w:szCs w:val="21"/>
                      <w:u w:val="none" w:color="auto"/>
                      <w:lang w:val="en-US" w:eastAsia="zh-CN"/>
                    </w:rPr>
                    <w:t>污水处理站格栅渣、污泥</w:t>
                  </w:r>
                </w:p>
              </w:tc>
              <w:tc>
                <w:tcPr>
                  <w:tcW w:w="2679" w:type="dxa"/>
                  <w:vAlign w:val="center"/>
                </w:tcPr>
                <w:p w14:paraId="1E99E83E">
                  <w:pPr>
                    <w:adjustRightInd w:val="0"/>
                    <w:snapToGrid w:val="0"/>
                    <w:spacing w:line="240" w:lineRule="auto"/>
                    <w:ind w:firstLine="0" w:firstLineChars="0"/>
                    <w:jc w:val="center"/>
                    <w:rPr>
                      <w:rFonts w:hint="default" w:eastAsia="宋体"/>
                      <w:bCs/>
                      <w:color w:val="auto"/>
                      <w:sz w:val="21"/>
                      <w:szCs w:val="21"/>
                      <w:u w:val="none" w:color="auto"/>
                      <w:lang w:val="en-US" w:eastAsia="zh-CN"/>
                    </w:rPr>
                  </w:pPr>
                  <w:r>
                    <w:rPr>
                      <w:rFonts w:hint="eastAsia"/>
                      <w:bCs/>
                      <w:color w:val="auto"/>
                      <w:sz w:val="21"/>
                      <w:szCs w:val="21"/>
                      <w:u w:val="none" w:color="auto"/>
                      <w:lang w:val="en-US" w:eastAsia="zh-CN"/>
                    </w:rPr>
                    <w:t>污水处理</w:t>
                  </w:r>
                </w:p>
              </w:tc>
              <w:tc>
                <w:tcPr>
                  <w:tcW w:w="2890" w:type="dxa"/>
                  <w:tcBorders>
                    <w:right w:val="single" w:color="auto" w:sz="4" w:space="0"/>
                  </w:tcBorders>
                  <w:vAlign w:val="center"/>
                </w:tcPr>
                <w:p w14:paraId="530E9975">
                  <w:pPr>
                    <w:adjustRightInd w:val="0"/>
                    <w:snapToGrid w:val="0"/>
                    <w:spacing w:line="240" w:lineRule="auto"/>
                    <w:ind w:firstLine="0" w:firstLineChars="0"/>
                    <w:jc w:val="center"/>
                    <w:rPr>
                      <w:rFonts w:eastAsiaTheme="minorEastAsia"/>
                      <w:color w:val="auto"/>
                      <w:sz w:val="21"/>
                      <w:szCs w:val="21"/>
                      <w:u w:val="none" w:color="auto"/>
                    </w:rPr>
                  </w:pPr>
                  <w:r>
                    <w:rPr>
                      <w:rFonts w:hint="eastAsia" w:eastAsiaTheme="minorEastAsia"/>
                      <w:color w:val="auto"/>
                      <w:sz w:val="21"/>
                      <w:szCs w:val="21"/>
                      <w:u w:val="none" w:color="auto"/>
                    </w:rPr>
                    <w:t>污水处理站格栅渣、污泥</w:t>
                  </w:r>
                </w:p>
              </w:tc>
            </w:tr>
            <w:tr w14:paraId="14B398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tcBorders>
                    <w:left w:val="single" w:color="auto" w:sz="4" w:space="0"/>
                  </w:tcBorders>
                  <w:vAlign w:val="center"/>
                </w:tcPr>
                <w:p w14:paraId="7F50B58E">
                  <w:pPr>
                    <w:adjustRightInd w:val="0"/>
                    <w:snapToGrid w:val="0"/>
                    <w:spacing w:line="240" w:lineRule="auto"/>
                    <w:ind w:firstLine="0" w:firstLineChars="0"/>
                    <w:jc w:val="center"/>
                    <w:rPr>
                      <w:bCs/>
                      <w:color w:val="auto"/>
                      <w:sz w:val="21"/>
                      <w:szCs w:val="21"/>
                      <w:u w:val="none" w:color="auto"/>
                    </w:rPr>
                  </w:pPr>
                </w:p>
              </w:tc>
              <w:tc>
                <w:tcPr>
                  <w:tcW w:w="449" w:type="dxa"/>
                  <w:vMerge w:val="continue"/>
                  <w:vAlign w:val="center"/>
                </w:tcPr>
                <w:p w14:paraId="27EE2108">
                  <w:pPr>
                    <w:adjustRightInd w:val="0"/>
                    <w:snapToGrid w:val="0"/>
                    <w:spacing w:line="240" w:lineRule="auto"/>
                    <w:ind w:firstLine="0" w:firstLineChars="0"/>
                    <w:jc w:val="center"/>
                    <w:rPr>
                      <w:rFonts w:hint="eastAsia"/>
                      <w:bCs/>
                      <w:color w:val="auto"/>
                      <w:sz w:val="21"/>
                      <w:szCs w:val="21"/>
                      <w:u w:val="none" w:color="auto"/>
                      <w:lang w:val="en-US" w:eastAsia="zh-CN"/>
                    </w:rPr>
                  </w:pPr>
                </w:p>
              </w:tc>
              <w:tc>
                <w:tcPr>
                  <w:tcW w:w="1650" w:type="dxa"/>
                  <w:vAlign w:val="center"/>
                </w:tcPr>
                <w:p w14:paraId="7A3381CA">
                  <w:pPr>
                    <w:adjustRightInd w:val="0"/>
                    <w:snapToGrid w:val="0"/>
                    <w:spacing w:line="240" w:lineRule="auto"/>
                    <w:ind w:firstLine="0" w:firstLineChars="0"/>
                    <w:jc w:val="center"/>
                    <w:rPr>
                      <w:rFonts w:hint="eastAsia"/>
                      <w:bCs/>
                      <w:color w:val="auto"/>
                      <w:sz w:val="21"/>
                      <w:szCs w:val="21"/>
                      <w:u w:val="none" w:color="auto"/>
                      <w:lang w:val="en-US" w:eastAsia="zh-CN"/>
                    </w:rPr>
                  </w:pPr>
                  <w:r>
                    <w:rPr>
                      <w:rFonts w:hint="eastAsia"/>
                      <w:bCs/>
                      <w:color w:val="auto"/>
                      <w:sz w:val="21"/>
                      <w:szCs w:val="21"/>
                      <w:u w:val="none" w:color="auto"/>
                      <w:lang w:val="en-US" w:eastAsia="zh-CN"/>
                    </w:rPr>
                    <w:t>化粪池污泥</w:t>
                  </w:r>
                </w:p>
              </w:tc>
              <w:tc>
                <w:tcPr>
                  <w:tcW w:w="2679" w:type="dxa"/>
                  <w:vAlign w:val="center"/>
                </w:tcPr>
                <w:p w14:paraId="6BAC9035">
                  <w:pPr>
                    <w:adjustRightInd w:val="0"/>
                    <w:snapToGrid w:val="0"/>
                    <w:spacing w:line="240" w:lineRule="auto"/>
                    <w:ind w:firstLine="0" w:firstLineChars="0"/>
                    <w:jc w:val="center"/>
                    <w:rPr>
                      <w:rFonts w:hint="default"/>
                      <w:bCs/>
                      <w:color w:val="auto"/>
                      <w:sz w:val="21"/>
                      <w:szCs w:val="21"/>
                      <w:u w:val="none" w:color="auto"/>
                      <w:lang w:val="en-US" w:eastAsia="zh-CN"/>
                    </w:rPr>
                  </w:pPr>
                  <w:r>
                    <w:rPr>
                      <w:rFonts w:hint="eastAsia"/>
                      <w:color w:val="auto"/>
                      <w:sz w:val="21"/>
                      <w:szCs w:val="21"/>
                      <w:u w:val="none" w:color="auto"/>
                      <w:lang w:val="en-US" w:eastAsia="zh-CN"/>
                    </w:rPr>
                    <w:t>病人、医护人员等</w:t>
                  </w:r>
                </w:p>
              </w:tc>
              <w:tc>
                <w:tcPr>
                  <w:tcW w:w="2890" w:type="dxa"/>
                  <w:tcBorders>
                    <w:right w:val="single" w:color="auto" w:sz="4" w:space="0"/>
                  </w:tcBorders>
                  <w:vAlign w:val="center"/>
                </w:tcPr>
                <w:p w14:paraId="17D88CE8">
                  <w:pPr>
                    <w:adjustRightInd w:val="0"/>
                    <w:snapToGrid w:val="0"/>
                    <w:spacing w:line="240" w:lineRule="auto"/>
                    <w:ind w:firstLine="0" w:firstLineChars="0"/>
                    <w:jc w:val="center"/>
                    <w:rPr>
                      <w:rFonts w:hint="eastAsia" w:eastAsiaTheme="minorEastAsia"/>
                      <w:color w:val="auto"/>
                      <w:sz w:val="21"/>
                      <w:szCs w:val="21"/>
                      <w:u w:val="none" w:color="auto"/>
                    </w:rPr>
                  </w:pPr>
                  <w:r>
                    <w:rPr>
                      <w:rFonts w:hint="eastAsia"/>
                      <w:bCs/>
                      <w:color w:val="auto"/>
                      <w:sz w:val="21"/>
                      <w:szCs w:val="21"/>
                      <w:u w:val="none" w:color="auto"/>
                      <w:lang w:val="en-US" w:eastAsia="zh-CN"/>
                    </w:rPr>
                    <w:t>化粪池污泥</w:t>
                  </w:r>
                </w:p>
              </w:tc>
            </w:tr>
            <w:tr w14:paraId="49BCBA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tcBorders>
                    <w:left w:val="single" w:color="auto" w:sz="4" w:space="0"/>
                  </w:tcBorders>
                  <w:vAlign w:val="center"/>
                </w:tcPr>
                <w:p w14:paraId="5DD42D06">
                  <w:pPr>
                    <w:adjustRightInd w:val="0"/>
                    <w:snapToGrid w:val="0"/>
                    <w:spacing w:line="240" w:lineRule="auto"/>
                    <w:ind w:firstLine="0" w:firstLineChars="0"/>
                    <w:jc w:val="center"/>
                    <w:rPr>
                      <w:bCs/>
                      <w:color w:val="auto"/>
                      <w:sz w:val="21"/>
                      <w:szCs w:val="21"/>
                      <w:u w:val="none" w:color="auto"/>
                    </w:rPr>
                  </w:pPr>
                </w:p>
              </w:tc>
              <w:tc>
                <w:tcPr>
                  <w:tcW w:w="449" w:type="dxa"/>
                  <w:vMerge w:val="continue"/>
                  <w:vAlign w:val="center"/>
                </w:tcPr>
                <w:p w14:paraId="13C652C0">
                  <w:pPr>
                    <w:adjustRightInd w:val="0"/>
                    <w:snapToGrid w:val="0"/>
                    <w:spacing w:line="240" w:lineRule="auto"/>
                    <w:ind w:firstLine="0" w:firstLineChars="0"/>
                    <w:jc w:val="center"/>
                    <w:rPr>
                      <w:rFonts w:hint="eastAsia"/>
                      <w:bCs/>
                      <w:color w:val="auto"/>
                      <w:sz w:val="21"/>
                      <w:szCs w:val="21"/>
                      <w:u w:val="none" w:color="auto"/>
                      <w:lang w:val="en-US" w:eastAsia="zh-CN"/>
                    </w:rPr>
                  </w:pPr>
                </w:p>
              </w:tc>
              <w:tc>
                <w:tcPr>
                  <w:tcW w:w="1650" w:type="dxa"/>
                  <w:vAlign w:val="center"/>
                </w:tcPr>
                <w:p w14:paraId="5738947A">
                  <w:pPr>
                    <w:adjustRightInd w:val="0"/>
                    <w:snapToGrid w:val="0"/>
                    <w:spacing w:line="240" w:lineRule="auto"/>
                    <w:ind w:firstLine="0" w:firstLineChars="0"/>
                    <w:jc w:val="center"/>
                    <w:rPr>
                      <w:rFonts w:hint="default"/>
                      <w:bCs/>
                      <w:color w:val="auto"/>
                      <w:sz w:val="21"/>
                      <w:szCs w:val="21"/>
                      <w:u w:val="none" w:color="auto"/>
                      <w:lang w:val="en-US" w:eastAsia="zh-CN"/>
                    </w:rPr>
                  </w:pPr>
                  <w:r>
                    <w:rPr>
                      <w:rFonts w:hint="eastAsia"/>
                      <w:bCs/>
                      <w:color w:val="auto"/>
                      <w:sz w:val="21"/>
                      <w:szCs w:val="21"/>
                      <w:u w:val="none" w:color="auto"/>
                      <w:lang w:val="en-US" w:eastAsia="zh-CN"/>
                    </w:rPr>
                    <w:t>废紫外灯管</w:t>
                  </w:r>
                </w:p>
              </w:tc>
              <w:tc>
                <w:tcPr>
                  <w:tcW w:w="2679" w:type="dxa"/>
                  <w:vAlign w:val="center"/>
                </w:tcPr>
                <w:p w14:paraId="35D014F9">
                  <w:pPr>
                    <w:adjustRightInd w:val="0"/>
                    <w:snapToGrid w:val="0"/>
                    <w:spacing w:line="240" w:lineRule="auto"/>
                    <w:ind w:firstLine="0" w:firstLineChars="0"/>
                    <w:jc w:val="center"/>
                    <w:rPr>
                      <w:rFonts w:hint="default"/>
                      <w:color w:val="auto"/>
                      <w:sz w:val="21"/>
                      <w:szCs w:val="21"/>
                      <w:u w:val="none" w:color="auto"/>
                      <w:lang w:val="en-US" w:eastAsia="zh-CN"/>
                    </w:rPr>
                  </w:pPr>
                  <w:r>
                    <w:rPr>
                      <w:rFonts w:hint="eastAsia"/>
                      <w:color w:val="auto"/>
                      <w:sz w:val="21"/>
                      <w:szCs w:val="21"/>
                      <w:u w:val="none" w:color="auto"/>
                      <w:lang w:val="en-US" w:eastAsia="zh-CN"/>
                    </w:rPr>
                    <w:t>污水处理</w:t>
                  </w:r>
                </w:p>
              </w:tc>
              <w:tc>
                <w:tcPr>
                  <w:tcW w:w="2890" w:type="dxa"/>
                  <w:tcBorders>
                    <w:right w:val="single" w:color="auto" w:sz="4" w:space="0"/>
                  </w:tcBorders>
                  <w:vAlign w:val="center"/>
                </w:tcPr>
                <w:p w14:paraId="5093C745">
                  <w:pPr>
                    <w:adjustRightInd w:val="0"/>
                    <w:snapToGrid w:val="0"/>
                    <w:spacing w:line="240" w:lineRule="auto"/>
                    <w:ind w:firstLine="0" w:firstLineChars="0"/>
                    <w:jc w:val="center"/>
                    <w:rPr>
                      <w:rFonts w:hint="default"/>
                      <w:bCs/>
                      <w:color w:val="auto"/>
                      <w:sz w:val="21"/>
                      <w:szCs w:val="21"/>
                      <w:u w:val="none" w:color="auto"/>
                      <w:lang w:val="en-US" w:eastAsia="zh-CN"/>
                    </w:rPr>
                  </w:pPr>
                  <w:r>
                    <w:rPr>
                      <w:rFonts w:hint="eastAsia"/>
                      <w:bCs/>
                      <w:color w:val="auto"/>
                      <w:sz w:val="21"/>
                      <w:szCs w:val="21"/>
                      <w:u w:val="none" w:color="auto"/>
                      <w:lang w:val="en-US" w:eastAsia="zh-CN"/>
                    </w:rPr>
                    <w:t>废紫外灯管</w:t>
                  </w:r>
                </w:p>
              </w:tc>
            </w:tr>
          </w:tbl>
          <w:p w14:paraId="7BEE3A11">
            <w:pPr>
              <w:ind w:firstLine="480"/>
              <w:rPr>
                <w:color w:val="auto"/>
                <w:u w:val="none" w:color="auto"/>
              </w:rPr>
            </w:pPr>
          </w:p>
        </w:tc>
      </w:tr>
      <w:tr w14:paraId="03CC96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9" w:hRule="atLeast"/>
          <w:jc w:val="center"/>
        </w:trPr>
        <w:tc>
          <w:tcPr>
            <w:tcW w:w="2080" w:type="dxa"/>
            <w:gridSpan w:val="2"/>
            <w:vAlign w:val="center"/>
          </w:tcPr>
          <w:p w14:paraId="58DE02D0">
            <w:pPr>
              <w:pStyle w:val="19"/>
              <w:adjustRightInd w:val="0"/>
              <w:snapToGrid w:val="0"/>
              <w:spacing w:before="0" w:beforeAutospacing="0" w:after="0" w:afterAutospacing="0" w:line="240" w:lineRule="auto"/>
              <w:ind w:firstLine="0" w:firstLineChars="0"/>
              <w:jc w:val="center"/>
              <w:rPr>
                <w:rFonts w:ascii="Times New Roman" w:hAnsi="Times New Roman"/>
                <w:color w:val="auto"/>
                <w:szCs w:val="21"/>
                <w:u w:val="none" w:color="auto"/>
              </w:rPr>
            </w:pPr>
            <w:r>
              <w:rPr>
                <w:rFonts w:ascii="Times New Roman" w:hAnsi="Times New Roman"/>
                <w:bCs/>
                <w:color w:val="auto"/>
                <w:kern w:val="2"/>
                <w:szCs w:val="21"/>
                <w:u w:val="none" w:color="auto"/>
              </w:rPr>
              <w:t>与项目有关的原有环境污染问题</w:t>
            </w:r>
          </w:p>
        </w:tc>
        <w:tc>
          <w:tcPr>
            <w:tcW w:w="7229" w:type="dxa"/>
          </w:tcPr>
          <w:p w14:paraId="52E0C3A2">
            <w:pPr>
              <w:adjustRightInd w:val="0"/>
              <w:snapToGrid w:val="0"/>
              <w:ind w:firstLine="480"/>
              <w:rPr>
                <w:bCs/>
                <w:color w:val="auto"/>
                <w:szCs w:val="21"/>
                <w:u w:val="none" w:color="auto"/>
              </w:rPr>
            </w:pPr>
            <w:r>
              <w:rPr>
                <w:bCs/>
                <w:color w:val="auto"/>
                <w:szCs w:val="21"/>
                <w:u w:val="none" w:color="auto"/>
              </w:rPr>
              <w:t>本项目为新建项目，位于</w:t>
            </w:r>
            <w:r>
              <w:rPr>
                <w:rFonts w:hint="eastAsia"/>
                <w:bCs/>
                <w:color w:val="auto"/>
                <w:szCs w:val="21"/>
                <w:u w:val="none" w:color="auto"/>
                <w:lang w:eastAsia="zh-CN"/>
              </w:rPr>
              <w:t>南宁市经济开发区友谊路58-16 号高岭村九组三产综合楼2号楼</w:t>
            </w:r>
            <w:r>
              <w:rPr>
                <w:bCs/>
                <w:color w:val="auto"/>
                <w:szCs w:val="21"/>
                <w:u w:val="none" w:color="auto"/>
              </w:rPr>
              <w:t>，</w:t>
            </w:r>
            <w:r>
              <w:rPr>
                <w:rFonts w:hint="eastAsia"/>
                <w:bCs/>
                <w:color w:val="auto"/>
                <w:szCs w:val="21"/>
                <w:u w:val="none" w:color="auto"/>
                <w:lang w:val="en-US" w:eastAsia="zh-CN"/>
              </w:rPr>
              <w:t>对其进行简单改造和装修</w:t>
            </w:r>
            <w:r>
              <w:rPr>
                <w:bCs/>
                <w:color w:val="auto"/>
                <w:szCs w:val="21"/>
                <w:u w:val="none" w:color="auto"/>
              </w:rPr>
              <w:t>，无与本项目有关的原有污染源及环境问题。</w:t>
            </w:r>
          </w:p>
          <w:p w14:paraId="5318A4BC">
            <w:pPr>
              <w:adjustRightInd w:val="0"/>
              <w:snapToGrid w:val="0"/>
              <w:ind w:firstLine="480"/>
              <w:rPr>
                <w:bCs/>
                <w:color w:val="auto"/>
                <w:szCs w:val="21"/>
                <w:u w:val="none" w:color="auto"/>
              </w:rPr>
            </w:pPr>
            <w:r>
              <w:rPr>
                <w:bCs/>
                <w:color w:val="auto"/>
                <w:szCs w:val="21"/>
                <w:u w:val="none" w:color="auto"/>
              </w:rPr>
              <w:t>根据现场踏勘，</w:t>
            </w:r>
            <w:r>
              <w:rPr>
                <w:color w:val="auto"/>
                <w:u w:val="none" w:color="auto"/>
              </w:rPr>
              <w:t>项目</w:t>
            </w:r>
            <w:r>
              <w:rPr>
                <w:rFonts w:hint="eastAsia"/>
                <w:bCs/>
                <w:color w:val="auto"/>
                <w:szCs w:val="21"/>
                <w:u w:val="none" w:color="auto"/>
                <w:lang w:val="en-US" w:eastAsia="zh-CN"/>
              </w:rPr>
              <w:t>2号楼</w:t>
            </w:r>
            <w:r>
              <w:rPr>
                <w:rFonts w:hint="eastAsia"/>
                <w:color w:val="auto"/>
                <w:u w:val="none" w:color="auto"/>
                <w:lang w:val="en-US" w:eastAsia="zh-CN"/>
              </w:rPr>
              <w:t>现状为6层砖混建筑（</w:t>
            </w:r>
            <w:r>
              <w:rPr>
                <w:rFonts w:hint="eastAsia"/>
                <w:color w:val="auto"/>
                <w:u w:val="none" w:color="auto"/>
                <w:lang w:eastAsia="zh-CN"/>
              </w:rPr>
              <w:t>高岭村九组三产综合楼</w:t>
            </w:r>
            <w:r>
              <w:rPr>
                <w:rFonts w:hint="eastAsia"/>
                <w:color w:val="auto"/>
                <w:u w:val="none" w:color="auto"/>
                <w:lang w:val="en-US" w:eastAsia="zh-CN"/>
              </w:rPr>
              <w:t>2号</w:t>
            </w:r>
            <w:r>
              <w:rPr>
                <w:rFonts w:hint="eastAsia"/>
                <w:color w:val="auto"/>
                <w:u w:val="none" w:color="auto"/>
                <w:lang w:eastAsia="zh-CN"/>
              </w:rPr>
              <w:t>楼</w:t>
            </w:r>
            <w:r>
              <w:rPr>
                <w:rFonts w:hint="eastAsia"/>
                <w:color w:val="auto"/>
                <w:u w:val="none" w:color="auto"/>
                <w:lang w:val="en-US" w:eastAsia="zh-CN"/>
              </w:rPr>
              <w:t>），场地</w:t>
            </w:r>
            <w:r>
              <w:rPr>
                <w:color w:val="auto"/>
                <w:u w:val="none" w:color="auto"/>
              </w:rPr>
              <w:t>东面</w:t>
            </w:r>
            <w:r>
              <w:rPr>
                <w:rFonts w:hint="eastAsia"/>
                <w:color w:val="auto"/>
                <w:u w:val="none" w:color="auto"/>
                <w:lang w:val="en-US" w:eastAsia="zh-CN"/>
              </w:rPr>
              <w:t>为友谊路，</w:t>
            </w:r>
            <w:r>
              <w:rPr>
                <w:color w:val="auto"/>
                <w:u w:val="none" w:color="auto"/>
              </w:rPr>
              <w:t>南面</w:t>
            </w:r>
            <w:r>
              <w:rPr>
                <w:rFonts w:hint="eastAsia"/>
                <w:color w:val="auto"/>
                <w:u w:val="none" w:color="auto"/>
                <w:lang w:val="en-US" w:eastAsia="zh-CN"/>
              </w:rPr>
              <w:t>为</w:t>
            </w:r>
            <w:r>
              <w:rPr>
                <w:rFonts w:hint="eastAsia"/>
                <w:color w:val="auto"/>
                <w:u w:val="none" w:color="auto"/>
                <w:lang w:eastAsia="zh-CN"/>
              </w:rPr>
              <w:t>高岭村九组三产综合楼</w:t>
            </w:r>
            <w:r>
              <w:rPr>
                <w:rFonts w:hint="eastAsia"/>
                <w:color w:val="auto"/>
                <w:u w:val="none" w:color="auto"/>
                <w:lang w:val="en-US" w:eastAsia="zh-CN"/>
              </w:rPr>
              <w:t>1</w:t>
            </w:r>
            <w:r>
              <w:rPr>
                <w:rFonts w:hint="eastAsia"/>
                <w:color w:val="auto"/>
                <w:u w:val="none" w:color="auto"/>
                <w:lang w:eastAsia="zh-CN"/>
              </w:rPr>
              <w:t>#楼（</w:t>
            </w:r>
            <w:r>
              <w:rPr>
                <w:rFonts w:hint="eastAsia"/>
                <w:color w:val="auto"/>
                <w:u w:val="none" w:color="auto"/>
                <w:lang w:val="en-US" w:eastAsia="zh-CN"/>
              </w:rPr>
              <w:t>拟建设</w:t>
            </w:r>
            <w:r>
              <w:rPr>
                <w:rFonts w:ascii="Times New Roman" w:hAnsi="Times New Roman" w:eastAsia="宋体" w:cs="Times New Roman"/>
                <w:color w:val="auto"/>
                <w:szCs w:val="22"/>
                <w:u w:val="none" w:color="auto"/>
                <w:lang w:val="en-US" w:eastAsia="zh-CN"/>
              </w:rPr>
              <w:t>南宁三玖脑科医院</w:t>
            </w:r>
            <w:r>
              <w:rPr>
                <w:rFonts w:hint="eastAsia"/>
                <w:color w:val="auto"/>
                <w:u w:val="none" w:color="auto"/>
                <w:lang w:eastAsia="zh-CN"/>
              </w:rPr>
              <w:t>）</w:t>
            </w:r>
            <w:r>
              <w:rPr>
                <w:color w:val="auto"/>
                <w:u w:val="none" w:color="auto"/>
              </w:rPr>
              <w:t>，西面为</w:t>
            </w:r>
            <w:r>
              <w:rPr>
                <w:rFonts w:hint="eastAsia"/>
                <w:color w:val="auto"/>
                <w:u w:val="none" w:color="auto"/>
                <w:lang w:eastAsia="zh-CN"/>
              </w:rPr>
              <w:t>高岭村</w:t>
            </w:r>
            <w:r>
              <w:rPr>
                <w:rFonts w:hint="eastAsia"/>
                <w:color w:val="auto"/>
                <w:u w:val="none" w:color="auto"/>
                <w:lang w:val="en-US" w:eastAsia="zh-CN"/>
              </w:rPr>
              <w:t>九斗坡（最近距离约为60m）</w:t>
            </w:r>
            <w:r>
              <w:rPr>
                <w:color w:val="auto"/>
                <w:u w:val="none" w:color="auto"/>
              </w:rPr>
              <w:t>，北面</w:t>
            </w:r>
            <w:r>
              <w:rPr>
                <w:rFonts w:hint="eastAsia"/>
                <w:color w:val="auto"/>
                <w:u w:val="none" w:color="auto"/>
                <w:lang w:val="en-US" w:eastAsia="zh-CN"/>
              </w:rPr>
              <w:t>约100米为高岭汽修广场</w:t>
            </w:r>
            <w:r>
              <w:rPr>
                <w:bCs/>
                <w:color w:val="auto"/>
                <w:szCs w:val="21"/>
                <w:u w:val="none" w:color="auto"/>
              </w:rPr>
              <w:t>，区域主要污染源有：</w:t>
            </w:r>
            <w:r>
              <w:rPr>
                <w:rFonts w:hint="eastAsia"/>
                <w:bCs/>
                <w:color w:val="auto"/>
                <w:szCs w:val="21"/>
                <w:u w:val="none" w:color="auto"/>
                <w:lang w:val="en-US" w:eastAsia="zh-CN"/>
              </w:rPr>
              <w:t>汽修店铺产生的非甲烷总烃、维修固体废物</w:t>
            </w:r>
            <w:r>
              <w:rPr>
                <w:bCs/>
                <w:color w:val="auto"/>
                <w:szCs w:val="21"/>
                <w:u w:val="none" w:color="auto"/>
              </w:rPr>
              <w:t>，</w:t>
            </w:r>
            <w:r>
              <w:rPr>
                <w:rFonts w:hint="eastAsia"/>
                <w:bCs/>
                <w:color w:val="auto"/>
                <w:szCs w:val="21"/>
                <w:u w:val="none" w:color="auto"/>
                <w:lang w:val="en-US" w:eastAsia="zh-CN"/>
              </w:rPr>
              <w:t>周边居民产生生活</w:t>
            </w:r>
            <w:r>
              <w:rPr>
                <w:bCs/>
                <w:color w:val="auto"/>
                <w:szCs w:val="21"/>
                <w:u w:val="none" w:color="auto"/>
              </w:rPr>
              <w:t>废水、噪声和固体废物</w:t>
            </w:r>
            <w:r>
              <w:rPr>
                <w:rFonts w:hint="eastAsia"/>
                <w:bCs/>
                <w:color w:val="auto"/>
                <w:szCs w:val="21"/>
                <w:u w:val="none" w:color="auto"/>
                <w:lang w:val="en-US" w:eastAsia="zh-CN"/>
              </w:rPr>
              <w:t>，来往车辆产生交通噪声、汽车尾气</w:t>
            </w:r>
            <w:r>
              <w:rPr>
                <w:bCs/>
                <w:color w:val="auto"/>
                <w:szCs w:val="21"/>
                <w:u w:val="none" w:color="auto"/>
              </w:rPr>
              <w:t>。</w:t>
            </w:r>
          </w:p>
        </w:tc>
      </w:tr>
    </w:tbl>
    <w:p w14:paraId="42A9B5BE">
      <w:pPr>
        <w:pStyle w:val="19"/>
        <w:ind w:firstLine="720"/>
        <w:jc w:val="center"/>
        <w:rPr>
          <w:rFonts w:ascii="Times New Roman" w:hAnsi="Times New Roman" w:eastAsia="黑体"/>
          <w:snapToGrid w:val="0"/>
          <w:color w:val="auto"/>
          <w:sz w:val="36"/>
          <w:szCs w:val="36"/>
          <w:u w:val="none" w:color="auto"/>
        </w:rPr>
        <w:sectPr>
          <w:pgSz w:w="11906" w:h="16838"/>
          <w:pgMar w:top="1531" w:right="1531" w:bottom="1531" w:left="1531" w:header="851" w:footer="851" w:gutter="0"/>
          <w:pgBorders>
            <w:top w:val="none" w:sz="0" w:space="0"/>
            <w:left w:val="none" w:sz="0" w:space="0"/>
            <w:bottom w:val="none" w:sz="0" w:space="0"/>
            <w:right w:val="none" w:sz="0" w:space="0"/>
          </w:pgBorders>
          <w:cols w:space="720" w:num="1"/>
          <w:docGrid w:linePitch="312" w:charSpace="0"/>
        </w:sectPr>
      </w:pPr>
    </w:p>
    <w:p w14:paraId="3C4FA294">
      <w:pPr>
        <w:pStyle w:val="19"/>
        <w:ind w:firstLine="600"/>
        <w:jc w:val="center"/>
        <w:outlineLvl w:val="0"/>
        <w:rPr>
          <w:rFonts w:ascii="Times New Roman" w:hAnsi="Times New Roman" w:eastAsia="黑体"/>
          <w:snapToGrid w:val="0"/>
          <w:color w:val="auto"/>
          <w:sz w:val="30"/>
          <w:szCs w:val="30"/>
          <w:u w:val="none" w:color="auto"/>
        </w:rPr>
      </w:pPr>
      <w:bookmarkStart w:id="10" w:name="_Toc128130728"/>
      <w:r>
        <w:rPr>
          <w:rFonts w:ascii="Times New Roman" w:hAnsi="Times New Roman" w:eastAsia="黑体"/>
          <w:snapToGrid w:val="0"/>
          <w:color w:val="auto"/>
          <w:sz w:val="30"/>
          <w:szCs w:val="30"/>
          <w:u w:val="none" w:color="auto"/>
        </w:rPr>
        <w:t>三、区域环境质量现状、环境保护目标及评价标准</w:t>
      </w:r>
      <w:bookmarkEnd w:id="10"/>
    </w:p>
    <w:tbl>
      <w:tblPr>
        <w:tblStyle w:val="22"/>
        <w:tblW w:w="100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544"/>
      </w:tblGrid>
      <w:tr w14:paraId="5A9912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456" w:type="dxa"/>
            <w:vAlign w:val="center"/>
          </w:tcPr>
          <w:p w14:paraId="713C4F53">
            <w:pPr>
              <w:adjustRightInd w:val="0"/>
              <w:snapToGrid w:val="0"/>
              <w:ind w:firstLine="0" w:firstLineChars="0"/>
              <w:jc w:val="center"/>
              <w:rPr>
                <w:color w:val="auto"/>
                <w:kern w:val="0"/>
                <w:szCs w:val="21"/>
                <w:u w:val="none" w:color="auto"/>
              </w:rPr>
            </w:pPr>
            <w:r>
              <w:rPr>
                <w:color w:val="auto"/>
                <w:kern w:val="0"/>
                <w:szCs w:val="21"/>
                <w:u w:val="none" w:color="auto"/>
              </w:rPr>
              <w:t>区域</w:t>
            </w:r>
          </w:p>
          <w:p w14:paraId="046853F7">
            <w:pPr>
              <w:adjustRightInd w:val="0"/>
              <w:snapToGrid w:val="0"/>
              <w:ind w:firstLine="0" w:firstLineChars="0"/>
              <w:jc w:val="center"/>
              <w:rPr>
                <w:color w:val="auto"/>
                <w:kern w:val="0"/>
                <w:szCs w:val="21"/>
                <w:u w:val="none" w:color="auto"/>
              </w:rPr>
            </w:pPr>
            <w:r>
              <w:rPr>
                <w:color w:val="auto"/>
                <w:kern w:val="0"/>
                <w:szCs w:val="21"/>
                <w:u w:val="none" w:color="auto"/>
              </w:rPr>
              <w:t>环境</w:t>
            </w:r>
          </w:p>
          <w:p w14:paraId="44C57F6F">
            <w:pPr>
              <w:adjustRightInd w:val="0"/>
              <w:snapToGrid w:val="0"/>
              <w:ind w:firstLine="0" w:firstLineChars="0"/>
              <w:jc w:val="center"/>
              <w:rPr>
                <w:color w:val="auto"/>
                <w:kern w:val="0"/>
                <w:szCs w:val="21"/>
                <w:u w:val="none" w:color="auto"/>
              </w:rPr>
            </w:pPr>
            <w:r>
              <w:rPr>
                <w:color w:val="auto"/>
                <w:kern w:val="0"/>
                <w:szCs w:val="21"/>
                <w:u w:val="none" w:color="auto"/>
              </w:rPr>
              <w:t>质量</w:t>
            </w:r>
          </w:p>
          <w:p w14:paraId="71E2721C">
            <w:pPr>
              <w:adjustRightInd w:val="0"/>
              <w:snapToGrid w:val="0"/>
              <w:ind w:firstLine="0" w:firstLineChars="0"/>
              <w:jc w:val="center"/>
              <w:rPr>
                <w:color w:val="auto"/>
                <w:kern w:val="0"/>
                <w:szCs w:val="21"/>
                <w:u w:val="none" w:color="auto"/>
              </w:rPr>
            </w:pPr>
            <w:r>
              <w:rPr>
                <w:color w:val="auto"/>
                <w:kern w:val="0"/>
                <w:szCs w:val="21"/>
                <w:u w:val="none" w:color="auto"/>
              </w:rPr>
              <w:t>现状</w:t>
            </w:r>
          </w:p>
        </w:tc>
        <w:tc>
          <w:tcPr>
            <w:tcW w:w="9544" w:type="dxa"/>
            <w:vAlign w:val="center"/>
          </w:tcPr>
          <w:p w14:paraId="50EC3112">
            <w:pPr>
              <w:numPr>
                <w:ilvl w:val="0"/>
                <w:numId w:val="7"/>
              </w:numPr>
              <w:adjustRightInd w:val="0"/>
              <w:snapToGrid w:val="0"/>
              <w:ind w:left="0" w:firstLine="482"/>
              <w:jc w:val="left"/>
              <w:rPr>
                <w:b/>
                <w:color w:val="auto"/>
                <w:u w:val="none" w:color="auto"/>
              </w:rPr>
            </w:pPr>
            <w:r>
              <w:rPr>
                <w:b/>
                <w:color w:val="auto"/>
                <w:u w:val="none" w:color="auto"/>
                <w:lang w:bidi="ar"/>
              </w:rPr>
              <w:t>大气环境质量现状</w:t>
            </w:r>
          </w:p>
          <w:p w14:paraId="0CCC2EE8">
            <w:pPr>
              <w:numPr>
                <w:ilvl w:val="0"/>
                <w:numId w:val="8"/>
              </w:numPr>
              <w:adjustRightInd w:val="0"/>
              <w:snapToGrid w:val="0"/>
              <w:ind w:left="0" w:firstLine="480"/>
              <w:jc w:val="left"/>
              <w:rPr>
                <w:color w:val="auto"/>
                <w:u w:val="none" w:color="auto"/>
                <w:lang w:bidi="ar"/>
              </w:rPr>
            </w:pPr>
            <w:r>
              <w:rPr>
                <w:color w:val="auto"/>
                <w:u w:val="none" w:color="auto"/>
                <w:lang w:bidi="ar"/>
              </w:rPr>
              <w:t>执行标准</w:t>
            </w:r>
          </w:p>
          <w:p w14:paraId="75568F21">
            <w:pPr>
              <w:adjustRightInd w:val="0"/>
              <w:snapToGrid w:val="0"/>
              <w:ind w:firstLine="480"/>
              <w:jc w:val="left"/>
              <w:rPr>
                <w:rFonts w:hint="eastAsia"/>
                <w:color w:val="auto"/>
                <w:u w:val="none" w:color="auto"/>
                <w:lang w:val="en-US" w:eastAsia="zh-CN" w:bidi="ar"/>
              </w:rPr>
            </w:pPr>
            <w:r>
              <w:rPr>
                <w:rFonts w:hint="eastAsia"/>
                <w:color w:val="auto"/>
                <w:u w:val="none" w:color="auto"/>
                <w:lang w:val="en-US" w:eastAsia="zh-CN" w:bidi="ar"/>
              </w:rPr>
              <w:t>《南宁市人民政府办公厅关于印发南宁市市区环境空气质量功能区划的通知》（南府办〔2007〕303号）已失效，目前未发布新的南宁市市区环境空气质量功能区划。</w:t>
            </w:r>
          </w:p>
          <w:p w14:paraId="504CC675">
            <w:pPr>
              <w:adjustRightInd w:val="0"/>
              <w:snapToGrid w:val="0"/>
              <w:ind w:firstLine="480"/>
              <w:jc w:val="left"/>
              <w:rPr>
                <w:color w:val="auto"/>
                <w:u w:val="none" w:color="auto"/>
              </w:rPr>
            </w:pPr>
            <w:r>
              <w:rPr>
                <w:rFonts w:hint="eastAsia" w:ascii="宋体" w:hAnsi="宋体" w:cs="宋体"/>
                <w:color w:val="auto"/>
                <w:kern w:val="0"/>
                <w:sz w:val="24"/>
                <w:szCs w:val="24"/>
                <w:highlight w:val="none"/>
                <w:u w:val="none" w:color="auto"/>
                <w:lang w:val="en-US" w:eastAsia="zh-CN" w:bidi="ar"/>
              </w:rPr>
              <w:t>项目南面约210m为</w:t>
            </w:r>
            <w:r>
              <w:rPr>
                <w:rFonts w:hint="eastAsia" w:ascii="宋体" w:hAnsi="宋体" w:eastAsia="宋体" w:cs="宋体"/>
                <w:color w:val="auto"/>
                <w:kern w:val="0"/>
                <w:sz w:val="24"/>
                <w:szCs w:val="24"/>
                <w:highlight w:val="none"/>
                <w:u w:val="none" w:color="auto"/>
                <w:lang w:val="en-US" w:eastAsia="zh-CN" w:bidi="ar"/>
              </w:rPr>
              <w:t>广西良凤江国家森林公园，</w:t>
            </w:r>
            <w:r>
              <w:rPr>
                <w:rFonts w:hint="eastAsia" w:ascii="Times New Roman" w:hAnsi="Times New Roman" w:eastAsia="宋体" w:cs="Times New Roman"/>
                <w:color w:val="auto"/>
                <w:kern w:val="0"/>
                <w:sz w:val="24"/>
                <w:szCs w:val="24"/>
                <w:highlight w:val="none"/>
                <w:u w:val="none" w:color="auto"/>
                <w:lang w:val="en-US" w:eastAsia="zh-CN" w:bidi="ar"/>
              </w:rPr>
              <w:t>不在良凤江国家森林公园规划范围内</w:t>
            </w:r>
            <w:r>
              <w:rPr>
                <w:rFonts w:hint="eastAsia" w:cs="Times New Roman"/>
                <w:color w:val="auto"/>
                <w:kern w:val="0"/>
                <w:sz w:val="24"/>
                <w:szCs w:val="24"/>
                <w:highlight w:val="none"/>
                <w:u w:val="none" w:color="auto"/>
                <w:lang w:val="en-US" w:eastAsia="zh-CN" w:bidi="ar"/>
              </w:rPr>
              <w:t>。</w:t>
            </w:r>
            <w:r>
              <w:rPr>
                <w:rFonts w:hint="eastAsia" w:ascii="宋体" w:hAnsi="宋体" w:cs="宋体"/>
                <w:color w:val="auto"/>
                <w:kern w:val="0"/>
                <w:sz w:val="24"/>
                <w:szCs w:val="24"/>
                <w:highlight w:val="none"/>
                <w:u w:val="none" w:color="auto"/>
                <w:lang w:val="en-US" w:eastAsia="zh-CN" w:bidi="ar"/>
              </w:rPr>
              <w:t>参照</w:t>
            </w:r>
            <w:r>
              <w:rPr>
                <w:rFonts w:hint="eastAsia"/>
                <w:color w:val="auto"/>
                <w:u w:val="none" w:color="auto"/>
                <w:lang w:val="en-US" w:eastAsia="zh-CN" w:bidi="ar"/>
              </w:rPr>
              <w:t>《南宁市人民政府办公厅关于印发南宁市市区环境空气质量功能区划的通知》（南府办〔2007〕303号）原划定情况，将评价范围内的</w:t>
            </w:r>
            <w:r>
              <w:rPr>
                <w:rFonts w:hint="eastAsia" w:ascii="宋体" w:hAnsi="宋体" w:eastAsia="宋体" w:cs="宋体"/>
                <w:color w:val="auto"/>
                <w:kern w:val="0"/>
                <w:sz w:val="24"/>
                <w:szCs w:val="24"/>
                <w:highlight w:val="none"/>
                <w:u w:val="none" w:color="auto"/>
                <w:lang w:val="en-US" w:eastAsia="zh-CN" w:bidi="ar"/>
              </w:rPr>
              <w:t>广西良凤江国家森林公园及其</w:t>
            </w:r>
            <w:r>
              <w:rPr>
                <w:rFonts w:hint="eastAsia" w:ascii="宋体" w:hAnsi="宋体" w:cs="宋体"/>
                <w:color w:val="auto"/>
                <w:kern w:val="0"/>
                <w:sz w:val="24"/>
                <w:szCs w:val="24"/>
                <w:highlight w:val="none"/>
                <w:u w:val="none" w:color="auto"/>
                <w:lang w:val="en-US" w:eastAsia="zh-CN" w:bidi="ar"/>
              </w:rPr>
              <w:t>5</w:t>
            </w:r>
            <w:r>
              <w:rPr>
                <w:rFonts w:hint="eastAsia" w:ascii="宋体" w:hAnsi="宋体" w:eastAsia="宋体" w:cs="宋体"/>
                <w:color w:val="auto"/>
                <w:kern w:val="0"/>
                <w:sz w:val="24"/>
                <w:szCs w:val="24"/>
                <w:highlight w:val="none"/>
                <w:u w:val="none" w:color="auto"/>
                <w:lang w:val="en-US" w:eastAsia="zh-CN" w:bidi="ar"/>
              </w:rPr>
              <w:t>00米范围内的</w:t>
            </w:r>
            <w:r>
              <w:rPr>
                <w:color w:val="auto"/>
                <w:u w:val="none" w:color="auto"/>
                <w:lang w:bidi="ar"/>
              </w:rPr>
              <w:t>环境空气质量执行《环境空气质量标准》(GB3095-2012</w:t>
            </w:r>
            <w:r>
              <w:rPr>
                <w:rFonts w:hint="eastAsia"/>
                <w:color w:val="auto"/>
                <w:u w:val="none" w:color="auto"/>
                <w:lang w:eastAsia="zh-CN" w:bidi="ar"/>
              </w:rPr>
              <w:t>)</w:t>
            </w:r>
            <w:r>
              <w:rPr>
                <w:color w:val="auto"/>
                <w:u w:val="none" w:color="auto"/>
                <w:lang w:bidi="ar"/>
              </w:rPr>
              <w:t>及其修改单</w:t>
            </w:r>
            <w:r>
              <w:rPr>
                <w:rFonts w:hint="eastAsia"/>
                <w:color w:val="auto"/>
                <w:u w:val="none" w:color="auto"/>
                <w:lang w:val="en-US" w:eastAsia="zh-CN" w:bidi="ar"/>
              </w:rPr>
              <w:t>一级标准，其他区域</w:t>
            </w:r>
            <w:r>
              <w:rPr>
                <w:color w:val="auto"/>
                <w:u w:val="none" w:color="auto"/>
                <w:lang w:bidi="ar"/>
              </w:rPr>
              <w:t>二级标准。</w:t>
            </w:r>
          </w:p>
          <w:p w14:paraId="7168ED9D">
            <w:pPr>
              <w:adjustRightInd w:val="0"/>
              <w:snapToGrid w:val="0"/>
              <w:ind w:firstLine="480"/>
              <w:jc w:val="left"/>
              <w:rPr>
                <w:color w:val="auto"/>
                <w:u w:val="none" w:color="auto"/>
              </w:rPr>
            </w:pPr>
            <w:r>
              <w:rPr>
                <w:rFonts w:hint="eastAsia"/>
                <w:color w:val="auto"/>
                <w:u w:val="none" w:color="auto"/>
                <w:lang w:val="en-US" w:eastAsia="zh-CN" w:bidi="ar"/>
              </w:rPr>
              <w:t>项目位于该森林公园</w:t>
            </w:r>
            <w:r>
              <w:rPr>
                <w:rFonts w:hint="eastAsia" w:ascii="宋体" w:hAnsi="宋体" w:cs="宋体"/>
                <w:color w:val="auto"/>
                <w:kern w:val="0"/>
                <w:sz w:val="24"/>
                <w:szCs w:val="24"/>
                <w:highlight w:val="none"/>
                <w:u w:val="none" w:color="auto"/>
                <w:lang w:val="en-US" w:eastAsia="zh-CN" w:bidi="ar"/>
              </w:rPr>
              <w:t>北</w:t>
            </w:r>
            <w:r>
              <w:rPr>
                <w:rFonts w:hint="eastAsia" w:ascii="宋体" w:hAnsi="宋体" w:eastAsia="宋体" w:cs="宋体"/>
                <w:color w:val="auto"/>
                <w:kern w:val="0"/>
                <w:sz w:val="24"/>
                <w:szCs w:val="24"/>
                <w:highlight w:val="none"/>
                <w:u w:val="none" w:color="auto"/>
                <w:lang w:val="en-US" w:eastAsia="zh-CN" w:bidi="ar"/>
              </w:rPr>
              <w:t>面约210m处</w:t>
            </w:r>
            <w:r>
              <w:rPr>
                <w:rFonts w:hint="eastAsia" w:ascii="宋体" w:hAnsi="宋体" w:cs="宋体"/>
                <w:color w:val="auto"/>
                <w:kern w:val="0"/>
                <w:sz w:val="24"/>
                <w:szCs w:val="24"/>
                <w:highlight w:val="none"/>
                <w:u w:val="none" w:color="auto"/>
                <w:lang w:val="en-US" w:eastAsia="zh-CN" w:bidi="ar"/>
              </w:rPr>
              <w:t>，</w:t>
            </w:r>
            <w:r>
              <w:rPr>
                <w:rFonts w:hint="eastAsia"/>
                <w:color w:val="auto"/>
                <w:u w:val="none" w:color="auto"/>
                <w:lang w:val="en-US" w:eastAsia="zh-CN" w:bidi="ar"/>
              </w:rPr>
              <w:t>位于缓冲带内，不在一类功能区内，</w:t>
            </w:r>
            <w:r>
              <w:rPr>
                <w:rFonts w:hint="eastAsia" w:ascii="Times New Roman" w:hAnsi="Times New Roman" w:eastAsia="宋体" w:cs="Times New Roman"/>
                <w:color w:val="auto"/>
                <w:u w:val="none" w:color="auto"/>
                <w:lang w:val="en-US" w:eastAsia="zh-CN" w:bidi="ar"/>
              </w:rPr>
              <w:t>缓冲带内的环境空气质量执行一级标准</w:t>
            </w:r>
            <w:r>
              <w:rPr>
                <w:rFonts w:hint="eastAsia" w:cs="Times New Roman"/>
                <w:color w:val="auto"/>
                <w:u w:val="none" w:color="auto"/>
                <w:lang w:val="en-US" w:eastAsia="zh-CN" w:bidi="ar"/>
              </w:rPr>
              <w:t>。</w:t>
            </w:r>
            <w:r>
              <w:rPr>
                <w:rFonts w:hint="eastAsia" w:ascii="宋体" w:hAnsi="宋体" w:eastAsia="宋体" w:cs="宋体"/>
                <w:color w:val="auto"/>
                <w:kern w:val="0"/>
                <w:sz w:val="24"/>
                <w:szCs w:val="24"/>
                <w:highlight w:val="none"/>
                <w:u w:val="none" w:color="auto"/>
                <w:lang w:val="en-US" w:eastAsia="zh-CN" w:bidi="ar"/>
              </w:rPr>
              <w:t>《环境空气质量标准》(GB3095-1996)和《环境空气质量功能区划分原则与技术方法》(HJ14-1996)均</w:t>
            </w:r>
            <w:r>
              <w:rPr>
                <w:rFonts w:hint="eastAsia" w:ascii="Times New Roman" w:hAnsi="Times New Roman" w:eastAsia="宋体" w:cs="Times New Roman"/>
                <w:color w:val="auto"/>
                <w:u w:val="none" w:color="auto"/>
                <w:lang w:val="en-US" w:eastAsia="zh-CN" w:bidi="ar"/>
              </w:rPr>
              <w:t>未明确缓冲带内的污染物排放管控要求，参考</w:t>
            </w:r>
            <w:r>
              <w:rPr>
                <w:rFonts w:hint="eastAsia"/>
                <w:color w:val="auto"/>
                <w:u w:val="none" w:color="auto"/>
                <w:lang w:val="en-US" w:eastAsia="zh-CN" w:bidi="ar"/>
              </w:rPr>
              <w:t>《南宁市人民政府办公厅关于印发南宁市市区环境空气质量功能区划的通知》（南府办〔2007〕303号），在该区域内禁止新、扩建排放大气污染物的工业污染源；现有大气污染源的污染物排放不得超过《大气污染物综合排放标准》《锅炉大气污染物排放标准》《工业炉窑大气污染物排放标准》《恶臭污染物排放标准》等国家标准中的一级标准或对应标准。本项目为新建生活污染源，不属于工业污染源，因此本项目的建设符合</w:t>
            </w:r>
            <w:r>
              <w:rPr>
                <w:color w:val="auto"/>
                <w:u w:val="none" w:color="auto"/>
                <w:lang w:bidi="ar"/>
              </w:rPr>
              <w:t>《环境空气质量标准》(GB3095-2012</w:t>
            </w:r>
            <w:r>
              <w:rPr>
                <w:rFonts w:hint="eastAsia"/>
                <w:color w:val="auto"/>
                <w:u w:val="none" w:color="auto"/>
                <w:lang w:eastAsia="zh-CN" w:bidi="ar"/>
              </w:rPr>
              <w:t>)</w:t>
            </w:r>
            <w:r>
              <w:rPr>
                <w:color w:val="auto"/>
                <w:u w:val="none" w:color="auto"/>
                <w:lang w:bidi="ar"/>
              </w:rPr>
              <w:t>及其修改单</w:t>
            </w:r>
            <w:r>
              <w:rPr>
                <w:rFonts w:hint="eastAsia"/>
                <w:color w:val="auto"/>
                <w:u w:val="none" w:color="auto"/>
                <w:lang w:val="en-US" w:eastAsia="zh-CN" w:bidi="ar"/>
              </w:rPr>
              <w:t>的要求。</w:t>
            </w:r>
          </w:p>
          <w:p w14:paraId="1A9B6465">
            <w:pPr>
              <w:adjustRightInd w:val="0"/>
              <w:snapToGrid w:val="0"/>
              <w:ind w:firstLine="480"/>
              <w:jc w:val="left"/>
              <w:rPr>
                <w:color w:val="auto"/>
                <w:u w:val="none" w:color="auto"/>
                <w:lang w:bidi="ar"/>
              </w:rPr>
            </w:pPr>
            <w:r>
              <w:rPr>
                <w:color w:val="auto"/>
                <w:u w:val="none" w:color="auto"/>
                <w:lang w:bidi="ar"/>
              </w:rPr>
              <w:t>按照《环境影响评价技术导则大气环境》（HJ2.2—2018）要求，项目所在区域达标判定，优先采用国家或地方生态环境部门公开发布的评价基准年环境质量公告或环境质量报告中的数据或结论。</w:t>
            </w:r>
          </w:p>
          <w:p w14:paraId="02DEA484">
            <w:pPr>
              <w:numPr>
                <w:ilvl w:val="0"/>
                <w:numId w:val="8"/>
              </w:numPr>
              <w:adjustRightInd w:val="0"/>
              <w:snapToGrid w:val="0"/>
              <w:ind w:left="0" w:firstLine="480"/>
              <w:jc w:val="left"/>
              <w:rPr>
                <w:color w:val="auto"/>
                <w:u w:val="none" w:color="auto"/>
              </w:rPr>
            </w:pPr>
            <w:r>
              <w:rPr>
                <w:color w:val="auto"/>
                <w:u w:val="none" w:color="auto"/>
              </w:rPr>
              <w:t>基本污染物环境质量现状评价</w:t>
            </w:r>
          </w:p>
          <w:p w14:paraId="714E1B90">
            <w:pPr>
              <w:ind w:firstLine="480" w:firstLineChars="0"/>
              <w:rPr>
                <w:rFonts w:hint="eastAsia" w:eastAsia="宋体"/>
                <w:color w:val="auto"/>
                <w:u w:val="none" w:color="auto"/>
                <w:lang w:val="en-US" w:eastAsia="zh-CN" w:bidi="ar"/>
              </w:rPr>
            </w:pPr>
            <w:r>
              <w:rPr>
                <w:rFonts w:hint="default" w:cs="Times New Roman"/>
                <w:color w:val="auto"/>
                <w:kern w:val="2"/>
                <w:u w:val="none" w:color="auto"/>
                <w:lang w:bidi="ar"/>
              </w:rPr>
              <w:t>根据</w:t>
            </w:r>
            <w:r>
              <w:rPr>
                <w:rFonts w:hint="eastAsia" w:cs="Times New Roman"/>
                <w:color w:val="auto"/>
                <w:kern w:val="2"/>
                <w:u w:val="none" w:color="auto"/>
                <w:lang w:bidi="ar"/>
              </w:rPr>
              <w:t>广西壮族自治区生态环境厅</w:t>
            </w:r>
            <w:r>
              <w:rPr>
                <w:rFonts w:hint="default" w:cs="Times New Roman"/>
                <w:color w:val="auto"/>
                <w:kern w:val="2"/>
                <w:u w:val="none" w:color="auto"/>
                <w:lang w:bidi="ar"/>
              </w:rPr>
              <w:t>《自治区生态环境厅关于通报202</w:t>
            </w:r>
            <w:r>
              <w:rPr>
                <w:rFonts w:hint="eastAsia" w:cs="Times New Roman"/>
                <w:color w:val="auto"/>
                <w:kern w:val="2"/>
                <w:u w:val="none" w:color="auto"/>
                <w:lang w:val="en-US" w:eastAsia="zh-CN" w:bidi="ar"/>
              </w:rPr>
              <w:t>4</w:t>
            </w:r>
            <w:r>
              <w:rPr>
                <w:rFonts w:hint="default" w:cs="Times New Roman"/>
                <w:color w:val="auto"/>
                <w:kern w:val="2"/>
                <w:u w:val="none" w:color="auto"/>
                <w:lang w:bidi="ar"/>
              </w:rPr>
              <w:t>年设区城市及各县（市、区）环境空气质量的函》</w:t>
            </w:r>
            <w:r>
              <w:rPr>
                <w:rFonts w:hint="eastAsia" w:cs="Times New Roman"/>
                <w:color w:val="auto"/>
                <w:kern w:val="2"/>
                <w:u w:val="none" w:color="auto"/>
                <w:lang w:bidi="ar"/>
              </w:rPr>
              <w:t>（</w:t>
            </w:r>
            <w:r>
              <w:rPr>
                <w:rFonts w:hint="default" w:cs="Times New Roman"/>
                <w:color w:val="auto"/>
                <w:kern w:val="2"/>
                <w:u w:val="none" w:color="auto"/>
                <w:lang w:bidi="ar"/>
              </w:rPr>
              <w:t>桂环函〔202</w:t>
            </w:r>
            <w:r>
              <w:rPr>
                <w:rFonts w:hint="eastAsia" w:cs="Times New Roman"/>
                <w:color w:val="auto"/>
                <w:kern w:val="2"/>
                <w:u w:val="none" w:color="auto"/>
                <w:lang w:val="en-US" w:eastAsia="zh-CN" w:bidi="ar"/>
              </w:rPr>
              <w:t>5</w:t>
            </w:r>
            <w:r>
              <w:rPr>
                <w:rFonts w:hint="default" w:cs="Times New Roman"/>
                <w:color w:val="auto"/>
                <w:kern w:val="2"/>
                <w:u w:val="none" w:color="auto"/>
                <w:lang w:bidi="ar"/>
              </w:rPr>
              <w:t>〕</w:t>
            </w:r>
            <w:r>
              <w:rPr>
                <w:rFonts w:hint="eastAsia" w:cs="Times New Roman"/>
                <w:color w:val="auto"/>
                <w:kern w:val="2"/>
                <w:u w:val="none" w:color="auto"/>
                <w:lang w:val="en-US" w:eastAsia="zh-CN" w:bidi="ar"/>
              </w:rPr>
              <w:t>66</w:t>
            </w:r>
            <w:r>
              <w:rPr>
                <w:rFonts w:hint="default" w:cs="Times New Roman"/>
                <w:color w:val="auto"/>
                <w:kern w:val="2"/>
                <w:u w:val="none" w:color="auto"/>
                <w:lang w:bidi="ar"/>
              </w:rPr>
              <w:t>号</w:t>
            </w:r>
            <w:r>
              <w:rPr>
                <w:rFonts w:hint="eastAsia" w:cs="Times New Roman"/>
                <w:color w:val="auto"/>
                <w:kern w:val="2"/>
                <w:u w:val="none" w:color="auto"/>
                <w:lang w:bidi="ar"/>
              </w:rPr>
              <w:t>）</w:t>
            </w:r>
            <w:r>
              <w:rPr>
                <w:rFonts w:hint="default" w:cs="Times New Roman"/>
                <w:color w:val="auto"/>
                <w:kern w:val="2"/>
                <w:u w:val="none" w:color="auto"/>
                <w:lang w:bidi="ar"/>
              </w:rPr>
              <w:t>，统计数据见下表</w:t>
            </w:r>
            <w:r>
              <w:rPr>
                <w:rFonts w:hint="eastAsia" w:cs="Times New Roman"/>
                <w:color w:val="auto"/>
                <w:kern w:val="2"/>
                <w:u w:val="none" w:color="auto"/>
                <w:lang w:eastAsia="zh-CN" w:bidi="ar"/>
              </w:rPr>
              <w:t>：</w:t>
            </w:r>
          </w:p>
          <w:p w14:paraId="43BD9F40">
            <w:pPr>
              <w:pStyle w:val="10"/>
              <w:numPr>
                <w:ilvl w:val="0"/>
                <w:numId w:val="3"/>
              </w:numPr>
              <w:ind w:left="0" w:firstLine="0" w:firstLineChars="0"/>
              <w:jc w:val="center"/>
              <w:rPr>
                <w:rFonts w:ascii="黑体" w:hAnsi="黑体" w:eastAsia="黑体"/>
                <w:b w:val="0"/>
                <w:color w:val="auto"/>
                <w:u w:val="none" w:color="auto"/>
              </w:rPr>
            </w:pPr>
            <w:r>
              <w:rPr>
                <w:rFonts w:ascii="黑体" w:hAnsi="黑体" w:eastAsia="黑体"/>
                <w:b w:val="0"/>
                <w:color w:val="auto"/>
                <w:u w:val="none" w:color="auto"/>
              </w:rPr>
              <w:t xml:space="preserve"> 202</w:t>
            </w:r>
            <w:r>
              <w:rPr>
                <w:rFonts w:hint="eastAsia" w:ascii="黑体" w:hAnsi="黑体" w:eastAsia="黑体"/>
                <w:b w:val="0"/>
                <w:color w:val="auto"/>
                <w:u w:val="none" w:color="auto"/>
                <w:lang w:val="en-US" w:eastAsia="zh-CN"/>
              </w:rPr>
              <w:t>3</w:t>
            </w:r>
            <w:r>
              <w:rPr>
                <w:rFonts w:ascii="黑体" w:hAnsi="黑体" w:eastAsia="黑体"/>
                <w:b w:val="0"/>
                <w:color w:val="auto"/>
                <w:u w:val="none" w:color="auto"/>
              </w:rPr>
              <w:t>年</w:t>
            </w:r>
            <w:r>
              <w:rPr>
                <w:rFonts w:hint="eastAsia" w:ascii="黑体" w:hAnsi="黑体" w:eastAsia="黑体"/>
                <w:b w:val="0"/>
                <w:color w:val="auto"/>
                <w:u w:val="none" w:color="auto"/>
                <w:lang w:val="en-US" w:eastAsia="zh-CN"/>
              </w:rPr>
              <w:t>南宁市</w:t>
            </w:r>
            <w:r>
              <w:rPr>
                <w:rFonts w:ascii="黑体" w:hAnsi="黑体" w:eastAsia="黑体"/>
                <w:b w:val="0"/>
                <w:color w:val="auto"/>
                <w:u w:val="none" w:color="auto"/>
              </w:rPr>
              <w:t>环境空气质量表</w:t>
            </w:r>
          </w:p>
          <w:tbl>
            <w:tblPr>
              <w:tblStyle w:val="22"/>
              <w:tblW w:w="874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03"/>
              <w:gridCol w:w="3057"/>
              <w:gridCol w:w="1155"/>
              <w:gridCol w:w="1340"/>
              <w:gridCol w:w="1112"/>
              <w:gridCol w:w="1073"/>
            </w:tblGrid>
            <w:tr w14:paraId="7B1AF3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00" w:hRule="atLeast"/>
                <w:jc w:val="center"/>
              </w:trPr>
              <w:tc>
                <w:tcPr>
                  <w:tcW w:w="1003" w:type="dxa"/>
                  <w:tcBorders>
                    <w:top w:val="single" w:color="auto" w:sz="6" w:space="0"/>
                    <w:left w:val="single" w:color="auto" w:sz="0" w:space="0"/>
                    <w:bottom w:val="single" w:color="auto" w:sz="4" w:space="0"/>
                    <w:right w:val="single" w:color="auto" w:sz="4" w:space="0"/>
                  </w:tcBorders>
                  <w:vAlign w:val="center"/>
                </w:tcPr>
                <w:p w14:paraId="549728C3">
                  <w:pPr>
                    <w:spacing w:line="240" w:lineRule="auto"/>
                    <w:ind w:firstLine="0" w:firstLineChars="0"/>
                    <w:jc w:val="center"/>
                    <w:rPr>
                      <w:rFonts w:eastAsiaTheme="minorEastAsia"/>
                      <w:color w:val="auto"/>
                      <w:sz w:val="21"/>
                      <w:szCs w:val="21"/>
                      <w:u w:val="none" w:color="auto"/>
                    </w:rPr>
                  </w:pPr>
                  <w:r>
                    <w:rPr>
                      <w:rFonts w:eastAsiaTheme="minorEastAsia"/>
                      <w:color w:val="auto"/>
                      <w:sz w:val="21"/>
                      <w:szCs w:val="21"/>
                      <w:u w:val="none" w:color="auto"/>
                    </w:rPr>
                    <w:t>污染物</w:t>
                  </w:r>
                </w:p>
              </w:tc>
              <w:tc>
                <w:tcPr>
                  <w:tcW w:w="3057" w:type="dxa"/>
                  <w:tcBorders>
                    <w:top w:val="single" w:color="auto" w:sz="6" w:space="0"/>
                    <w:left w:val="single" w:color="auto" w:sz="4" w:space="0"/>
                    <w:bottom w:val="single" w:color="auto" w:sz="4" w:space="0"/>
                    <w:right w:val="single" w:color="auto" w:sz="4" w:space="0"/>
                  </w:tcBorders>
                  <w:vAlign w:val="center"/>
                </w:tcPr>
                <w:p w14:paraId="0D27873A">
                  <w:pPr>
                    <w:spacing w:line="240" w:lineRule="auto"/>
                    <w:ind w:firstLine="0" w:firstLineChars="0"/>
                    <w:jc w:val="center"/>
                    <w:rPr>
                      <w:rFonts w:eastAsiaTheme="minorEastAsia"/>
                      <w:color w:val="auto"/>
                      <w:sz w:val="21"/>
                      <w:szCs w:val="21"/>
                      <w:u w:val="none" w:color="auto"/>
                    </w:rPr>
                  </w:pPr>
                  <w:r>
                    <w:rPr>
                      <w:rFonts w:eastAsiaTheme="minorEastAsia"/>
                      <w:color w:val="auto"/>
                      <w:sz w:val="21"/>
                      <w:szCs w:val="21"/>
                      <w:u w:val="none" w:color="auto"/>
                    </w:rPr>
                    <w:t>年评价指标</w:t>
                  </w:r>
                </w:p>
              </w:tc>
              <w:tc>
                <w:tcPr>
                  <w:tcW w:w="1155" w:type="dxa"/>
                  <w:tcBorders>
                    <w:top w:val="single" w:color="auto" w:sz="6" w:space="0"/>
                    <w:left w:val="single" w:color="auto" w:sz="4" w:space="0"/>
                    <w:bottom w:val="single" w:color="auto" w:sz="4" w:space="0"/>
                    <w:right w:val="single" w:color="auto" w:sz="4" w:space="0"/>
                  </w:tcBorders>
                  <w:vAlign w:val="center"/>
                </w:tcPr>
                <w:p w14:paraId="1A9A85B7">
                  <w:pPr>
                    <w:spacing w:line="240" w:lineRule="auto"/>
                    <w:ind w:firstLine="0" w:firstLineChars="0"/>
                    <w:jc w:val="center"/>
                    <w:rPr>
                      <w:rFonts w:eastAsiaTheme="minorEastAsia"/>
                      <w:color w:val="auto"/>
                      <w:sz w:val="21"/>
                      <w:szCs w:val="21"/>
                      <w:u w:val="none" w:color="auto"/>
                    </w:rPr>
                  </w:pPr>
                  <w:r>
                    <w:rPr>
                      <w:rFonts w:eastAsiaTheme="minorEastAsia"/>
                      <w:color w:val="auto"/>
                      <w:sz w:val="21"/>
                      <w:szCs w:val="21"/>
                      <w:u w:val="none" w:color="auto"/>
                    </w:rPr>
                    <w:t>现状浓度（μg/m³）</w:t>
                  </w:r>
                </w:p>
              </w:tc>
              <w:tc>
                <w:tcPr>
                  <w:tcW w:w="1340" w:type="dxa"/>
                  <w:tcBorders>
                    <w:top w:val="single" w:color="auto" w:sz="6" w:space="0"/>
                    <w:left w:val="single" w:color="auto" w:sz="4" w:space="0"/>
                    <w:bottom w:val="single" w:color="auto" w:sz="4" w:space="0"/>
                    <w:right w:val="single" w:color="auto" w:sz="4" w:space="0"/>
                  </w:tcBorders>
                  <w:vAlign w:val="center"/>
                </w:tcPr>
                <w:p w14:paraId="2C19CBB2">
                  <w:pPr>
                    <w:spacing w:line="240" w:lineRule="auto"/>
                    <w:ind w:firstLine="0" w:firstLineChars="0"/>
                    <w:jc w:val="center"/>
                    <w:rPr>
                      <w:rFonts w:eastAsiaTheme="minorEastAsia"/>
                      <w:color w:val="auto"/>
                      <w:sz w:val="21"/>
                      <w:szCs w:val="21"/>
                      <w:u w:val="none" w:color="auto"/>
                    </w:rPr>
                  </w:pPr>
                  <w:r>
                    <w:rPr>
                      <w:rFonts w:hint="eastAsia" w:eastAsiaTheme="minorEastAsia"/>
                      <w:color w:val="auto"/>
                      <w:sz w:val="21"/>
                      <w:szCs w:val="21"/>
                      <w:u w:val="none" w:color="auto"/>
                      <w:lang w:val="en-US" w:eastAsia="zh-CN"/>
                    </w:rPr>
                    <w:t>二级</w:t>
                  </w:r>
                  <w:r>
                    <w:rPr>
                      <w:rFonts w:eastAsiaTheme="minorEastAsia"/>
                      <w:color w:val="auto"/>
                      <w:sz w:val="21"/>
                      <w:szCs w:val="21"/>
                      <w:u w:val="none" w:color="auto"/>
                    </w:rPr>
                    <w:t>标准值（μg/m³）</w:t>
                  </w:r>
                </w:p>
              </w:tc>
              <w:tc>
                <w:tcPr>
                  <w:tcW w:w="1112" w:type="dxa"/>
                  <w:tcBorders>
                    <w:top w:val="single" w:color="auto" w:sz="6" w:space="0"/>
                    <w:left w:val="single" w:color="auto" w:sz="4" w:space="0"/>
                    <w:bottom w:val="single" w:color="auto" w:sz="4" w:space="0"/>
                    <w:right w:val="single" w:color="auto" w:sz="4" w:space="0"/>
                  </w:tcBorders>
                  <w:vAlign w:val="center"/>
                </w:tcPr>
                <w:p w14:paraId="2B92C01C">
                  <w:pPr>
                    <w:spacing w:line="240" w:lineRule="auto"/>
                    <w:ind w:firstLine="0" w:firstLineChars="0"/>
                    <w:jc w:val="center"/>
                    <w:rPr>
                      <w:rFonts w:eastAsiaTheme="minorEastAsia"/>
                      <w:color w:val="auto"/>
                      <w:sz w:val="21"/>
                      <w:szCs w:val="21"/>
                      <w:u w:val="none" w:color="auto"/>
                    </w:rPr>
                  </w:pPr>
                  <w:r>
                    <w:rPr>
                      <w:rFonts w:eastAsiaTheme="minorEastAsia"/>
                      <w:color w:val="auto"/>
                      <w:sz w:val="21"/>
                      <w:szCs w:val="21"/>
                      <w:u w:val="none" w:color="auto"/>
                    </w:rPr>
                    <w:t>平均浓度占标率</w:t>
                  </w:r>
                </w:p>
              </w:tc>
              <w:tc>
                <w:tcPr>
                  <w:tcW w:w="1073" w:type="dxa"/>
                  <w:tcBorders>
                    <w:top w:val="single" w:color="auto" w:sz="6" w:space="0"/>
                    <w:left w:val="single" w:color="auto" w:sz="4" w:space="0"/>
                    <w:bottom w:val="single" w:color="auto" w:sz="4" w:space="0"/>
                    <w:right w:val="single" w:color="auto" w:sz="6" w:space="0"/>
                  </w:tcBorders>
                  <w:vAlign w:val="center"/>
                </w:tcPr>
                <w:p w14:paraId="07ED50FF">
                  <w:pPr>
                    <w:spacing w:line="240" w:lineRule="auto"/>
                    <w:ind w:firstLine="0" w:firstLineChars="0"/>
                    <w:jc w:val="center"/>
                    <w:rPr>
                      <w:rFonts w:eastAsiaTheme="minorEastAsia"/>
                      <w:color w:val="auto"/>
                      <w:sz w:val="21"/>
                      <w:szCs w:val="21"/>
                      <w:u w:val="none" w:color="auto"/>
                    </w:rPr>
                  </w:pPr>
                  <w:r>
                    <w:rPr>
                      <w:rFonts w:eastAsiaTheme="minorEastAsia"/>
                      <w:color w:val="auto"/>
                      <w:sz w:val="21"/>
                      <w:szCs w:val="21"/>
                      <w:u w:val="none" w:color="auto"/>
                    </w:rPr>
                    <w:t>达标情况</w:t>
                  </w:r>
                </w:p>
              </w:tc>
            </w:tr>
            <w:tr w14:paraId="191134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1003" w:type="dxa"/>
                  <w:tcBorders>
                    <w:top w:val="single" w:color="auto" w:sz="4" w:space="0"/>
                    <w:left w:val="single" w:color="auto" w:sz="4" w:space="0"/>
                    <w:bottom w:val="single" w:color="auto" w:sz="4" w:space="0"/>
                    <w:right w:val="single" w:color="auto" w:sz="4" w:space="0"/>
                  </w:tcBorders>
                  <w:vAlign w:val="center"/>
                </w:tcPr>
                <w:p w14:paraId="1DF5AB1B">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eastAsiaTheme="minorEastAsia"/>
                      <w:color w:val="auto"/>
                      <w:sz w:val="21"/>
                      <w:szCs w:val="21"/>
                      <w:u w:val="none" w:color="auto"/>
                    </w:rPr>
                  </w:pPr>
                  <w:r>
                    <w:rPr>
                      <w:rFonts w:hint="default" w:cs="Times New Roman"/>
                      <w:color w:val="auto"/>
                      <w:sz w:val="21"/>
                      <w:szCs w:val="21"/>
                      <w:u w:val="none" w:color="auto"/>
                      <w:lang w:bidi="ar"/>
                    </w:rPr>
                    <w:t>SO</w:t>
                  </w:r>
                  <w:r>
                    <w:rPr>
                      <w:rFonts w:hint="default" w:cs="Times New Roman"/>
                      <w:color w:val="auto"/>
                      <w:sz w:val="21"/>
                      <w:szCs w:val="21"/>
                      <w:u w:val="none" w:color="auto"/>
                      <w:vertAlign w:val="subscript"/>
                      <w:lang w:bidi="ar"/>
                    </w:rPr>
                    <w:t>2</w:t>
                  </w:r>
                </w:p>
              </w:tc>
              <w:tc>
                <w:tcPr>
                  <w:tcW w:w="3057" w:type="dxa"/>
                  <w:tcBorders>
                    <w:top w:val="single" w:color="auto" w:sz="4" w:space="0"/>
                    <w:left w:val="single" w:color="auto" w:sz="4" w:space="0"/>
                    <w:bottom w:val="single" w:color="auto" w:sz="4" w:space="0"/>
                    <w:right w:val="single" w:color="auto" w:sz="4" w:space="0"/>
                  </w:tcBorders>
                  <w:vAlign w:val="center"/>
                </w:tcPr>
                <w:p w14:paraId="072E50EE">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eastAsiaTheme="minorEastAsia"/>
                      <w:color w:val="auto"/>
                      <w:sz w:val="21"/>
                      <w:szCs w:val="21"/>
                      <w:u w:val="none" w:color="auto"/>
                    </w:rPr>
                  </w:pPr>
                  <w:r>
                    <w:rPr>
                      <w:rFonts w:hint="eastAsia" w:cs="Times New Roman"/>
                      <w:color w:val="auto"/>
                      <w:sz w:val="21"/>
                      <w:szCs w:val="21"/>
                      <w:u w:val="none" w:color="auto"/>
                      <w:lang w:bidi="ar"/>
                    </w:rPr>
                    <w:t>年平均质量浓度</w:t>
                  </w:r>
                </w:p>
              </w:tc>
              <w:tc>
                <w:tcPr>
                  <w:tcW w:w="1155" w:type="dxa"/>
                  <w:tcBorders>
                    <w:top w:val="single" w:color="auto" w:sz="4" w:space="0"/>
                    <w:left w:val="single" w:color="auto" w:sz="4" w:space="0"/>
                    <w:bottom w:val="single" w:color="auto" w:sz="4" w:space="0"/>
                    <w:right w:val="single" w:color="auto" w:sz="4" w:space="0"/>
                  </w:tcBorders>
                  <w:vAlign w:val="center"/>
                </w:tcPr>
                <w:p w14:paraId="55C87D35">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hint="eastAsia" w:eastAsiaTheme="minorEastAsia"/>
                      <w:color w:val="auto"/>
                      <w:sz w:val="21"/>
                      <w:szCs w:val="21"/>
                      <w:u w:val="none" w:color="auto"/>
                      <w:lang w:eastAsia="zh-CN"/>
                    </w:rPr>
                  </w:pPr>
                  <w:r>
                    <w:rPr>
                      <w:rFonts w:hint="eastAsia" w:cs="Times New Roman"/>
                      <w:color w:val="auto"/>
                      <w:sz w:val="21"/>
                      <w:szCs w:val="21"/>
                      <w:u w:val="none" w:color="auto"/>
                      <w:lang w:val="en-US" w:eastAsia="zh-CN" w:bidi="ar"/>
                    </w:rPr>
                    <w:t>7</w:t>
                  </w:r>
                </w:p>
              </w:tc>
              <w:tc>
                <w:tcPr>
                  <w:tcW w:w="1340" w:type="dxa"/>
                  <w:tcBorders>
                    <w:top w:val="single" w:color="auto" w:sz="4" w:space="0"/>
                    <w:left w:val="single" w:color="auto" w:sz="4" w:space="0"/>
                    <w:bottom w:val="single" w:color="auto" w:sz="4" w:space="0"/>
                    <w:right w:val="single" w:color="auto" w:sz="4" w:space="0"/>
                  </w:tcBorders>
                  <w:vAlign w:val="center"/>
                </w:tcPr>
                <w:p w14:paraId="73F2EE93">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eastAsiaTheme="minorEastAsia"/>
                      <w:color w:val="auto"/>
                      <w:sz w:val="21"/>
                      <w:szCs w:val="21"/>
                      <w:u w:val="none" w:color="auto"/>
                    </w:rPr>
                  </w:pPr>
                  <w:r>
                    <w:rPr>
                      <w:rFonts w:hint="default" w:cs="Times New Roman"/>
                      <w:color w:val="auto"/>
                      <w:sz w:val="21"/>
                      <w:szCs w:val="21"/>
                      <w:u w:val="none" w:color="auto"/>
                      <w:lang w:bidi="ar"/>
                    </w:rPr>
                    <w:t>60</w:t>
                  </w:r>
                </w:p>
              </w:tc>
              <w:tc>
                <w:tcPr>
                  <w:tcW w:w="1112" w:type="dxa"/>
                  <w:tcBorders>
                    <w:top w:val="single" w:color="auto" w:sz="4" w:space="0"/>
                    <w:left w:val="single" w:color="auto" w:sz="4" w:space="0"/>
                    <w:bottom w:val="single" w:color="auto" w:sz="4" w:space="0"/>
                    <w:right w:val="single" w:color="auto" w:sz="4" w:space="0"/>
                  </w:tcBorders>
                  <w:vAlign w:val="center"/>
                </w:tcPr>
                <w:p w14:paraId="6F683113">
                  <w:pPr>
                    <w:pStyle w:val="64"/>
                    <w:keepNext w:val="0"/>
                    <w:keepLines w:val="0"/>
                    <w:widowControl/>
                    <w:suppressLineNumbers w:val="0"/>
                    <w:bidi w:val="0"/>
                    <w:spacing w:before="0" w:beforeAutospacing="0" w:after="0" w:afterAutospacing="0"/>
                    <w:ind w:left="0" w:leftChars="0" w:right="0" w:rightChars="0"/>
                    <w:rPr>
                      <w:rFonts w:hint="default" w:ascii="Times New Roman" w:hAnsi="Times New Roman" w:cs="Times New Roman"/>
                      <w:color w:val="auto"/>
                      <w:sz w:val="21"/>
                      <w:szCs w:val="21"/>
                      <w:u w:val="none" w:color="auto"/>
                    </w:rPr>
                  </w:pPr>
                  <w:r>
                    <w:rPr>
                      <w:rFonts w:hint="default"/>
                      <w:color w:val="auto"/>
                      <w:u w:val="none" w:color="auto"/>
                      <w:lang w:val="en-US" w:eastAsia="zh-CN"/>
                    </w:rPr>
                    <w:t xml:space="preserve">11.67 </w:t>
                  </w:r>
                </w:p>
              </w:tc>
              <w:tc>
                <w:tcPr>
                  <w:tcW w:w="1073" w:type="dxa"/>
                  <w:tcBorders>
                    <w:top w:val="single" w:color="auto" w:sz="4" w:space="0"/>
                    <w:left w:val="single" w:color="auto" w:sz="4" w:space="0"/>
                    <w:bottom w:val="single" w:color="auto" w:sz="4" w:space="0"/>
                    <w:right w:val="single" w:color="auto" w:sz="6" w:space="0"/>
                  </w:tcBorders>
                  <w:vAlign w:val="top"/>
                </w:tcPr>
                <w:p w14:paraId="3A8BE44D">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eastAsiaTheme="minorEastAsia"/>
                      <w:color w:val="auto"/>
                      <w:sz w:val="21"/>
                      <w:szCs w:val="21"/>
                      <w:u w:val="none" w:color="auto"/>
                    </w:rPr>
                  </w:pPr>
                  <w:r>
                    <w:rPr>
                      <w:rFonts w:hint="default" w:cs="Times New Roman"/>
                      <w:color w:val="auto"/>
                      <w:sz w:val="21"/>
                      <w:szCs w:val="21"/>
                      <w:u w:val="none" w:color="auto"/>
                      <w:lang w:bidi="ar"/>
                    </w:rPr>
                    <w:t>达标</w:t>
                  </w:r>
                </w:p>
              </w:tc>
            </w:tr>
            <w:tr w14:paraId="07D73B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1003" w:type="dxa"/>
                  <w:tcBorders>
                    <w:top w:val="single" w:color="auto" w:sz="4" w:space="0"/>
                    <w:left w:val="single" w:color="auto" w:sz="4" w:space="0"/>
                    <w:bottom w:val="single" w:color="auto" w:sz="4" w:space="0"/>
                    <w:right w:val="single" w:color="auto" w:sz="4" w:space="0"/>
                  </w:tcBorders>
                  <w:vAlign w:val="center"/>
                </w:tcPr>
                <w:p w14:paraId="7F68BB8A">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eastAsiaTheme="minorEastAsia"/>
                      <w:color w:val="auto"/>
                      <w:sz w:val="21"/>
                      <w:szCs w:val="21"/>
                      <w:u w:val="none" w:color="auto"/>
                    </w:rPr>
                  </w:pPr>
                  <w:r>
                    <w:rPr>
                      <w:rFonts w:hint="default" w:cs="Times New Roman"/>
                      <w:color w:val="auto"/>
                      <w:sz w:val="21"/>
                      <w:szCs w:val="21"/>
                      <w:u w:val="none" w:color="auto"/>
                      <w:lang w:bidi="ar"/>
                    </w:rPr>
                    <w:t>NO</w:t>
                  </w:r>
                  <w:r>
                    <w:rPr>
                      <w:rFonts w:hint="default" w:cs="Times New Roman"/>
                      <w:color w:val="auto"/>
                      <w:sz w:val="21"/>
                      <w:szCs w:val="21"/>
                      <w:u w:val="none" w:color="auto"/>
                      <w:vertAlign w:val="subscript"/>
                      <w:lang w:bidi="ar"/>
                    </w:rPr>
                    <w:t>2</w:t>
                  </w:r>
                </w:p>
              </w:tc>
              <w:tc>
                <w:tcPr>
                  <w:tcW w:w="3057" w:type="dxa"/>
                  <w:tcBorders>
                    <w:top w:val="single" w:color="auto" w:sz="4" w:space="0"/>
                    <w:left w:val="single" w:color="auto" w:sz="4" w:space="0"/>
                    <w:bottom w:val="single" w:color="auto" w:sz="4" w:space="0"/>
                    <w:right w:val="single" w:color="auto" w:sz="4" w:space="0"/>
                  </w:tcBorders>
                  <w:vAlign w:val="center"/>
                </w:tcPr>
                <w:p w14:paraId="626F6624">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eastAsiaTheme="minorEastAsia"/>
                      <w:color w:val="auto"/>
                      <w:sz w:val="21"/>
                      <w:szCs w:val="21"/>
                      <w:u w:val="none" w:color="auto"/>
                    </w:rPr>
                  </w:pPr>
                  <w:r>
                    <w:rPr>
                      <w:rFonts w:hint="default" w:cs="Times New Roman"/>
                      <w:color w:val="auto"/>
                      <w:sz w:val="21"/>
                      <w:szCs w:val="21"/>
                      <w:u w:val="none" w:color="auto"/>
                      <w:lang w:bidi="ar"/>
                    </w:rPr>
                    <w:t>年平均质量浓度</w:t>
                  </w:r>
                </w:p>
              </w:tc>
              <w:tc>
                <w:tcPr>
                  <w:tcW w:w="1155" w:type="dxa"/>
                  <w:tcBorders>
                    <w:top w:val="single" w:color="auto" w:sz="4" w:space="0"/>
                    <w:left w:val="single" w:color="auto" w:sz="4" w:space="0"/>
                    <w:bottom w:val="single" w:color="auto" w:sz="4" w:space="0"/>
                    <w:right w:val="single" w:color="auto" w:sz="4" w:space="0"/>
                  </w:tcBorders>
                  <w:vAlign w:val="center"/>
                </w:tcPr>
                <w:p w14:paraId="6614DCD2">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hint="default" w:eastAsiaTheme="minorEastAsia"/>
                      <w:color w:val="auto"/>
                      <w:sz w:val="21"/>
                      <w:szCs w:val="21"/>
                      <w:u w:val="none" w:color="auto"/>
                      <w:lang w:val="en-US" w:eastAsia="zh-CN"/>
                    </w:rPr>
                  </w:pPr>
                  <w:r>
                    <w:rPr>
                      <w:rFonts w:hint="eastAsia" w:cs="Times New Roman"/>
                      <w:color w:val="auto"/>
                      <w:sz w:val="21"/>
                      <w:szCs w:val="21"/>
                      <w:u w:val="none" w:color="auto"/>
                      <w:lang w:val="en-US" w:eastAsia="zh-CN" w:bidi="ar"/>
                    </w:rPr>
                    <w:t>20</w:t>
                  </w:r>
                </w:p>
              </w:tc>
              <w:tc>
                <w:tcPr>
                  <w:tcW w:w="1340" w:type="dxa"/>
                  <w:tcBorders>
                    <w:top w:val="single" w:color="auto" w:sz="4" w:space="0"/>
                    <w:left w:val="single" w:color="auto" w:sz="4" w:space="0"/>
                    <w:bottom w:val="single" w:color="auto" w:sz="4" w:space="0"/>
                    <w:right w:val="single" w:color="auto" w:sz="4" w:space="0"/>
                  </w:tcBorders>
                  <w:vAlign w:val="center"/>
                </w:tcPr>
                <w:p w14:paraId="30B025D5">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eastAsiaTheme="minorEastAsia"/>
                      <w:color w:val="auto"/>
                      <w:sz w:val="21"/>
                      <w:szCs w:val="21"/>
                      <w:u w:val="none" w:color="auto"/>
                    </w:rPr>
                  </w:pPr>
                  <w:r>
                    <w:rPr>
                      <w:rFonts w:hint="default" w:cs="Times New Roman"/>
                      <w:color w:val="auto"/>
                      <w:sz w:val="21"/>
                      <w:szCs w:val="21"/>
                      <w:u w:val="none" w:color="auto"/>
                      <w:lang w:bidi="ar"/>
                    </w:rPr>
                    <w:t>40</w:t>
                  </w:r>
                </w:p>
              </w:tc>
              <w:tc>
                <w:tcPr>
                  <w:tcW w:w="1112" w:type="dxa"/>
                  <w:tcBorders>
                    <w:top w:val="single" w:color="auto" w:sz="4" w:space="0"/>
                    <w:left w:val="single" w:color="auto" w:sz="4" w:space="0"/>
                    <w:bottom w:val="single" w:color="auto" w:sz="4" w:space="0"/>
                    <w:right w:val="single" w:color="auto" w:sz="4" w:space="0"/>
                  </w:tcBorders>
                  <w:vAlign w:val="center"/>
                </w:tcPr>
                <w:p w14:paraId="2107366F">
                  <w:pPr>
                    <w:pStyle w:val="64"/>
                    <w:keepNext w:val="0"/>
                    <w:keepLines w:val="0"/>
                    <w:widowControl/>
                    <w:suppressLineNumbers w:val="0"/>
                    <w:bidi w:val="0"/>
                    <w:spacing w:before="0" w:beforeAutospacing="0" w:after="0" w:afterAutospacing="0"/>
                    <w:ind w:left="0" w:leftChars="0" w:right="0" w:rightChars="0"/>
                    <w:rPr>
                      <w:rFonts w:hint="default" w:ascii="Times New Roman" w:hAnsi="Times New Roman" w:cs="Times New Roman"/>
                      <w:color w:val="auto"/>
                      <w:sz w:val="21"/>
                      <w:szCs w:val="21"/>
                      <w:u w:val="none" w:color="auto"/>
                    </w:rPr>
                  </w:pPr>
                  <w:r>
                    <w:rPr>
                      <w:rFonts w:hint="default"/>
                      <w:color w:val="auto"/>
                      <w:u w:val="none" w:color="auto"/>
                      <w:lang w:val="en-US" w:eastAsia="zh-CN"/>
                    </w:rPr>
                    <w:t xml:space="preserve">50.00 </w:t>
                  </w:r>
                </w:p>
              </w:tc>
              <w:tc>
                <w:tcPr>
                  <w:tcW w:w="1073" w:type="dxa"/>
                  <w:tcBorders>
                    <w:top w:val="single" w:color="auto" w:sz="4" w:space="0"/>
                    <w:left w:val="single" w:color="auto" w:sz="4" w:space="0"/>
                    <w:bottom w:val="single" w:color="auto" w:sz="4" w:space="0"/>
                    <w:right w:val="single" w:color="auto" w:sz="6" w:space="0"/>
                  </w:tcBorders>
                  <w:vAlign w:val="top"/>
                </w:tcPr>
                <w:p w14:paraId="053C4B1B">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eastAsiaTheme="minorEastAsia"/>
                      <w:color w:val="auto"/>
                      <w:sz w:val="21"/>
                      <w:szCs w:val="21"/>
                      <w:u w:val="none" w:color="auto"/>
                    </w:rPr>
                  </w:pPr>
                  <w:r>
                    <w:rPr>
                      <w:rFonts w:hint="default" w:cs="Times New Roman"/>
                      <w:color w:val="auto"/>
                      <w:sz w:val="21"/>
                      <w:szCs w:val="21"/>
                      <w:u w:val="none" w:color="auto"/>
                      <w:lang w:bidi="ar"/>
                    </w:rPr>
                    <w:t>达标</w:t>
                  </w:r>
                </w:p>
              </w:tc>
            </w:tr>
            <w:tr w14:paraId="29BE6C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1003" w:type="dxa"/>
                  <w:tcBorders>
                    <w:top w:val="single" w:color="auto" w:sz="4" w:space="0"/>
                    <w:left w:val="single" w:color="auto" w:sz="4" w:space="0"/>
                    <w:bottom w:val="single" w:color="auto" w:sz="4" w:space="0"/>
                    <w:right w:val="single" w:color="auto" w:sz="4" w:space="0"/>
                  </w:tcBorders>
                  <w:vAlign w:val="center"/>
                </w:tcPr>
                <w:p w14:paraId="16491BBF">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eastAsiaTheme="minorEastAsia"/>
                      <w:color w:val="auto"/>
                      <w:sz w:val="21"/>
                      <w:szCs w:val="21"/>
                      <w:u w:val="none" w:color="auto"/>
                    </w:rPr>
                  </w:pPr>
                  <w:r>
                    <w:rPr>
                      <w:rFonts w:hint="default" w:cs="Times New Roman"/>
                      <w:color w:val="auto"/>
                      <w:sz w:val="21"/>
                      <w:szCs w:val="21"/>
                      <w:u w:val="none" w:color="auto"/>
                      <w:lang w:bidi="ar"/>
                    </w:rPr>
                    <w:t>CO</w:t>
                  </w:r>
                </w:p>
              </w:tc>
              <w:tc>
                <w:tcPr>
                  <w:tcW w:w="3057" w:type="dxa"/>
                  <w:tcBorders>
                    <w:top w:val="single" w:color="auto" w:sz="4" w:space="0"/>
                    <w:left w:val="single" w:color="auto" w:sz="4" w:space="0"/>
                    <w:bottom w:val="single" w:color="auto" w:sz="4" w:space="0"/>
                    <w:right w:val="single" w:color="auto" w:sz="4" w:space="0"/>
                  </w:tcBorders>
                  <w:vAlign w:val="center"/>
                </w:tcPr>
                <w:p w14:paraId="525A8B9E">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hint="eastAsia" w:eastAsiaTheme="minorEastAsia"/>
                      <w:color w:val="auto"/>
                      <w:sz w:val="21"/>
                      <w:szCs w:val="21"/>
                      <w:u w:val="none" w:color="auto"/>
                      <w:lang w:eastAsia="zh-CN"/>
                    </w:rPr>
                  </w:pPr>
                  <w:r>
                    <w:rPr>
                      <w:rFonts w:hint="eastAsia" w:cs="Times New Roman"/>
                      <w:color w:val="auto"/>
                      <w:sz w:val="21"/>
                      <w:szCs w:val="21"/>
                      <w:u w:val="none" w:color="auto"/>
                      <w:lang w:bidi="ar"/>
                    </w:rPr>
                    <w:t>第95百分位数日平均质量浓度</w:t>
                  </w:r>
                </w:p>
              </w:tc>
              <w:tc>
                <w:tcPr>
                  <w:tcW w:w="1155" w:type="dxa"/>
                  <w:tcBorders>
                    <w:top w:val="single" w:color="auto" w:sz="4" w:space="0"/>
                    <w:left w:val="single" w:color="auto" w:sz="4" w:space="0"/>
                    <w:bottom w:val="single" w:color="auto" w:sz="4" w:space="0"/>
                    <w:right w:val="single" w:color="auto" w:sz="4" w:space="0"/>
                  </w:tcBorders>
                  <w:vAlign w:val="center"/>
                </w:tcPr>
                <w:p w14:paraId="1C0BE1D2">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hint="default" w:eastAsiaTheme="minorEastAsia"/>
                      <w:color w:val="auto"/>
                      <w:sz w:val="21"/>
                      <w:szCs w:val="21"/>
                      <w:u w:val="none" w:color="auto"/>
                      <w:lang w:val="en-US" w:eastAsia="zh-CN"/>
                    </w:rPr>
                  </w:pPr>
                  <w:r>
                    <w:rPr>
                      <w:rFonts w:hint="eastAsia" w:cs="Times New Roman"/>
                      <w:color w:val="auto"/>
                      <w:sz w:val="21"/>
                      <w:szCs w:val="21"/>
                      <w:u w:val="none" w:color="auto"/>
                    </w:rPr>
                    <w:t>1.</w:t>
                  </w:r>
                  <w:r>
                    <w:rPr>
                      <w:rFonts w:hint="eastAsia" w:cs="Times New Roman"/>
                      <w:color w:val="auto"/>
                      <w:sz w:val="21"/>
                      <w:szCs w:val="21"/>
                      <w:u w:val="none" w:color="auto"/>
                      <w:lang w:val="en-US" w:eastAsia="zh-CN"/>
                    </w:rPr>
                    <w:t>0</w:t>
                  </w:r>
                </w:p>
              </w:tc>
              <w:tc>
                <w:tcPr>
                  <w:tcW w:w="1340" w:type="dxa"/>
                  <w:tcBorders>
                    <w:top w:val="single" w:color="auto" w:sz="4" w:space="0"/>
                    <w:left w:val="single" w:color="auto" w:sz="4" w:space="0"/>
                    <w:bottom w:val="single" w:color="auto" w:sz="4" w:space="0"/>
                    <w:right w:val="single" w:color="auto" w:sz="4" w:space="0"/>
                  </w:tcBorders>
                  <w:vAlign w:val="center"/>
                </w:tcPr>
                <w:p w14:paraId="5BB25931">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eastAsiaTheme="minorEastAsia"/>
                      <w:color w:val="auto"/>
                      <w:sz w:val="21"/>
                      <w:szCs w:val="21"/>
                      <w:u w:val="none" w:color="auto"/>
                    </w:rPr>
                  </w:pPr>
                  <w:r>
                    <w:rPr>
                      <w:rFonts w:hint="default" w:cs="Times New Roman"/>
                      <w:color w:val="auto"/>
                      <w:sz w:val="21"/>
                      <w:szCs w:val="21"/>
                      <w:u w:val="none" w:color="auto"/>
                      <w:lang w:bidi="ar"/>
                    </w:rPr>
                    <w:t>4</w:t>
                  </w:r>
                </w:p>
              </w:tc>
              <w:tc>
                <w:tcPr>
                  <w:tcW w:w="1112" w:type="dxa"/>
                  <w:tcBorders>
                    <w:top w:val="single" w:color="auto" w:sz="4" w:space="0"/>
                    <w:left w:val="single" w:color="auto" w:sz="4" w:space="0"/>
                    <w:bottom w:val="single" w:color="auto" w:sz="4" w:space="0"/>
                    <w:right w:val="single" w:color="auto" w:sz="4" w:space="0"/>
                  </w:tcBorders>
                  <w:vAlign w:val="center"/>
                </w:tcPr>
                <w:p w14:paraId="00305902">
                  <w:pPr>
                    <w:pStyle w:val="64"/>
                    <w:keepNext w:val="0"/>
                    <w:keepLines w:val="0"/>
                    <w:widowControl/>
                    <w:suppressLineNumbers w:val="0"/>
                    <w:bidi w:val="0"/>
                    <w:spacing w:before="0" w:beforeAutospacing="0" w:after="0" w:afterAutospacing="0"/>
                    <w:ind w:left="0" w:leftChars="0" w:right="0" w:rightChars="0"/>
                    <w:rPr>
                      <w:rFonts w:hint="default" w:ascii="Times New Roman" w:hAnsi="Times New Roman" w:cs="Times New Roman"/>
                      <w:color w:val="auto"/>
                      <w:sz w:val="21"/>
                      <w:szCs w:val="21"/>
                      <w:u w:val="none" w:color="auto"/>
                    </w:rPr>
                  </w:pPr>
                  <w:r>
                    <w:rPr>
                      <w:rFonts w:hint="default"/>
                      <w:color w:val="auto"/>
                      <w:u w:val="none" w:color="auto"/>
                      <w:lang w:val="en-US" w:eastAsia="zh-CN"/>
                    </w:rPr>
                    <w:t xml:space="preserve">25.00 </w:t>
                  </w:r>
                </w:p>
              </w:tc>
              <w:tc>
                <w:tcPr>
                  <w:tcW w:w="1073" w:type="dxa"/>
                  <w:tcBorders>
                    <w:top w:val="single" w:color="auto" w:sz="4" w:space="0"/>
                    <w:left w:val="single" w:color="auto" w:sz="4" w:space="0"/>
                    <w:bottom w:val="single" w:color="auto" w:sz="4" w:space="0"/>
                    <w:right w:val="single" w:color="auto" w:sz="6" w:space="0"/>
                  </w:tcBorders>
                  <w:vAlign w:val="top"/>
                </w:tcPr>
                <w:p w14:paraId="22DBCC78">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eastAsiaTheme="minorEastAsia"/>
                      <w:color w:val="auto"/>
                      <w:sz w:val="21"/>
                      <w:szCs w:val="21"/>
                      <w:u w:val="none" w:color="auto"/>
                    </w:rPr>
                  </w:pPr>
                  <w:r>
                    <w:rPr>
                      <w:rFonts w:hint="default" w:cs="Times New Roman"/>
                      <w:color w:val="auto"/>
                      <w:sz w:val="21"/>
                      <w:szCs w:val="21"/>
                      <w:u w:val="none" w:color="auto"/>
                      <w:lang w:bidi="ar"/>
                    </w:rPr>
                    <w:t>达标</w:t>
                  </w:r>
                </w:p>
              </w:tc>
            </w:tr>
            <w:tr w14:paraId="0FB6E5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1003" w:type="dxa"/>
                  <w:tcBorders>
                    <w:top w:val="single" w:color="auto" w:sz="4" w:space="0"/>
                    <w:left w:val="single" w:color="auto" w:sz="4" w:space="0"/>
                    <w:bottom w:val="single" w:color="auto" w:sz="4" w:space="0"/>
                    <w:right w:val="single" w:color="auto" w:sz="4" w:space="0"/>
                  </w:tcBorders>
                  <w:vAlign w:val="center"/>
                </w:tcPr>
                <w:p w14:paraId="5403353B">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eastAsiaTheme="minorEastAsia"/>
                      <w:color w:val="auto"/>
                      <w:sz w:val="21"/>
                      <w:szCs w:val="21"/>
                      <w:u w:val="none" w:color="auto"/>
                    </w:rPr>
                  </w:pPr>
                  <w:r>
                    <w:rPr>
                      <w:rFonts w:hint="default" w:cs="Times New Roman"/>
                      <w:color w:val="auto"/>
                      <w:sz w:val="21"/>
                      <w:szCs w:val="21"/>
                      <w:u w:val="none" w:color="auto"/>
                      <w:lang w:bidi="ar"/>
                    </w:rPr>
                    <w:t>O</w:t>
                  </w:r>
                  <w:r>
                    <w:rPr>
                      <w:rFonts w:hint="default" w:cs="Times New Roman"/>
                      <w:color w:val="auto"/>
                      <w:sz w:val="21"/>
                      <w:szCs w:val="21"/>
                      <w:u w:val="none" w:color="auto"/>
                      <w:vertAlign w:val="subscript"/>
                      <w:lang w:bidi="ar"/>
                    </w:rPr>
                    <w:t>3</w:t>
                  </w:r>
                </w:p>
              </w:tc>
              <w:tc>
                <w:tcPr>
                  <w:tcW w:w="3057" w:type="dxa"/>
                  <w:tcBorders>
                    <w:top w:val="single" w:color="auto" w:sz="4" w:space="0"/>
                    <w:left w:val="single" w:color="auto" w:sz="4" w:space="0"/>
                    <w:bottom w:val="single" w:color="auto" w:sz="4" w:space="0"/>
                    <w:right w:val="single" w:color="auto" w:sz="4" w:space="0"/>
                  </w:tcBorders>
                  <w:vAlign w:val="center"/>
                </w:tcPr>
                <w:p w14:paraId="15024F60">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eastAsiaTheme="minorEastAsia"/>
                      <w:color w:val="auto"/>
                      <w:sz w:val="21"/>
                      <w:szCs w:val="21"/>
                      <w:u w:val="none" w:color="auto"/>
                    </w:rPr>
                  </w:pPr>
                  <w:r>
                    <w:rPr>
                      <w:rFonts w:hint="eastAsia" w:cs="Times New Roman"/>
                      <w:color w:val="auto"/>
                      <w:sz w:val="21"/>
                      <w:szCs w:val="21"/>
                      <w:u w:val="none" w:color="auto"/>
                      <w:lang w:bidi="ar"/>
                    </w:rPr>
                    <w:t>第90百分位数8h平均质量浓度</w:t>
                  </w:r>
                </w:p>
              </w:tc>
              <w:tc>
                <w:tcPr>
                  <w:tcW w:w="1155" w:type="dxa"/>
                  <w:tcBorders>
                    <w:top w:val="single" w:color="auto" w:sz="4" w:space="0"/>
                    <w:left w:val="single" w:color="auto" w:sz="4" w:space="0"/>
                    <w:bottom w:val="single" w:color="auto" w:sz="4" w:space="0"/>
                    <w:right w:val="single" w:color="auto" w:sz="4" w:space="0"/>
                  </w:tcBorders>
                  <w:vAlign w:val="center"/>
                </w:tcPr>
                <w:p w14:paraId="64C46FFE">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hint="default" w:eastAsiaTheme="minorEastAsia"/>
                      <w:color w:val="auto"/>
                      <w:sz w:val="21"/>
                      <w:szCs w:val="21"/>
                      <w:u w:val="none" w:color="auto"/>
                      <w:lang w:val="en-US" w:eastAsia="zh-CN"/>
                    </w:rPr>
                  </w:pPr>
                  <w:r>
                    <w:rPr>
                      <w:rFonts w:hint="default" w:cs="Times New Roman"/>
                      <w:color w:val="auto"/>
                      <w:sz w:val="21"/>
                      <w:szCs w:val="21"/>
                      <w:u w:val="none" w:color="auto"/>
                      <w:lang w:bidi="ar"/>
                    </w:rPr>
                    <w:t>1</w:t>
                  </w:r>
                  <w:r>
                    <w:rPr>
                      <w:rFonts w:hint="eastAsia" w:cs="Times New Roman"/>
                      <w:color w:val="auto"/>
                      <w:sz w:val="21"/>
                      <w:szCs w:val="21"/>
                      <w:u w:val="none" w:color="auto"/>
                      <w:lang w:val="en-US" w:eastAsia="zh-CN" w:bidi="ar"/>
                    </w:rPr>
                    <w:t>34</w:t>
                  </w:r>
                </w:p>
              </w:tc>
              <w:tc>
                <w:tcPr>
                  <w:tcW w:w="1340" w:type="dxa"/>
                  <w:tcBorders>
                    <w:top w:val="single" w:color="auto" w:sz="4" w:space="0"/>
                    <w:left w:val="single" w:color="auto" w:sz="4" w:space="0"/>
                    <w:bottom w:val="single" w:color="auto" w:sz="4" w:space="0"/>
                    <w:right w:val="single" w:color="auto" w:sz="4" w:space="0"/>
                  </w:tcBorders>
                  <w:vAlign w:val="center"/>
                </w:tcPr>
                <w:p w14:paraId="5D0B8159">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eastAsiaTheme="minorEastAsia"/>
                      <w:color w:val="auto"/>
                      <w:sz w:val="21"/>
                      <w:szCs w:val="21"/>
                      <w:u w:val="none" w:color="auto"/>
                    </w:rPr>
                  </w:pPr>
                  <w:r>
                    <w:rPr>
                      <w:rFonts w:hint="default" w:cs="Times New Roman"/>
                      <w:color w:val="auto"/>
                      <w:sz w:val="21"/>
                      <w:szCs w:val="21"/>
                      <w:u w:val="none" w:color="auto"/>
                      <w:lang w:bidi="ar"/>
                    </w:rPr>
                    <w:t>160</w:t>
                  </w:r>
                </w:p>
              </w:tc>
              <w:tc>
                <w:tcPr>
                  <w:tcW w:w="1112" w:type="dxa"/>
                  <w:tcBorders>
                    <w:top w:val="single" w:color="auto" w:sz="4" w:space="0"/>
                    <w:left w:val="single" w:color="auto" w:sz="4" w:space="0"/>
                    <w:bottom w:val="single" w:color="auto" w:sz="4" w:space="0"/>
                    <w:right w:val="single" w:color="auto" w:sz="4" w:space="0"/>
                  </w:tcBorders>
                  <w:vAlign w:val="center"/>
                </w:tcPr>
                <w:p w14:paraId="2E02F7D6">
                  <w:pPr>
                    <w:pStyle w:val="64"/>
                    <w:keepNext w:val="0"/>
                    <w:keepLines w:val="0"/>
                    <w:widowControl/>
                    <w:suppressLineNumbers w:val="0"/>
                    <w:bidi w:val="0"/>
                    <w:spacing w:before="0" w:beforeAutospacing="0" w:after="0" w:afterAutospacing="0"/>
                    <w:ind w:left="0" w:leftChars="0" w:right="0" w:rightChars="0"/>
                    <w:rPr>
                      <w:rFonts w:hint="default" w:ascii="Times New Roman" w:hAnsi="Times New Roman" w:cs="Times New Roman"/>
                      <w:color w:val="auto"/>
                      <w:sz w:val="21"/>
                      <w:szCs w:val="21"/>
                      <w:u w:val="none" w:color="auto"/>
                    </w:rPr>
                  </w:pPr>
                  <w:r>
                    <w:rPr>
                      <w:rFonts w:hint="default"/>
                      <w:color w:val="auto"/>
                      <w:u w:val="none" w:color="auto"/>
                      <w:lang w:val="en-US" w:eastAsia="zh-CN"/>
                    </w:rPr>
                    <w:t xml:space="preserve">83.75 </w:t>
                  </w:r>
                </w:p>
              </w:tc>
              <w:tc>
                <w:tcPr>
                  <w:tcW w:w="1073" w:type="dxa"/>
                  <w:tcBorders>
                    <w:top w:val="single" w:color="auto" w:sz="4" w:space="0"/>
                    <w:left w:val="single" w:color="auto" w:sz="4" w:space="0"/>
                    <w:bottom w:val="single" w:color="auto" w:sz="4" w:space="0"/>
                    <w:right w:val="single" w:color="auto" w:sz="6" w:space="0"/>
                  </w:tcBorders>
                  <w:vAlign w:val="top"/>
                </w:tcPr>
                <w:p w14:paraId="7B3F5E63">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eastAsiaTheme="minorEastAsia"/>
                      <w:color w:val="auto"/>
                      <w:sz w:val="21"/>
                      <w:szCs w:val="21"/>
                      <w:u w:val="none" w:color="auto"/>
                    </w:rPr>
                  </w:pPr>
                  <w:r>
                    <w:rPr>
                      <w:rFonts w:hint="default" w:cs="Times New Roman"/>
                      <w:color w:val="auto"/>
                      <w:sz w:val="21"/>
                      <w:szCs w:val="21"/>
                      <w:u w:val="none" w:color="auto"/>
                      <w:lang w:bidi="ar"/>
                    </w:rPr>
                    <w:t>达标</w:t>
                  </w:r>
                </w:p>
              </w:tc>
            </w:tr>
            <w:tr w14:paraId="249B23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1003" w:type="dxa"/>
                  <w:tcBorders>
                    <w:top w:val="single" w:color="auto" w:sz="4" w:space="0"/>
                    <w:left w:val="single" w:color="auto" w:sz="4" w:space="0"/>
                    <w:bottom w:val="single" w:color="auto" w:sz="4" w:space="0"/>
                    <w:right w:val="single" w:color="auto" w:sz="4" w:space="0"/>
                  </w:tcBorders>
                  <w:vAlign w:val="center"/>
                </w:tcPr>
                <w:p w14:paraId="7A32646A">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eastAsiaTheme="minorEastAsia"/>
                      <w:color w:val="auto"/>
                      <w:sz w:val="21"/>
                      <w:szCs w:val="21"/>
                      <w:u w:val="none" w:color="auto"/>
                    </w:rPr>
                  </w:pPr>
                  <w:r>
                    <w:rPr>
                      <w:rFonts w:hint="default" w:cs="Times New Roman"/>
                      <w:color w:val="auto"/>
                      <w:sz w:val="21"/>
                      <w:szCs w:val="21"/>
                      <w:u w:val="none" w:color="auto"/>
                      <w:lang w:bidi="ar"/>
                    </w:rPr>
                    <w:t>PM</w:t>
                  </w:r>
                  <w:r>
                    <w:rPr>
                      <w:rFonts w:hint="default" w:cs="Times New Roman"/>
                      <w:color w:val="auto"/>
                      <w:sz w:val="21"/>
                      <w:szCs w:val="21"/>
                      <w:u w:val="none" w:color="auto"/>
                      <w:vertAlign w:val="subscript"/>
                      <w:lang w:bidi="ar"/>
                    </w:rPr>
                    <w:t>10</w:t>
                  </w:r>
                </w:p>
              </w:tc>
              <w:tc>
                <w:tcPr>
                  <w:tcW w:w="3057" w:type="dxa"/>
                  <w:tcBorders>
                    <w:top w:val="single" w:color="auto" w:sz="4" w:space="0"/>
                    <w:left w:val="single" w:color="auto" w:sz="4" w:space="0"/>
                    <w:bottom w:val="single" w:color="auto" w:sz="4" w:space="0"/>
                    <w:right w:val="single" w:color="auto" w:sz="4" w:space="0"/>
                  </w:tcBorders>
                  <w:vAlign w:val="center"/>
                </w:tcPr>
                <w:p w14:paraId="55D85F0C">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eastAsiaTheme="minorEastAsia"/>
                      <w:color w:val="auto"/>
                      <w:sz w:val="21"/>
                      <w:szCs w:val="21"/>
                      <w:u w:val="none" w:color="auto"/>
                    </w:rPr>
                  </w:pPr>
                  <w:r>
                    <w:rPr>
                      <w:rFonts w:hint="default" w:cs="Times New Roman"/>
                      <w:color w:val="auto"/>
                      <w:sz w:val="21"/>
                      <w:szCs w:val="21"/>
                      <w:u w:val="none" w:color="auto"/>
                      <w:lang w:bidi="ar"/>
                    </w:rPr>
                    <w:t>年平均质量浓度</w:t>
                  </w:r>
                </w:p>
              </w:tc>
              <w:tc>
                <w:tcPr>
                  <w:tcW w:w="1155" w:type="dxa"/>
                  <w:tcBorders>
                    <w:top w:val="single" w:color="auto" w:sz="4" w:space="0"/>
                    <w:left w:val="single" w:color="auto" w:sz="4" w:space="0"/>
                    <w:bottom w:val="single" w:color="auto" w:sz="4" w:space="0"/>
                    <w:right w:val="single" w:color="auto" w:sz="4" w:space="0"/>
                  </w:tcBorders>
                  <w:vAlign w:val="center"/>
                </w:tcPr>
                <w:p w14:paraId="4BA64538">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hint="default" w:eastAsiaTheme="minorEastAsia"/>
                      <w:color w:val="auto"/>
                      <w:sz w:val="21"/>
                      <w:szCs w:val="21"/>
                      <w:u w:val="none" w:color="auto"/>
                      <w:lang w:val="en-US" w:eastAsia="zh-CN"/>
                    </w:rPr>
                  </w:pPr>
                  <w:r>
                    <w:rPr>
                      <w:rFonts w:hint="eastAsia" w:cs="Times New Roman"/>
                      <w:color w:val="auto"/>
                      <w:sz w:val="21"/>
                      <w:szCs w:val="21"/>
                      <w:u w:val="none" w:color="auto"/>
                      <w:lang w:val="en-US" w:eastAsia="zh-CN" w:bidi="ar"/>
                    </w:rPr>
                    <w:t>40</w:t>
                  </w:r>
                </w:p>
              </w:tc>
              <w:tc>
                <w:tcPr>
                  <w:tcW w:w="1340" w:type="dxa"/>
                  <w:tcBorders>
                    <w:top w:val="single" w:color="auto" w:sz="4" w:space="0"/>
                    <w:left w:val="single" w:color="auto" w:sz="4" w:space="0"/>
                    <w:bottom w:val="single" w:color="auto" w:sz="4" w:space="0"/>
                    <w:right w:val="single" w:color="auto" w:sz="4" w:space="0"/>
                  </w:tcBorders>
                  <w:vAlign w:val="center"/>
                </w:tcPr>
                <w:p w14:paraId="4C0D8870">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eastAsiaTheme="minorEastAsia"/>
                      <w:color w:val="auto"/>
                      <w:sz w:val="21"/>
                      <w:szCs w:val="21"/>
                      <w:u w:val="none" w:color="auto"/>
                    </w:rPr>
                  </w:pPr>
                  <w:r>
                    <w:rPr>
                      <w:rFonts w:hint="default" w:cs="Times New Roman"/>
                      <w:color w:val="auto"/>
                      <w:sz w:val="21"/>
                      <w:szCs w:val="21"/>
                      <w:u w:val="none" w:color="auto"/>
                      <w:lang w:bidi="ar"/>
                    </w:rPr>
                    <w:t>70</w:t>
                  </w:r>
                </w:p>
              </w:tc>
              <w:tc>
                <w:tcPr>
                  <w:tcW w:w="1112" w:type="dxa"/>
                  <w:tcBorders>
                    <w:top w:val="single" w:color="auto" w:sz="4" w:space="0"/>
                    <w:left w:val="single" w:color="auto" w:sz="4" w:space="0"/>
                    <w:bottom w:val="single" w:color="auto" w:sz="4" w:space="0"/>
                    <w:right w:val="single" w:color="auto" w:sz="4" w:space="0"/>
                  </w:tcBorders>
                  <w:vAlign w:val="center"/>
                </w:tcPr>
                <w:p w14:paraId="730F6296">
                  <w:pPr>
                    <w:pStyle w:val="64"/>
                    <w:keepNext w:val="0"/>
                    <w:keepLines w:val="0"/>
                    <w:widowControl/>
                    <w:suppressLineNumbers w:val="0"/>
                    <w:bidi w:val="0"/>
                    <w:spacing w:before="0" w:beforeAutospacing="0" w:after="0" w:afterAutospacing="0"/>
                    <w:ind w:left="0" w:leftChars="0" w:right="0" w:rightChars="0"/>
                    <w:rPr>
                      <w:rFonts w:hint="default" w:ascii="Times New Roman" w:hAnsi="Times New Roman" w:cs="Times New Roman"/>
                      <w:color w:val="auto"/>
                      <w:sz w:val="21"/>
                      <w:szCs w:val="21"/>
                      <w:u w:val="none" w:color="auto"/>
                    </w:rPr>
                  </w:pPr>
                  <w:r>
                    <w:rPr>
                      <w:rFonts w:hint="default"/>
                      <w:color w:val="auto"/>
                      <w:u w:val="none" w:color="auto"/>
                      <w:lang w:val="en-US" w:eastAsia="zh-CN"/>
                    </w:rPr>
                    <w:t xml:space="preserve">57.14 </w:t>
                  </w:r>
                </w:p>
              </w:tc>
              <w:tc>
                <w:tcPr>
                  <w:tcW w:w="1073" w:type="dxa"/>
                  <w:tcBorders>
                    <w:top w:val="single" w:color="auto" w:sz="4" w:space="0"/>
                    <w:left w:val="single" w:color="auto" w:sz="4" w:space="0"/>
                    <w:bottom w:val="single" w:color="auto" w:sz="4" w:space="0"/>
                    <w:right w:val="single" w:color="auto" w:sz="6" w:space="0"/>
                  </w:tcBorders>
                  <w:vAlign w:val="top"/>
                </w:tcPr>
                <w:p w14:paraId="62E69FF9">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eastAsiaTheme="minorEastAsia"/>
                      <w:color w:val="auto"/>
                      <w:sz w:val="21"/>
                      <w:szCs w:val="21"/>
                      <w:u w:val="none" w:color="auto"/>
                    </w:rPr>
                  </w:pPr>
                  <w:r>
                    <w:rPr>
                      <w:rFonts w:hint="default" w:cs="Times New Roman"/>
                      <w:color w:val="auto"/>
                      <w:sz w:val="21"/>
                      <w:szCs w:val="21"/>
                      <w:u w:val="none" w:color="auto"/>
                      <w:lang w:bidi="ar"/>
                    </w:rPr>
                    <w:t>达标</w:t>
                  </w:r>
                </w:p>
              </w:tc>
            </w:tr>
            <w:tr w14:paraId="6D5351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1003" w:type="dxa"/>
                  <w:tcBorders>
                    <w:top w:val="single" w:color="auto" w:sz="4" w:space="0"/>
                    <w:left w:val="single" w:color="auto" w:sz="4" w:space="0"/>
                    <w:bottom w:val="single" w:color="auto" w:sz="4" w:space="0"/>
                    <w:right w:val="single" w:color="auto" w:sz="4" w:space="0"/>
                  </w:tcBorders>
                  <w:vAlign w:val="center"/>
                </w:tcPr>
                <w:p w14:paraId="168BD76E">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eastAsiaTheme="minorEastAsia"/>
                      <w:color w:val="auto"/>
                      <w:sz w:val="21"/>
                      <w:szCs w:val="21"/>
                      <w:u w:val="none" w:color="auto"/>
                    </w:rPr>
                  </w:pPr>
                  <w:r>
                    <w:rPr>
                      <w:rFonts w:hint="default" w:cs="Times New Roman"/>
                      <w:color w:val="auto"/>
                      <w:sz w:val="21"/>
                      <w:szCs w:val="21"/>
                      <w:u w:val="none" w:color="auto"/>
                      <w:lang w:bidi="ar"/>
                    </w:rPr>
                    <w:t>PM</w:t>
                  </w:r>
                  <w:r>
                    <w:rPr>
                      <w:rFonts w:hint="default" w:cs="Times New Roman"/>
                      <w:color w:val="auto"/>
                      <w:sz w:val="21"/>
                      <w:szCs w:val="21"/>
                      <w:u w:val="none" w:color="auto"/>
                      <w:vertAlign w:val="subscript"/>
                      <w:lang w:bidi="ar"/>
                    </w:rPr>
                    <w:t>2.5</w:t>
                  </w:r>
                </w:p>
              </w:tc>
              <w:tc>
                <w:tcPr>
                  <w:tcW w:w="3057" w:type="dxa"/>
                  <w:tcBorders>
                    <w:top w:val="single" w:color="auto" w:sz="4" w:space="0"/>
                    <w:left w:val="single" w:color="auto" w:sz="4" w:space="0"/>
                    <w:bottom w:val="single" w:color="auto" w:sz="4" w:space="0"/>
                    <w:right w:val="single" w:color="auto" w:sz="4" w:space="0"/>
                  </w:tcBorders>
                  <w:vAlign w:val="center"/>
                </w:tcPr>
                <w:p w14:paraId="28D0DB33">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eastAsiaTheme="minorEastAsia"/>
                      <w:color w:val="auto"/>
                      <w:sz w:val="21"/>
                      <w:szCs w:val="21"/>
                      <w:u w:val="none" w:color="auto"/>
                    </w:rPr>
                  </w:pPr>
                  <w:r>
                    <w:rPr>
                      <w:rFonts w:hint="default" w:cs="Times New Roman"/>
                      <w:color w:val="auto"/>
                      <w:sz w:val="21"/>
                      <w:szCs w:val="21"/>
                      <w:u w:val="none" w:color="auto"/>
                      <w:lang w:bidi="ar"/>
                    </w:rPr>
                    <w:t>年平均质量浓度</w:t>
                  </w:r>
                </w:p>
              </w:tc>
              <w:tc>
                <w:tcPr>
                  <w:tcW w:w="1155" w:type="dxa"/>
                  <w:tcBorders>
                    <w:top w:val="single" w:color="auto" w:sz="4" w:space="0"/>
                    <w:left w:val="single" w:color="auto" w:sz="4" w:space="0"/>
                    <w:bottom w:val="single" w:color="auto" w:sz="4" w:space="0"/>
                    <w:right w:val="single" w:color="auto" w:sz="4" w:space="0"/>
                  </w:tcBorders>
                  <w:vAlign w:val="center"/>
                </w:tcPr>
                <w:p w14:paraId="4C6AB45F">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hint="default" w:eastAsiaTheme="minorEastAsia"/>
                      <w:color w:val="auto"/>
                      <w:sz w:val="21"/>
                      <w:szCs w:val="21"/>
                      <w:u w:val="none" w:color="auto"/>
                      <w:lang w:val="en-US" w:eastAsia="zh-CN"/>
                    </w:rPr>
                  </w:pPr>
                  <w:r>
                    <w:rPr>
                      <w:rFonts w:hint="eastAsia" w:cs="Times New Roman"/>
                      <w:color w:val="auto"/>
                      <w:sz w:val="21"/>
                      <w:szCs w:val="21"/>
                      <w:u w:val="none" w:color="auto"/>
                      <w:lang w:val="en-US" w:eastAsia="zh-CN" w:bidi="ar"/>
                    </w:rPr>
                    <w:t>25.3</w:t>
                  </w:r>
                </w:p>
              </w:tc>
              <w:tc>
                <w:tcPr>
                  <w:tcW w:w="1340" w:type="dxa"/>
                  <w:tcBorders>
                    <w:top w:val="single" w:color="auto" w:sz="4" w:space="0"/>
                    <w:left w:val="single" w:color="auto" w:sz="4" w:space="0"/>
                    <w:bottom w:val="single" w:color="auto" w:sz="4" w:space="0"/>
                    <w:right w:val="single" w:color="auto" w:sz="4" w:space="0"/>
                  </w:tcBorders>
                  <w:vAlign w:val="center"/>
                </w:tcPr>
                <w:p w14:paraId="15463FBC">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eastAsiaTheme="minorEastAsia"/>
                      <w:color w:val="auto"/>
                      <w:sz w:val="21"/>
                      <w:szCs w:val="21"/>
                      <w:u w:val="none" w:color="auto"/>
                    </w:rPr>
                  </w:pPr>
                  <w:r>
                    <w:rPr>
                      <w:rFonts w:hint="default" w:cs="Times New Roman"/>
                      <w:color w:val="auto"/>
                      <w:sz w:val="21"/>
                      <w:szCs w:val="21"/>
                      <w:u w:val="none" w:color="auto"/>
                      <w:lang w:bidi="ar"/>
                    </w:rPr>
                    <w:t>35</w:t>
                  </w:r>
                </w:p>
              </w:tc>
              <w:tc>
                <w:tcPr>
                  <w:tcW w:w="1112" w:type="dxa"/>
                  <w:tcBorders>
                    <w:top w:val="single" w:color="auto" w:sz="4" w:space="0"/>
                    <w:left w:val="single" w:color="auto" w:sz="4" w:space="0"/>
                    <w:bottom w:val="single" w:color="auto" w:sz="4" w:space="0"/>
                    <w:right w:val="single" w:color="auto" w:sz="4" w:space="0"/>
                  </w:tcBorders>
                  <w:vAlign w:val="center"/>
                </w:tcPr>
                <w:p w14:paraId="0C6AB7EC">
                  <w:pPr>
                    <w:pStyle w:val="64"/>
                    <w:keepNext w:val="0"/>
                    <w:keepLines w:val="0"/>
                    <w:widowControl/>
                    <w:suppressLineNumbers w:val="0"/>
                    <w:bidi w:val="0"/>
                    <w:spacing w:before="0" w:beforeAutospacing="0" w:after="0" w:afterAutospacing="0"/>
                    <w:ind w:left="0" w:leftChars="0" w:right="0" w:rightChars="0"/>
                    <w:rPr>
                      <w:rFonts w:hint="default" w:ascii="Times New Roman" w:hAnsi="Times New Roman" w:cs="Times New Roman"/>
                      <w:color w:val="auto"/>
                      <w:sz w:val="21"/>
                      <w:szCs w:val="21"/>
                      <w:u w:val="none" w:color="auto"/>
                    </w:rPr>
                  </w:pPr>
                  <w:r>
                    <w:rPr>
                      <w:rFonts w:hint="default"/>
                      <w:color w:val="auto"/>
                      <w:u w:val="none" w:color="auto"/>
                      <w:lang w:val="en-US" w:eastAsia="zh-CN"/>
                    </w:rPr>
                    <w:t xml:space="preserve">72.29 </w:t>
                  </w:r>
                </w:p>
              </w:tc>
              <w:tc>
                <w:tcPr>
                  <w:tcW w:w="1073" w:type="dxa"/>
                  <w:tcBorders>
                    <w:top w:val="single" w:color="auto" w:sz="4" w:space="0"/>
                    <w:left w:val="single" w:color="auto" w:sz="4" w:space="0"/>
                    <w:bottom w:val="single" w:color="auto" w:sz="4" w:space="0"/>
                    <w:right w:val="single" w:color="auto" w:sz="6" w:space="0"/>
                  </w:tcBorders>
                  <w:vAlign w:val="top"/>
                </w:tcPr>
                <w:p w14:paraId="37CDC6F0">
                  <w:pPr>
                    <w:keepNext w:val="0"/>
                    <w:keepLines w:val="0"/>
                    <w:widowControl/>
                    <w:suppressLineNumbers w:val="0"/>
                    <w:spacing w:before="32" w:beforeLines="10" w:beforeAutospacing="0" w:after="32" w:afterLines="10" w:afterAutospacing="0" w:line="240" w:lineRule="auto"/>
                    <w:ind w:left="0" w:leftChars="0" w:right="0" w:rightChars="0" w:firstLine="0" w:firstLineChars="0"/>
                    <w:jc w:val="center"/>
                    <w:rPr>
                      <w:rFonts w:eastAsiaTheme="minorEastAsia"/>
                      <w:color w:val="auto"/>
                      <w:sz w:val="21"/>
                      <w:szCs w:val="21"/>
                      <w:u w:val="none" w:color="auto"/>
                    </w:rPr>
                  </w:pPr>
                  <w:r>
                    <w:rPr>
                      <w:rFonts w:hint="default" w:cs="Times New Roman"/>
                      <w:color w:val="auto"/>
                      <w:sz w:val="21"/>
                      <w:szCs w:val="21"/>
                      <w:u w:val="none" w:color="auto"/>
                      <w:lang w:bidi="ar"/>
                    </w:rPr>
                    <w:t>达标</w:t>
                  </w:r>
                </w:p>
              </w:tc>
            </w:tr>
            <w:tr w14:paraId="6CE90C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740" w:type="dxa"/>
                  <w:gridSpan w:val="6"/>
                  <w:tcBorders>
                    <w:top w:val="single" w:color="auto" w:sz="4" w:space="0"/>
                    <w:left w:val="single" w:color="auto" w:sz="4" w:space="0"/>
                    <w:bottom w:val="single" w:color="auto" w:sz="6" w:space="0"/>
                    <w:right w:val="single" w:color="auto" w:sz="6" w:space="0"/>
                  </w:tcBorders>
                  <w:vAlign w:val="center"/>
                </w:tcPr>
                <w:p w14:paraId="5E0EFEEF">
                  <w:pPr>
                    <w:spacing w:line="240" w:lineRule="auto"/>
                    <w:ind w:firstLine="0" w:firstLineChars="0"/>
                    <w:jc w:val="center"/>
                    <w:rPr>
                      <w:rFonts w:eastAsiaTheme="minorEastAsia"/>
                      <w:color w:val="auto"/>
                      <w:sz w:val="21"/>
                      <w:szCs w:val="21"/>
                      <w:u w:val="none" w:color="auto"/>
                    </w:rPr>
                  </w:pPr>
                  <w:r>
                    <w:rPr>
                      <w:rFonts w:eastAsiaTheme="minorEastAsia"/>
                      <w:color w:val="auto"/>
                      <w:sz w:val="21"/>
                      <w:szCs w:val="21"/>
                      <w:u w:val="none" w:color="auto"/>
                    </w:rPr>
                    <w:t>*注：CO单位为mg/m</w:t>
                  </w:r>
                  <w:r>
                    <w:rPr>
                      <w:rFonts w:eastAsiaTheme="minorEastAsia"/>
                      <w:color w:val="auto"/>
                      <w:sz w:val="21"/>
                      <w:szCs w:val="21"/>
                      <w:u w:val="none" w:color="auto"/>
                      <w:vertAlign w:val="superscript"/>
                    </w:rPr>
                    <w:t>3</w:t>
                  </w:r>
                </w:p>
              </w:tc>
            </w:tr>
          </w:tbl>
          <w:p w14:paraId="6C160AF1">
            <w:pPr>
              <w:keepNext w:val="0"/>
              <w:keepLines w:val="0"/>
              <w:pageBreakBefore w:val="0"/>
              <w:widowControl w:val="0"/>
              <w:kinsoku/>
              <w:wordWrap/>
              <w:overflowPunct/>
              <w:topLinePunct w:val="0"/>
              <w:autoSpaceDE/>
              <w:autoSpaceDN/>
              <w:bidi w:val="0"/>
              <w:adjustRightInd/>
              <w:snapToGrid/>
              <w:spacing w:before="164" w:beforeLines="50"/>
              <w:ind w:firstLine="482" w:firstLineChars="0"/>
              <w:textAlignment w:val="auto"/>
              <w:rPr>
                <w:color w:val="auto"/>
                <w:u w:val="none" w:color="auto"/>
              </w:rPr>
            </w:pPr>
            <w:r>
              <w:rPr>
                <w:color w:val="auto"/>
                <w:u w:val="none" w:color="auto"/>
              </w:rPr>
              <w:t>由上表可知，</w:t>
            </w:r>
            <w:r>
              <w:rPr>
                <w:rFonts w:hint="eastAsia"/>
                <w:color w:val="auto"/>
                <w:u w:val="none" w:color="auto"/>
                <w:lang w:val="en-US" w:eastAsia="zh-CN"/>
              </w:rPr>
              <w:t>南宁市</w:t>
            </w:r>
            <w:r>
              <w:rPr>
                <w:color w:val="auto"/>
                <w:u w:val="none" w:color="auto"/>
              </w:rPr>
              <w:t>202</w:t>
            </w:r>
            <w:r>
              <w:rPr>
                <w:rFonts w:hint="eastAsia"/>
                <w:color w:val="auto"/>
                <w:u w:val="none" w:color="auto"/>
                <w:lang w:val="en-US" w:eastAsia="zh-CN"/>
              </w:rPr>
              <w:t>4</w:t>
            </w:r>
            <w:r>
              <w:rPr>
                <w:color w:val="auto"/>
                <w:u w:val="none" w:color="auto"/>
              </w:rPr>
              <w:t>年六项基本污染物的年评价指标均可达到《环境空气质量标准》（GB3095-2012）</w:t>
            </w:r>
            <w:r>
              <w:rPr>
                <w:rFonts w:hint="eastAsia"/>
                <w:color w:val="auto"/>
                <w:u w:val="none" w:color="auto"/>
                <w:lang w:val="en-US" w:eastAsia="zh-CN"/>
              </w:rPr>
              <w:t>及其修改单</w:t>
            </w:r>
            <w:r>
              <w:rPr>
                <w:color w:val="auto"/>
                <w:u w:val="none" w:color="auto"/>
              </w:rPr>
              <w:t>二级标准的要求，根据判定，项目所在区域为达标区。</w:t>
            </w:r>
          </w:p>
          <w:p w14:paraId="12569FC8">
            <w:pPr>
              <w:numPr>
                <w:ilvl w:val="0"/>
                <w:numId w:val="8"/>
              </w:numPr>
              <w:ind w:firstLineChars="0"/>
              <w:rPr>
                <w:color w:val="auto"/>
                <w:szCs w:val="22"/>
                <w:highlight w:val="none"/>
                <w:u w:val="none" w:color="auto"/>
              </w:rPr>
            </w:pPr>
            <w:r>
              <w:rPr>
                <w:color w:val="auto"/>
                <w:szCs w:val="22"/>
                <w:highlight w:val="none"/>
                <w:u w:val="none" w:color="auto"/>
              </w:rPr>
              <w:t>其他特征污染物环境质量现状评价</w:t>
            </w:r>
          </w:p>
          <w:p w14:paraId="74312CAA">
            <w:pPr>
              <w:ind w:firstLine="480"/>
              <w:rPr>
                <w:color w:val="auto"/>
                <w:szCs w:val="22"/>
                <w:highlight w:val="none"/>
                <w:u w:val="none" w:color="auto"/>
              </w:rPr>
            </w:pPr>
            <w:r>
              <w:rPr>
                <w:rFonts w:hint="eastAsia" w:ascii="Times New Roman" w:hAnsi="Times New Roman" w:eastAsia="宋体" w:cs="Times New Roman"/>
                <w:color w:val="auto"/>
                <w:szCs w:val="22"/>
                <w:u w:val="none" w:color="auto"/>
                <w:lang w:val="en-US" w:eastAsia="zh-CN"/>
              </w:rPr>
              <w:t>项目特征污染物为H</w:t>
            </w:r>
            <w:r>
              <w:rPr>
                <w:rFonts w:hint="eastAsia" w:ascii="Times New Roman" w:hAnsi="Times New Roman" w:eastAsia="宋体" w:cs="Times New Roman"/>
                <w:color w:val="auto"/>
                <w:szCs w:val="22"/>
                <w:u w:val="none" w:color="auto"/>
                <w:vertAlign w:val="subscript"/>
                <w:lang w:val="en-US" w:eastAsia="zh-CN"/>
              </w:rPr>
              <w:t>2</w:t>
            </w:r>
            <w:r>
              <w:rPr>
                <w:rFonts w:hint="eastAsia" w:ascii="Times New Roman" w:hAnsi="Times New Roman" w:eastAsia="宋体" w:cs="Times New Roman"/>
                <w:color w:val="auto"/>
                <w:szCs w:val="22"/>
                <w:u w:val="none" w:color="auto"/>
                <w:lang w:val="en-US" w:eastAsia="zh-CN"/>
              </w:rPr>
              <w:t>S、NH</w:t>
            </w:r>
            <w:r>
              <w:rPr>
                <w:rFonts w:hint="eastAsia" w:ascii="Times New Roman" w:hAnsi="Times New Roman" w:eastAsia="宋体" w:cs="Times New Roman"/>
                <w:color w:val="auto"/>
                <w:szCs w:val="22"/>
                <w:u w:val="none" w:color="auto"/>
                <w:vertAlign w:val="subscript"/>
                <w:lang w:val="en-US" w:eastAsia="zh-CN"/>
              </w:rPr>
              <w:t>3</w:t>
            </w:r>
            <w:r>
              <w:rPr>
                <w:rFonts w:hint="eastAsia" w:ascii="Times New Roman" w:hAnsi="Times New Roman" w:eastAsia="宋体" w:cs="Times New Roman"/>
                <w:color w:val="auto"/>
                <w:szCs w:val="22"/>
                <w:u w:val="none" w:color="auto"/>
                <w:lang w:val="en-US" w:eastAsia="zh-CN"/>
              </w:rPr>
              <w:t>、臭气浓度，本项目</w:t>
            </w:r>
            <w:r>
              <w:rPr>
                <w:rFonts w:ascii="Times New Roman" w:hAnsi="Times New Roman" w:eastAsia="宋体" w:cs="Times New Roman"/>
                <w:color w:val="auto"/>
                <w:szCs w:val="22"/>
                <w:u w:val="none" w:color="auto"/>
              </w:rPr>
              <w:t>引用</w:t>
            </w:r>
            <w:r>
              <w:rPr>
                <w:rFonts w:hint="eastAsia" w:cs="Times New Roman"/>
                <w:color w:val="auto"/>
                <w:szCs w:val="22"/>
                <w:u w:val="none" w:color="auto"/>
                <w:lang w:eastAsia="zh-CN"/>
              </w:rPr>
              <w:t>“</w:t>
            </w:r>
            <w:r>
              <w:rPr>
                <w:rFonts w:ascii="Times New Roman" w:hAnsi="Times New Roman" w:eastAsia="宋体" w:cs="Times New Roman"/>
                <w:color w:val="auto"/>
                <w:szCs w:val="22"/>
                <w:u w:val="none" w:color="auto"/>
                <w:lang w:val="en-US" w:eastAsia="zh-CN"/>
              </w:rPr>
              <w:t>南宁三玖脑科医院项目</w:t>
            </w:r>
            <w:r>
              <w:rPr>
                <w:rFonts w:hint="eastAsia" w:cs="Times New Roman"/>
                <w:color w:val="auto"/>
                <w:szCs w:val="22"/>
                <w:u w:val="none" w:color="auto"/>
                <w:lang w:val="en-US" w:eastAsia="zh-CN"/>
              </w:rPr>
              <w:t>环境影响评价报告</w:t>
            </w:r>
            <w:r>
              <w:rPr>
                <w:rFonts w:hint="eastAsia" w:cs="Times New Roman"/>
                <w:color w:val="auto"/>
                <w:szCs w:val="22"/>
                <w:u w:val="none" w:color="auto"/>
                <w:lang w:eastAsia="zh-CN"/>
              </w:rPr>
              <w:t>”</w:t>
            </w:r>
            <w:r>
              <w:rPr>
                <w:rFonts w:hint="eastAsia" w:cs="Times New Roman"/>
                <w:color w:val="auto"/>
                <w:szCs w:val="22"/>
                <w:u w:val="none" w:color="auto"/>
                <w:lang w:val="en-US" w:eastAsia="zh-CN"/>
              </w:rPr>
              <w:t>的大气环境质量</w:t>
            </w:r>
            <w:r>
              <w:rPr>
                <w:rFonts w:ascii="Times New Roman" w:hAnsi="Times New Roman" w:eastAsia="宋体" w:cs="Times New Roman"/>
                <w:color w:val="auto"/>
                <w:szCs w:val="22"/>
                <w:u w:val="none" w:color="auto"/>
              </w:rPr>
              <w:t>现状监测</w:t>
            </w:r>
            <w:r>
              <w:rPr>
                <w:rFonts w:hint="eastAsia" w:cs="Times New Roman"/>
                <w:color w:val="auto"/>
                <w:szCs w:val="22"/>
                <w:u w:val="none" w:color="auto"/>
                <w:lang w:val="en-US" w:eastAsia="zh-CN"/>
              </w:rPr>
              <w:t>结果</w:t>
            </w:r>
            <w:r>
              <w:rPr>
                <w:rFonts w:ascii="Times New Roman" w:hAnsi="Times New Roman" w:eastAsia="宋体" w:cs="Times New Roman"/>
                <w:color w:val="auto"/>
                <w:szCs w:val="22"/>
                <w:u w:val="none" w:color="auto"/>
              </w:rPr>
              <w:t>，</w:t>
            </w:r>
            <w:r>
              <w:rPr>
                <w:rFonts w:hint="eastAsia" w:ascii="Times New Roman" w:hAnsi="Times New Roman" w:eastAsia="宋体" w:cs="Times New Roman"/>
                <w:color w:val="auto"/>
                <w:szCs w:val="22"/>
                <w:u w:val="none" w:color="auto"/>
                <w:lang w:val="en-US" w:eastAsia="zh-CN"/>
              </w:rPr>
              <w:t>引用的</w:t>
            </w:r>
            <w:r>
              <w:rPr>
                <w:rFonts w:ascii="Times New Roman" w:hAnsi="Times New Roman" w:eastAsia="宋体" w:cs="Times New Roman"/>
                <w:color w:val="auto"/>
                <w:szCs w:val="22"/>
                <w:u w:val="none" w:color="auto"/>
              </w:rPr>
              <w:t>大气监测点位为位于</w:t>
            </w:r>
            <w:r>
              <w:rPr>
                <w:rFonts w:hint="eastAsia" w:ascii="Times New Roman" w:hAnsi="Times New Roman" w:eastAsia="宋体" w:cs="Times New Roman"/>
                <w:color w:val="auto"/>
                <w:szCs w:val="22"/>
                <w:u w:val="none" w:color="auto"/>
                <w:lang w:val="en-US" w:eastAsia="zh-CN"/>
              </w:rPr>
              <w:t>南面约6</w:t>
            </w:r>
            <w:r>
              <w:rPr>
                <w:rFonts w:ascii="Times New Roman" w:hAnsi="Times New Roman" w:eastAsia="宋体" w:cs="Times New Roman"/>
                <w:color w:val="auto"/>
                <w:szCs w:val="22"/>
                <w:u w:val="none" w:color="auto"/>
              </w:rPr>
              <w:t>m处的</w:t>
            </w:r>
            <w:bookmarkStart w:id="11" w:name="OLE_LINK5"/>
            <w:r>
              <w:rPr>
                <w:rFonts w:hint="eastAsia"/>
                <w:color w:val="auto"/>
                <w:u w:val="none" w:color="auto"/>
                <w:lang w:eastAsia="zh-CN"/>
              </w:rPr>
              <w:t>高岭村九组三产综合楼</w:t>
            </w:r>
            <w:r>
              <w:rPr>
                <w:rFonts w:hint="eastAsia"/>
                <w:color w:val="auto"/>
                <w:u w:val="none" w:color="auto"/>
                <w:lang w:val="en-US" w:eastAsia="zh-CN"/>
              </w:rPr>
              <w:t>1</w:t>
            </w:r>
            <w:r>
              <w:rPr>
                <w:rFonts w:hint="eastAsia"/>
                <w:color w:val="auto"/>
                <w:u w:val="none" w:color="auto"/>
                <w:lang w:eastAsia="zh-CN"/>
              </w:rPr>
              <w:t>#楼</w:t>
            </w:r>
            <w:bookmarkEnd w:id="11"/>
            <w:r>
              <w:rPr>
                <w:rFonts w:ascii="Times New Roman" w:hAnsi="Times New Roman" w:eastAsia="宋体" w:cs="Times New Roman"/>
                <w:color w:val="auto"/>
                <w:szCs w:val="22"/>
                <w:u w:val="none" w:color="auto"/>
              </w:rPr>
              <w:t>，监测时间为202</w:t>
            </w:r>
            <w:r>
              <w:rPr>
                <w:rFonts w:hint="eastAsia" w:ascii="Times New Roman" w:hAnsi="Times New Roman" w:eastAsia="宋体" w:cs="Times New Roman"/>
                <w:color w:val="auto"/>
                <w:szCs w:val="22"/>
                <w:u w:val="none" w:color="auto"/>
                <w:lang w:val="en-US" w:eastAsia="zh-CN"/>
              </w:rPr>
              <w:t>4</w:t>
            </w:r>
            <w:r>
              <w:rPr>
                <w:rFonts w:ascii="Times New Roman" w:hAnsi="Times New Roman" w:eastAsia="宋体" w:cs="Times New Roman"/>
                <w:color w:val="auto"/>
                <w:szCs w:val="22"/>
                <w:u w:val="none" w:color="auto"/>
              </w:rPr>
              <w:t xml:space="preserve"> 年3月</w:t>
            </w:r>
            <w:r>
              <w:rPr>
                <w:rFonts w:hint="eastAsia" w:ascii="Times New Roman" w:hAnsi="Times New Roman" w:eastAsia="宋体" w:cs="Times New Roman"/>
                <w:color w:val="auto"/>
                <w:szCs w:val="22"/>
                <w:u w:val="none" w:color="auto"/>
                <w:lang w:val="en-US" w:eastAsia="zh-CN"/>
              </w:rPr>
              <w:t>9</w:t>
            </w:r>
            <w:r>
              <w:rPr>
                <w:rFonts w:ascii="Times New Roman" w:hAnsi="Times New Roman" w:eastAsia="宋体" w:cs="Times New Roman"/>
                <w:color w:val="auto"/>
                <w:szCs w:val="22"/>
                <w:u w:val="none" w:color="auto"/>
              </w:rPr>
              <w:t>日-</w:t>
            </w:r>
            <w:r>
              <w:rPr>
                <w:rFonts w:hint="eastAsia" w:ascii="Times New Roman" w:hAnsi="Times New Roman" w:eastAsia="宋体" w:cs="Times New Roman"/>
                <w:color w:val="auto"/>
                <w:szCs w:val="22"/>
                <w:u w:val="none" w:color="auto"/>
                <w:lang w:val="en-US" w:eastAsia="zh-CN"/>
              </w:rPr>
              <w:t>11</w:t>
            </w:r>
            <w:r>
              <w:rPr>
                <w:rFonts w:ascii="Times New Roman" w:hAnsi="Times New Roman" w:eastAsia="宋体" w:cs="Times New Roman"/>
                <w:color w:val="auto"/>
                <w:szCs w:val="22"/>
                <w:u w:val="none" w:color="auto"/>
              </w:rPr>
              <w:t>日</w:t>
            </w:r>
            <w:r>
              <w:rPr>
                <w:rFonts w:hint="eastAsia" w:cs="Times New Roman"/>
                <w:color w:val="auto"/>
                <w:szCs w:val="22"/>
                <w:u w:val="none" w:color="auto"/>
                <w:lang w:val="en-US" w:eastAsia="zh-CN"/>
              </w:rPr>
              <w:t>，</w:t>
            </w:r>
            <w:r>
              <w:rPr>
                <w:rFonts w:ascii="Times New Roman" w:hAnsi="Times New Roman" w:eastAsia="宋体" w:cs="Times New Roman"/>
                <w:color w:val="auto"/>
                <w:szCs w:val="22"/>
                <w:u w:val="none" w:color="auto"/>
              </w:rPr>
              <w:t>监测项目为</w:t>
            </w:r>
            <w:r>
              <w:rPr>
                <w:rFonts w:hint="eastAsia" w:ascii="Times New Roman" w:hAnsi="Times New Roman" w:eastAsia="宋体" w:cs="Times New Roman"/>
                <w:color w:val="auto"/>
                <w:szCs w:val="22"/>
                <w:u w:val="none" w:color="auto"/>
                <w:lang w:val="en-US" w:eastAsia="zh-CN"/>
              </w:rPr>
              <w:t>H</w:t>
            </w:r>
            <w:r>
              <w:rPr>
                <w:rFonts w:hint="eastAsia" w:ascii="Times New Roman" w:hAnsi="Times New Roman" w:eastAsia="宋体" w:cs="Times New Roman"/>
                <w:color w:val="auto"/>
                <w:szCs w:val="22"/>
                <w:u w:val="none" w:color="auto"/>
                <w:vertAlign w:val="subscript"/>
                <w:lang w:val="en-US" w:eastAsia="zh-CN"/>
              </w:rPr>
              <w:t>2</w:t>
            </w:r>
            <w:r>
              <w:rPr>
                <w:rFonts w:hint="eastAsia" w:ascii="Times New Roman" w:hAnsi="Times New Roman" w:eastAsia="宋体" w:cs="Times New Roman"/>
                <w:color w:val="auto"/>
                <w:szCs w:val="22"/>
                <w:u w:val="none" w:color="auto"/>
                <w:lang w:val="en-US" w:eastAsia="zh-CN"/>
              </w:rPr>
              <w:t>S、NH</w:t>
            </w:r>
            <w:r>
              <w:rPr>
                <w:rFonts w:hint="eastAsia" w:ascii="Times New Roman" w:hAnsi="Times New Roman" w:eastAsia="宋体" w:cs="Times New Roman"/>
                <w:color w:val="auto"/>
                <w:szCs w:val="22"/>
                <w:u w:val="none" w:color="auto"/>
                <w:vertAlign w:val="subscript"/>
                <w:lang w:val="en-US" w:eastAsia="zh-CN"/>
              </w:rPr>
              <w:t>3</w:t>
            </w:r>
            <w:r>
              <w:rPr>
                <w:rFonts w:hint="eastAsia" w:ascii="Times New Roman" w:hAnsi="Times New Roman" w:eastAsia="宋体" w:cs="Times New Roman"/>
                <w:color w:val="auto"/>
                <w:szCs w:val="22"/>
                <w:u w:val="none" w:color="auto"/>
                <w:lang w:val="en-US" w:eastAsia="zh-CN"/>
              </w:rPr>
              <w:t>、臭气浓度</w:t>
            </w:r>
            <w:r>
              <w:rPr>
                <w:rFonts w:ascii="Times New Roman" w:hAnsi="Times New Roman" w:eastAsia="宋体" w:cs="Times New Roman"/>
                <w:color w:val="auto"/>
                <w:szCs w:val="22"/>
                <w:u w:val="none" w:color="auto"/>
              </w:rPr>
              <w:t>，根据《建设项目环境影响报告表编制技术指南（污染影响类）（试行）》，“排放国家、地方环境空气质量标准中有标准限值要求的特征污染物时，引用建设项目周边5千米范围内近3年的现有监测数据”，，满足《建设项目环境影响报告表编制技术指南（污染影响类）》的要求。监测结果如下：</w:t>
            </w:r>
          </w:p>
          <w:p w14:paraId="13C7C323">
            <w:pPr>
              <w:pStyle w:val="10"/>
              <w:numPr>
                <w:ilvl w:val="0"/>
                <w:numId w:val="3"/>
              </w:numPr>
              <w:ind w:left="0" w:firstLine="0" w:firstLineChars="0"/>
              <w:jc w:val="center"/>
              <w:rPr>
                <w:rFonts w:ascii="黑体" w:hAnsi="黑体" w:eastAsia="黑体"/>
                <w:b w:val="0"/>
                <w:color w:val="auto"/>
                <w:u w:val="none" w:color="auto"/>
              </w:rPr>
            </w:pPr>
            <w:r>
              <w:rPr>
                <w:rFonts w:ascii="黑体" w:hAnsi="黑体" w:eastAsia="黑体"/>
                <w:b w:val="0"/>
                <w:color w:val="auto"/>
                <w:u w:val="none" w:color="auto"/>
              </w:rPr>
              <w:t>项目</w:t>
            </w:r>
            <w:r>
              <w:rPr>
                <w:rFonts w:hint="eastAsia" w:ascii="黑体" w:hAnsi="黑体" w:eastAsia="黑体"/>
                <w:b w:val="0"/>
                <w:color w:val="auto"/>
                <w:u w:val="none" w:color="auto"/>
                <w:lang w:val="en-US" w:eastAsia="zh-CN"/>
              </w:rPr>
              <w:t>大气环境质量</w:t>
            </w:r>
            <w:r>
              <w:rPr>
                <w:rFonts w:ascii="黑体" w:hAnsi="黑体" w:eastAsia="黑体"/>
                <w:b w:val="0"/>
                <w:color w:val="auto"/>
                <w:u w:val="none" w:color="auto"/>
              </w:rPr>
              <w:t>监测结果</w:t>
            </w:r>
            <w:r>
              <w:rPr>
                <w:rFonts w:hint="eastAsia" w:ascii="黑体" w:hAnsi="黑体" w:eastAsia="黑体"/>
                <w:b w:val="0"/>
                <w:color w:val="auto"/>
                <w:u w:val="none" w:color="auto"/>
                <w:lang w:val="en-US" w:eastAsia="zh-CN"/>
              </w:rPr>
              <w:t>及评价</w:t>
            </w:r>
            <w:r>
              <w:rPr>
                <w:rFonts w:ascii="黑体" w:hAnsi="黑体" w:eastAsia="黑体"/>
                <w:b w:val="0"/>
                <w:color w:val="auto"/>
                <w:u w:val="none" w:color="auto"/>
              </w:rPr>
              <w:t>表</w:t>
            </w:r>
          </w:p>
          <w:tbl>
            <w:tblPr>
              <w:tblStyle w:val="22"/>
              <w:tblW w:w="893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1562"/>
              <w:gridCol w:w="1542"/>
              <w:gridCol w:w="1376"/>
              <w:gridCol w:w="1330"/>
              <w:gridCol w:w="1330"/>
            </w:tblGrid>
            <w:tr w14:paraId="5EFC96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8" w:type="dxa"/>
                  <w:tcBorders>
                    <w:left w:val="single" w:color="auto" w:sz="0" w:space="0"/>
                  </w:tcBorders>
                  <w:vAlign w:val="center"/>
                </w:tcPr>
                <w:p w14:paraId="7129E326">
                  <w:pPr>
                    <w:adjustRightInd w:val="0"/>
                    <w:snapToGrid w:val="0"/>
                    <w:spacing w:before="32" w:after="32" w:line="240" w:lineRule="auto"/>
                    <w:ind w:firstLine="0" w:firstLineChars="0"/>
                    <w:jc w:val="center"/>
                    <w:rPr>
                      <w:b/>
                      <w:color w:val="auto"/>
                      <w:sz w:val="21"/>
                      <w:szCs w:val="22"/>
                      <w:u w:val="none" w:color="auto"/>
                    </w:rPr>
                  </w:pPr>
                  <w:r>
                    <w:rPr>
                      <w:b/>
                      <w:color w:val="auto"/>
                      <w:sz w:val="21"/>
                      <w:szCs w:val="22"/>
                      <w:u w:val="none" w:color="auto"/>
                    </w:rPr>
                    <w:t>监测项目</w:t>
                  </w:r>
                </w:p>
              </w:tc>
              <w:tc>
                <w:tcPr>
                  <w:tcW w:w="1562" w:type="dxa"/>
                  <w:vAlign w:val="center"/>
                </w:tcPr>
                <w:p w14:paraId="32DAE21F">
                  <w:pPr>
                    <w:adjustRightInd w:val="0"/>
                    <w:snapToGrid w:val="0"/>
                    <w:spacing w:before="32" w:after="32" w:line="240" w:lineRule="auto"/>
                    <w:ind w:firstLine="0" w:firstLineChars="0"/>
                    <w:jc w:val="center"/>
                    <w:rPr>
                      <w:b/>
                      <w:color w:val="auto"/>
                      <w:sz w:val="21"/>
                      <w:szCs w:val="22"/>
                      <w:u w:val="none" w:color="auto"/>
                    </w:rPr>
                  </w:pPr>
                  <w:r>
                    <w:rPr>
                      <w:b/>
                      <w:color w:val="auto"/>
                      <w:sz w:val="21"/>
                      <w:szCs w:val="22"/>
                      <w:u w:val="none" w:color="auto"/>
                    </w:rPr>
                    <w:t>监测点位</w:t>
                  </w:r>
                </w:p>
              </w:tc>
              <w:tc>
                <w:tcPr>
                  <w:tcW w:w="1542" w:type="dxa"/>
                  <w:vAlign w:val="center"/>
                </w:tcPr>
                <w:p w14:paraId="20A4D5C8">
                  <w:pPr>
                    <w:adjustRightInd w:val="0"/>
                    <w:snapToGrid w:val="0"/>
                    <w:spacing w:before="32" w:after="32" w:line="240" w:lineRule="auto"/>
                    <w:ind w:firstLine="0" w:firstLineChars="0"/>
                    <w:jc w:val="center"/>
                    <w:rPr>
                      <w:b/>
                      <w:color w:val="auto"/>
                      <w:sz w:val="21"/>
                      <w:szCs w:val="22"/>
                      <w:u w:val="none" w:color="auto"/>
                    </w:rPr>
                  </w:pPr>
                  <w:r>
                    <w:rPr>
                      <w:b/>
                      <w:color w:val="auto"/>
                      <w:sz w:val="21"/>
                      <w:szCs w:val="22"/>
                      <w:u w:val="none" w:color="auto"/>
                    </w:rPr>
                    <w:t>监测结果（</w:t>
                  </w:r>
                  <w:r>
                    <w:rPr>
                      <w:b/>
                      <w:color w:val="auto"/>
                      <w:kern w:val="0"/>
                      <w:u w:val="none" w:color="auto"/>
                      <w:lang w:bidi="ar"/>
                    </w:rPr>
                    <w:t>µg</w:t>
                  </w:r>
                  <w:r>
                    <w:rPr>
                      <w:b/>
                      <w:color w:val="auto"/>
                      <w:sz w:val="21"/>
                      <w:szCs w:val="22"/>
                      <w:u w:val="none" w:color="auto"/>
                    </w:rPr>
                    <w:t>/m</w:t>
                  </w:r>
                  <w:r>
                    <w:rPr>
                      <w:b/>
                      <w:color w:val="auto"/>
                      <w:sz w:val="21"/>
                      <w:szCs w:val="22"/>
                      <w:u w:val="none" w:color="auto"/>
                      <w:vertAlign w:val="superscript"/>
                    </w:rPr>
                    <w:t>3</w:t>
                  </w:r>
                  <w:r>
                    <w:rPr>
                      <w:b/>
                      <w:color w:val="auto"/>
                      <w:sz w:val="21"/>
                      <w:szCs w:val="22"/>
                      <w:u w:val="none" w:color="auto"/>
                    </w:rPr>
                    <w:t>）</w:t>
                  </w:r>
                </w:p>
              </w:tc>
              <w:tc>
                <w:tcPr>
                  <w:tcW w:w="1376" w:type="dxa"/>
                  <w:vAlign w:val="center"/>
                </w:tcPr>
                <w:p w14:paraId="2FF2B859">
                  <w:pPr>
                    <w:adjustRightInd w:val="0"/>
                    <w:snapToGrid w:val="0"/>
                    <w:spacing w:before="32" w:after="32" w:line="240" w:lineRule="auto"/>
                    <w:ind w:firstLine="0" w:firstLineChars="0"/>
                    <w:jc w:val="center"/>
                    <w:rPr>
                      <w:b/>
                      <w:color w:val="auto"/>
                      <w:sz w:val="21"/>
                      <w:szCs w:val="22"/>
                      <w:u w:val="none" w:color="auto"/>
                    </w:rPr>
                  </w:pPr>
                  <w:r>
                    <w:rPr>
                      <w:b/>
                      <w:color w:val="auto"/>
                      <w:sz w:val="21"/>
                      <w:szCs w:val="22"/>
                      <w:u w:val="none" w:color="auto"/>
                    </w:rPr>
                    <w:t>评价标准（μg/m³）</w:t>
                  </w:r>
                </w:p>
              </w:tc>
              <w:tc>
                <w:tcPr>
                  <w:tcW w:w="1330" w:type="dxa"/>
                  <w:vAlign w:val="center"/>
                </w:tcPr>
                <w:p w14:paraId="5B98225B">
                  <w:pPr>
                    <w:adjustRightInd w:val="0"/>
                    <w:snapToGrid w:val="0"/>
                    <w:spacing w:before="32" w:after="32" w:line="240" w:lineRule="auto"/>
                    <w:ind w:firstLine="0" w:firstLineChars="0"/>
                    <w:jc w:val="center"/>
                    <w:rPr>
                      <w:b/>
                      <w:color w:val="auto"/>
                      <w:sz w:val="21"/>
                      <w:szCs w:val="22"/>
                      <w:u w:val="none" w:color="auto"/>
                    </w:rPr>
                  </w:pPr>
                  <w:r>
                    <w:rPr>
                      <w:b/>
                      <w:color w:val="auto"/>
                      <w:sz w:val="21"/>
                      <w:szCs w:val="22"/>
                      <w:u w:val="none" w:color="auto"/>
                    </w:rPr>
                    <w:t>占标率（%）</w:t>
                  </w:r>
                </w:p>
              </w:tc>
              <w:tc>
                <w:tcPr>
                  <w:tcW w:w="1330" w:type="dxa"/>
                  <w:tcBorders>
                    <w:right w:val="single" w:color="auto" w:sz="4" w:space="0"/>
                  </w:tcBorders>
                  <w:vAlign w:val="center"/>
                </w:tcPr>
                <w:p w14:paraId="4CD03392">
                  <w:pPr>
                    <w:adjustRightInd w:val="0"/>
                    <w:snapToGrid w:val="0"/>
                    <w:spacing w:before="32" w:after="32" w:line="240" w:lineRule="auto"/>
                    <w:ind w:firstLine="0" w:firstLineChars="0"/>
                    <w:jc w:val="center"/>
                    <w:rPr>
                      <w:rFonts w:hint="default" w:eastAsia="宋体"/>
                      <w:b/>
                      <w:color w:val="auto"/>
                      <w:sz w:val="21"/>
                      <w:szCs w:val="22"/>
                      <w:u w:val="none" w:color="auto"/>
                      <w:lang w:val="en-US" w:eastAsia="zh-CN"/>
                    </w:rPr>
                  </w:pPr>
                  <w:r>
                    <w:rPr>
                      <w:rFonts w:hint="eastAsia"/>
                      <w:b/>
                      <w:color w:val="auto"/>
                      <w:sz w:val="21"/>
                      <w:szCs w:val="22"/>
                      <w:u w:val="none" w:color="auto"/>
                      <w:lang w:val="en-US" w:eastAsia="zh-CN"/>
                    </w:rPr>
                    <w:t>达标情况</w:t>
                  </w:r>
                </w:p>
              </w:tc>
            </w:tr>
            <w:tr w14:paraId="29AC65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8" w:type="dxa"/>
                  <w:tcBorders>
                    <w:left w:val="single" w:color="auto" w:sz="4" w:space="0"/>
                  </w:tcBorders>
                  <w:vAlign w:val="center"/>
                </w:tcPr>
                <w:p w14:paraId="1836C683">
                  <w:pPr>
                    <w:adjustRightInd w:val="0"/>
                    <w:snapToGrid w:val="0"/>
                    <w:spacing w:before="32" w:after="32" w:line="240" w:lineRule="auto"/>
                    <w:ind w:firstLine="0" w:firstLineChars="0"/>
                    <w:jc w:val="center"/>
                    <w:rPr>
                      <w:rFonts w:hint="default" w:eastAsia="宋体"/>
                      <w:color w:val="auto"/>
                      <w:sz w:val="21"/>
                      <w:szCs w:val="22"/>
                      <w:highlight w:val="none"/>
                      <w:u w:val="none" w:color="auto"/>
                      <w:lang w:val="en-US" w:eastAsia="zh-CN"/>
                    </w:rPr>
                  </w:pPr>
                  <w:r>
                    <w:rPr>
                      <w:rFonts w:hint="eastAsia"/>
                      <w:color w:val="auto"/>
                      <w:sz w:val="21"/>
                      <w:szCs w:val="22"/>
                      <w:highlight w:val="none"/>
                      <w:u w:val="none" w:color="auto"/>
                      <w:lang w:val="en-US" w:eastAsia="zh-CN"/>
                    </w:rPr>
                    <w:t>氨</w:t>
                  </w:r>
                </w:p>
              </w:tc>
              <w:tc>
                <w:tcPr>
                  <w:tcW w:w="1562" w:type="dxa"/>
                  <w:vMerge w:val="restart"/>
                  <w:vAlign w:val="center"/>
                </w:tcPr>
                <w:p w14:paraId="19FCB548">
                  <w:pPr>
                    <w:ind w:left="0" w:leftChars="0" w:firstLine="0" w:firstLineChars="0"/>
                    <w:rPr>
                      <w:rFonts w:hint="default" w:eastAsia="宋体"/>
                      <w:color w:val="auto"/>
                      <w:sz w:val="21"/>
                      <w:szCs w:val="22"/>
                      <w:highlight w:val="none"/>
                      <w:u w:val="none" w:color="auto"/>
                      <w:lang w:val="en-US" w:eastAsia="zh-CN"/>
                    </w:rPr>
                  </w:pPr>
                  <w:r>
                    <w:rPr>
                      <w:rFonts w:hint="default" w:eastAsia="宋体"/>
                      <w:color w:val="auto"/>
                      <w:sz w:val="21"/>
                      <w:szCs w:val="22"/>
                      <w:highlight w:val="none"/>
                      <w:u w:val="none" w:color="auto"/>
                      <w:lang w:val="en-US" w:eastAsia="zh-CN"/>
                    </w:rPr>
                    <w:t>高岭村九组三产综合楼1#楼</w:t>
                  </w:r>
                </w:p>
              </w:tc>
              <w:tc>
                <w:tcPr>
                  <w:tcW w:w="1542" w:type="dxa"/>
                  <w:vAlign w:val="center"/>
                </w:tcPr>
                <w:p w14:paraId="5E1E0438">
                  <w:pPr>
                    <w:adjustRightInd w:val="0"/>
                    <w:snapToGrid w:val="0"/>
                    <w:spacing w:before="32" w:after="32" w:line="240" w:lineRule="auto"/>
                    <w:ind w:firstLine="0" w:firstLineChars="0"/>
                    <w:jc w:val="center"/>
                    <w:rPr>
                      <w:rFonts w:hint="default" w:eastAsia="宋体"/>
                      <w:color w:val="auto"/>
                      <w:sz w:val="21"/>
                      <w:szCs w:val="22"/>
                      <w:highlight w:val="none"/>
                      <w:u w:val="none" w:color="auto"/>
                      <w:lang w:val="en-US" w:eastAsia="zh-CN"/>
                    </w:rPr>
                  </w:pPr>
                  <w:r>
                    <w:rPr>
                      <w:rFonts w:hint="eastAsia"/>
                      <w:color w:val="auto"/>
                      <w:sz w:val="21"/>
                      <w:szCs w:val="22"/>
                      <w:highlight w:val="none"/>
                      <w:u w:val="none" w:color="auto"/>
                      <w:lang w:val="en-US" w:eastAsia="zh-CN"/>
                    </w:rPr>
                    <w:t>50</w:t>
                  </w:r>
                  <w:r>
                    <w:rPr>
                      <w:color w:val="auto"/>
                      <w:sz w:val="21"/>
                      <w:szCs w:val="22"/>
                      <w:highlight w:val="none"/>
                      <w:u w:val="none" w:color="auto"/>
                    </w:rPr>
                    <w:t>~</w:t>
                  </w:r>
                  <w:r>
                    <w:rPr>
                      <w:rFonts w:hint="eastAsia"/>
                      <w:color w:val="auto"/>
                      <w:sz w:val="21"/>
                      <w:szCs w:val="22"/>
                      <w:highlight w:val="none"/>
                      <w:u w:val="none" w:color="auto"/>
                      <w:lang w:val="en-US" w:eastAsia="zh-CN"/>
                    </w:rPr>
                    <w:t>80</w:t>
                  </w:r>
                </w:p>
              </w:tc>
              <w:tc>
                <w:tcPr>
                  <w:tcW w:w="1376" w:type="dxa"/>
                  <w:vAlign w:val="center"/>
                </w:tcPr>
                <w:p w14:paraId="70874E8B">
                  <w:pPr>
                    <w:adjustRightInd w:val="0"/>
                    <w:snapToGrid w:val="0"/>
                    <w:spacing w:before="32" w:after="32" w:line="240" w:lineRule="auto"/>
                    <w:ind w:firstLine="0" w:firstLineChars="0"/>
                    <w:jc w:val="center"/>
                    <w:rPr>
                      <w:rFonts w:hint="default" w:eastAsia="宋体"/>
                      <w:color w:val="auto"/>
                      <w:sz w:val="21"/>
                      <w:szCs w:val="22"/>
                      <w:highlight w:val="none"/>
                      <w:u w:val="none" w:color="auto"/>
                      <w:lang w:val="en-US" w:eastAsia="zh-CN"/>
                    </w:rPr>
                  </w:pPr>
                  <w:r>
                    <w:rPr>
                      <w:rFonts w:hint="eastAsia"/>
                      <w:color w:val="auto"/>
                      <w:sz w:val="21"/>
                      <w:szCs w:val="22"/>
                      <w:highlight w:val="none"/>
                      <w:u w:val="none" w:color="auto"/>
                      <w:lang w:val="en-US" w:eastAsia="zh-CN"/>
                    </w:rPr>
                    <w:t>200</w:t>
                  </w:r>
                </w:p>
              </w:tc>
              <w:tc>
                <w:tcPr>
                  <w:tcW w:w="1330" w:type="dxa"/>
                  <w:vAlign w:val="center"/>
                </w:tcPr>
                <w:p w14:paraId="1701D18C">
                  <w:pPr>
                    <w:adjustRightInd w:val="0"/>
                    <w:snapToGrid w:val="0"/>
                    <w:spacing w:before="32" w:after="32" w:line="240" w:lineRule="auto"/>
                    <w:ind w:firstLine="0" w:firstLineChars="0"/>
                    <w:jc w:val="center"/>
                    <w:rPr>
                      <w:rFonts w:hint="default" w:eastAsia="宋体"/>
                      <w:color w:val="auto"/>
                      <w:sz w:val="21"/>
                      <w:szCs w:val="22"/>
                      <w:highlight w:val="none"/>
                      <w:u w:val="none" w:color="auto"/>
                      <w:lang w:val="en-US" w:eastAsia="zh-CN"/>
                    </w:rPr>
                  </w:pPr>
                  <w:r>
                    <w:rPr>
                      <w:rFonts w:hint="eastAsia"/>
                      <w:color w:val="auto"/>
                      <w:sz w:val="21"/>
                      <w:szCs w:val="22"/>
                      <w:highlight w:val="none"/>
                      <w:u w:val="none" w:color="auto"/>
                      <w:lang w:val="en-US" w:eastAsia="zh-CN"/>
                    </w:rPr>
                    <w:t>25~20</w:t>
                  </w:r>
                </w:p>
              </w:tc>
              <w:tc>
                <w:tcPr>
                  <w:tcW w:w="1330" w:type="dxa"/>
                  <w:tcBorders>
                    <w:right w:val="single" w:color="auto" w:sz="4" w:space="0"/>
                  </w:tcBorders>
                  <w:vAlign w:val="center"/>
                </w:tcPr>
                <w:p w14:paraId="6E23AE04">
                  <w:pPr>
                    <w:adjustRightInd w:val="0"/>
                    <w:snapToGrid w:val="0"/>
                    <w:spacing w:before="32" w:after="32" w:line="240" w:lineRule="auto"/>
                    <w:ind w:firstLine="0" w:firstLineChars="0"/>
                    <w:jc w:val="center"/>
                    <w:rPr>
                      <w:rFonts w:hint="default"/>
                      <w:color w:val="auto"/>
                      <w:sz w:val="21"/>
                      <w:szCs w:val="22"/>
                      <w:highlight w:val="none"/>
                      <w:u w:val="none" w:color="auto"/>
                      <w:lang w:val="en-US" w:eastAsia="zh-CN"/>
                    </w:rPr>
                  </w:pPr>
                  <w:r>
                    <w:rPr>
                      <w:rFonts w:hint="eastAsia"/>
                      <w:color w:val="auto"/>
                      <w:sz w:val="21"/>
                      <w:szCs w:val="22"/>
                      <w:highlight w:val="none"/>
                      <w:u w:val="none" w:color="auto"/>
                      <w:lang w:val="en-US" w:eastAsia="zh-CN"/>
                    </w:rPr>
                    <w:t>达标</w:t>
                  </w:r>
                </w:p>
              </w:tc>
            </w:tr>
            <w:tr w14:paraId="5765D2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8" w:type="dxa"/>
                  <w:tcBorders>
                    <w:left w:val="single" w:color="auto" w:sz="4" w:space="0"/>
                  </w:tcBorders>
                  <w:vAlign w:val="center"/>
                </w:tcPr>
                <w:p w14:paraId="528332C4">
                  <w:pPr>
                    <w:adjustRightInd w:val="0"/>
                    <w:snapToGrid w:val="0"/>
                    <w:spacing w:before="32" w:after="32" w:line="240" w:lineRule="auto"/>
                    <w:ind w:firstLine="0" w:firstLineChars="0"/>
                    <w:jc w:val="center"/>
                    <w:rPr>
                      <w:rFonts w:hint="eastAsia" w:eastAsia="宋体"/>
                      <w:color w:val="auto"/>
                      <w:sz w:val="21"/>
                      <w:szCs w:val="22"/>
                      <w:highlight w:val="none"/>
                      <w:u w:val="none" w:color="auto"/>
                      <w:lang w:eastAsia="zh-CN"/>
                    </w:rPr>
                  </w:pPr>
                  <w:r>
                    <w:rPr>
                      <w:rFonts w:hint="eastAsia"/>
                      <w:color w:val="auto"/>
                      <w:sz w:val="21"/>
                      <w:szCs w:val="22"/>
                      <w:highlight w:val="none"/>
                      <w:u w:val="none" w:color="auto"/>
                      <w:lang w:val="en-US" w:eastAsia="zh-CN"/>
                    </w:rPr>
                    <w:t>硫化氢</w:t>
                  </w:r>
                </w:p>
              </w:tc>
              <w:tc>
                <w:tcPr>
                  <w:tcW w:w="1562" w:type="dxa"/>
                  <w:vMerge w:val="continue"/>
                  <w:vAlign w:val="center"/>
                </w:tcPr>
                <w:p w14:paraId="6DF00007">
                  <w:pPr>
                    <w:adjustRightInd w:val="0"/>
                    <w:snapToGrid w:val="0"/>
                    <w:spacing w:before="32" w:after="32" w:line="240" w:lineRule="auto"/>
                    <w:ind w:firstLine="0" w:firstLineChars="0"/>
                    <w:jc w:val="center"/>
                    <w:rPr>
                      <w:color w:val="auto"/>
                      <w:sz w:val="21"/>
                      <w:szCs w:val="22"/>
                      <w:highlight w:val="none"/>
                      <w:u w:val="none" w:color="auto"/>
                    </w:rPr>
                  </w:pPr>
                </w:p>
              </w:tc>
              <w:tc>
                <w:tcPr>
                  <w:tcW w:w="1542" w:type="dxa"/>
                  <w:vAlign w:val="center"/>
                </w:tcPr>
                <w:p w14:paraId="3C64363B">
                  <w:pPr>
                    <w:adjustRightInd w:val="0"/>
                    <w:snapToGrid w:val="0"/>
                    <w:spacing w:before="32" w:after="32" w:line="240" w:lineRule="auto"/>
                    <w:ind w:firstLine="0" w:firstLineChars="0"/>
                    <w:jc w:val="center"/>
                    <w:rPr>
                      <w:rFonts w:hint="default" w:eastAsia="宋体"/>
                      <w:color w:val="auto"/>
                      <w:sz w:val="21"/>
                      <w:szCs w:val="22"/>
                      <w:highlight w:val="none"/>
                      <w:u w:val="none" w:color="auto"/>
                      <w:lang w:val="en-US" w:eastAsia="zh-CN"/>
                    </w:rPr>
                  </w:pPr>
                  <w:r>
                    <w:rPr>
                      <w:rFonts w:hint="eastAsia"/>
                      <w:color w:val="auto"/>
                      <w:sz w:val="21"/>
                      <w:szCs w:val="22"/>
                      <w:highlight w:val="none"/>
                      <w:u w:val="none" w:color="auto"/>
                      <w:lang w:val="en-US" w:eastAsia="zh-CN"/>
                    </w:rPr>
                    <w:t>ND</w:t>
                  </w:r>
                </w:p>
              </w:tc>
              <w:tc>
                <w:tcPr>
                  <w:tcW w:w="1376" w:type="dxa"/>
                  <w:vAlign w:val="center"/>
                </w:tcPr>
                <w:p w14:paraId="04F673F2">
                  <w:pPr>
                    <w:adjustRightInd w:val="0"/>
                    <w:snapToGrid w:val="0"/>
                    <w:spacing w:before="32" w:after="32" w:line="240" w:lineRule="auto"/>
                    <w:ind w:firstLine="0" w:firstLineChars="0"/>
                    <w:jc w:val="center"/>
                    <w:rPr>
                      <w:rFonts w:hint="default" w:eastAsia="宋体"/>
                      <w:color w:val="auto"/>
                      <w:sz w:val="21"/>
                      <w:szCs w:val="22"/>
                      <w:highlight w:val="none"/>
                      <w:u w:val="none" w:color="auto"/>
                      <w:lang w:val="en-US" w:eastAsia="zh-CN"/>
                    </w:rPr>
                  </w:pPr>
                  <w:r>
                    <w:rPr>
                      <w:rFonts w:hint="eastAsia"/>
                      <w:color w:val="auto"/>
                      <w:sz w:val="21"/>
                      <w:szCs w:val="22"/>
                      <w:highlight w:val="none"/>
                      <w:u w:val="none" w:color="auto"/>
                      <w:lang w:val="en-US" w:eastAsia="zh-CN"/>
                    </w:rPr>
                    <w:t>10</w:t>
                  </w:r>
                </w:p>
              </w:tc>
              <w:tc>
                <w:tcPr>
                  <w:tcW w:w="1330" w:type="dxa"/>
                  <w:vAlign w:val="center"/>
                </w:tcPr>
                <w:p w14:paraId="003AE56B">
                  <w:pPr>
                    <w:adjustRightInd w:val="0"/>
                    <w:snapToGrid w:val="0"/>
                    <w:spacing w:before="32" w:after="32" w:line="240" w:lineRule="auto"/>
                    <w:ind w:firstLine="0" w:firstLineChars="0"/>
                    <w:jc w:val="center"/>
                    <w:rPr>
                      <w:rFonts w:hint="default" w:eastAsia="宋体"/>
                      <w:color w:val="auto"/>
                      <w:sz w:val="21"/>
                      <w:szCs w:val="22"/>
                      <w:highlight w:val="none"/>
                      <w:u w:val="none" w:color="auto"/>
                      <w:lang w:val="en-US" w:eastAsia="zh-CN"/>
                    </w:rPr>
                  </w:pPr>
                  <w:r>
                    <w:rPr>
                      <w:rFonts w:hint="eastAsia"/>
                      <w:color w:val="auto"/>
                      <w:sz w:val="21"/>
                      <w:szCs w:val="22"/>
                      <w:highlight w:val="none"/>
                      <w:u w:val="none" w:color="auto"/>
                      <w:lang w:val="en-US" w:eastAsia="zh-CN"/>
                    </w:rPr>
                    <w:t>5</w:t>
                  </w:r>
                </w:p>
              </w:tc>
              <w:tc>
                <w:tcPr>
                  <w:tcW w:w="1330" w:type="dxa"/>
                  <w:tcBorders>
                    <w:right w:val="single" w:color="auto" w:sz="4" w:space="0"/>
                  </w:tcBorders>
                  <w:vAlign w:val="center"/>
                </w:tcPr>
                <w:p w14:paraId="3C3EA95C">
                  <w:pPr>
                    <w:adjustRightInd w:val="0"/>
                    <w:snapToGrid w:val="0"/>
                    <w:spacing w:before="32" w:after="32" w:line="240" w:lineRule="auto"/>
                    <w:ind w:firstLine="0" w:firstLineChars="0"/>
                    <w:jc w:val="center"/>
                    <w:rPr>
                      <w:rFonts w:hint="default"/>
                      <w:color w:val="auto"/>
                      <w:sz w:val="21"/>
                      <w:szCs w:val="22"/>
                      <w:highlight w:val="none"/>
                      <w:u w:val="none" w:color="auto"/>
                      <w:lang w:val="en-US" w:eastAsia="zh-CN"/>
                    </w:rPr>
                  </w:pPr>
                  <w:r>
                    <w:rPr>
                      <w:rFonts w:hint="eastAsia"/>
                      <w:color w:val="auto"/>
                      <w:sz w:val="21"/>
                      <w:szCs w:val="22"/>
                      <w:highlight w:val="none"/>
                      <w:u w:val="none" w:color="auto"/>
                      <w:lang w:val="en-US" w:eastAsia="zh-CN"/>
                    </w:rPr>
                    <w:t>达标</w:t>
                  </w:r>
                </w:p>
              </w:tc>
            </w:tr>
            <w:tr w14:paraId="27B36D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8" w:type="dxa"/>
                  <w:tcBorders>
                    <w:left w:val="single" w:color="auto" w:sz="4" w:space="0"/>
                  </w:tcBorders>
                  <w:vAlign w:val="center"/>
                </w:tcPr>
                <w:p w14:paraId="1F4EE435">
                  <w:pPr>
                    <w:adjustRightInd w:val="0"/>
                    <w:snapToGrid w:val="0"/>
                    <w:spacing w:before="32" w:after="32" w:line="240" w:lineRule="auto"/>
                    <w:ind w:firstLine="0" w:firstLineChars="0"/>
                    <w:jc w:val="center"/>
                    <w:rPr>
                      <w:rFonts w:hint="default" w:eastAsia="宋体"/>
                      <w:color w:val="auto"/>
                      <w:sz w:val="21"/>
                      <w:szCs w:val="22"/>
                      <w:highlight w:val="none"/>
                      <w:u w:val="none" w:color="auto"/>
                      <w:lang w:val="en-US" w:eastAsia="zh-CN"/>
                    </w:rPr>
                  </w:pPr>
                  <w:r>
                    <w:rPr>
                      <w:rFonts w:hint="eastAsia"/>
                      <w:color w:val="auto"/>
                      <w:sz w:val="21"/>
                      <w:szCs w:val="22"/>
                      <w:highlight w:val="none"/>
                      <w:u w:val="none" w:color="auto"/>
                      <w:lang w:val="en-US" w:eastAsia="zh-CN"/>
                    </w:rPr>
                    <w:t>臭气浓度</w:t>
                  </w:r>
                </w:p>
              </w:tc>
              <w:tc>
                <w:tcPr>
                  <w:tcW w:w="1562" w:type="dxa"/>
                  <w:vMerge w:val="continue"/>
                  <w:vAlign w:val="center"/>
                </w:tcPr>
                <w:p w14:paraId="556B7622">
                  <w:pPr>
                    <w:adjustRightInd w:val="0"/>
                    <w:snapToGrid w:val="0"/>
                    <w:spacing w:before="32" w:after="32" w:line="240" w:lineRule="auto"/>
                    <w:ind w:firstLine="0" w:firstLineChars="0"/>
                    <w:jc w:val="center"/>
                    <w:rPr>
                      <w:color w:val="auto"/>
                      <w:sz w:val="21"/>
                      <w:szCs w:val="22"/>
                      <w:highlight w:val="none"/>
                      <w:u w:val="none" w:color="auto"/>
                    </w:rPr>
                  </w:pPr>
                </w:p>
              </w:tc>
              <w:tc>
                <w:tcPr>
                  <w:tcW w:w="1542" w:type="dxa"/>
                  <w:vAlign w:val="center"/>
                </w:tcPr>
                <w:p w14:paraId="75976EAC">
                  <w:pPr>
                    <w:adjustRightInd w:val="0"/>
                    <w:snapToGrid w:val="0"/>
                    <w:spacing w:before="32" w:after="32" w:line="240" w:lineRule="auto"/>
                    <w:ind w:firstLine="0" w:firstLineChars="0"/>
                    <w:jc w:val="center"/>
                    <w:rPr>
                      <w:rFonts w:hint="default" w:eastAsia="宋体"/>
                      <w:color w:val="auto"/>
                      <w:sz w:val="21"/>
                      <w:szCs w:val="22"/>
                      <w:highlight w:val="none"/>
                      <w:u w:val="none" w:color="auto"/>
                      <w:lang w:val="en-US" w:eastAsia="zh-CN"/>
                    </w:rPr>
                  </w:pPr>
                  <w:r>
                    <w:rPr>
                      <w:rFonts w:hint="eastAsia"/>
                      <w:color w:val="auto"/>
                      <w:sz w:val="21"/>
                      <w:szCs w:val="22"/>
                      <w:highlight w:val="none"/>
                      <w:u w:val="none" w:color="auto"/>
                      <w:lang w:val="en-US" w:eastAsia="zh-CN"/>
                    </w:rPr>
                    <w:t>＜10（无量纲）</w:t>
                  </w:r>
                </w:p>
              </w:tc>
              <w:tc>
                <w:tcPr>
                  <w:tcW w:w="1376" w:type="dxa"/>
                  <w:vAlign w:val="center"/>
                </w:tcPr>
                <w:p w14:paraId="029BA47A">
                  <w:pPr>
                    <w:adjustRightInd w:val="0"/>
                    <w:snapToGrid w:val="0"/>
                    <w:spacing w:before="32" w:after="32" w:line="240" w:lineRule="auto"/>
                    <w:ind w:firstLine="0" w:firstLineChars="0"/>
                    <w:jc w:val="center"/>
                    <w:rPr>
                      <w:rFonts w:hint="eastAsia" w:eastAsia="宋体"/>
                      <w:color w:val="auto"/>
                      <w:sz w:val="21"/>
                      <w:szCs w:val="22"/>
                      <w:highlight w:val="none"/>
                      <w:u w:val="none" w:color="auto"/>
                      <w:lang w:eastAsia="zh-CN"/>
                    </w:rPr>
                  </w:pPr>
                  <w:r>
                    <w:rPr>
                      <w:rFonts w:hint="eastAsia"/>
                      <w:color w:val="auto"/>
                      <w:sz w:val="21"/>
                      <w:szCs w:val="22"/>
                      <w:highlight w:val="none"/>
                      <w:u w:val="none" w:color="auto"/>
                      <w:lang w:val="en-US" w:eastAsia="zh-CN"/>
                    </w:rPr>
                    <w:t>/</w:t>
                  </w:r>
                </w:p>
              </w:tc>
              <w:tc>
                <w:tcPr>
                  <w:tcW w:w="1330" w:type="dxa"/>
                  <w:vAlign w:val="center"/>
                </w:tcPr>
                <w:p w14:paraId="3A37F7DE">
                  <w:pPr>
                    <w:adjustRightInd w:val="0"/>
                    <w:snapToGrid w:val="0"/>
                    <w:spacing w:before="32" w:after="32" w:line="240" w:lineRule="auto"/>
                    <w:ind w:firstLine="0" w:firstLineChars="0"/>
                    <w:jc w:val="center"/>
                    <w:rPr>
                      <w:rFonts w:hint="eastAsia" w:eastAsia="宋体"/>
                      <w:color w:val="auto"/>
                      <w:sz w:val="21"/>
                      <w:szCs w:val="22"/>
                      <w:highlight w:val="none"/>
                      <w:u w:val="none" w:color="auto"/>
                      <w:lang w:val="en-US" w:eastAsia="zh-CN"/>
                    </w:rPr>
                  </w:pPr>
                  <w:r>
                    <w:rPr>
                      <w:rFonts w:hint="eastAsia"/>
                      <w:color w:val="auto"/>
                      <w:sz w:val="21"/>
                      <w:szCs w:val="22"/>
                      <w:highlight w:val="none"/>
                      <w:u w:val="none" w:color="auto"/>
                      <w:lang w:val="en-US" w:eastAsia="zh-CN"/>
                    </w:rPr>
                    <w:t>/</w:t>
                  </w:r>
                </w:p>
              </w:tc>
              <w:tc>
                <w:tcPr>
                  <w:tcW w:w="1330" w:type="dxa"/>
                  <w:tcBorders>
                    <w:right w:val="single" w:color="auto" w:sz="4" w:space="0"/>
                  </w:tcBorders>
                  <w:vAlign w:val="center"/>
                </w:tcPr>
                <w:p w14:paraId="22B3E82C">
                  <w:pPr>
                    <w:adjustRightInd w:val="0"/>
                    <w:snapToGrid w:val="0"/>
                    <w:spacing w:before="32" w:after="32" w:line="240" w:lineRule="auto"/>
                    <w:ind w:firstLine="0" w:firstLineChars="0"/>
                    <w:jc w:val="center"/>
                    <w:rPr>
                      <w:rFonts w:hint="default"/>
                      <w:color w:val="auto"/>
                      <w:sz w:val="21"/>
                      <w:szCs w:val="22"/>
                      <w:highlight w:val="none"/>
                      <w:u w:val="none" w:color="auto"/>
                      <w:lang w:val="en-US" w:eastAsia="zh-CN"/>
                    </w:rPr>
                  </w:pPr>
                  <w:r>
                    <w:rPr>
                      <w:rFonts w:hint="eastAsia"/>
                      <w:color w:val="auto"/>
                      <w:sz w:val="21"/>
                      <w:szCs w:val="22"/>
                      <w:highlight w:val="none"/>
                      <w:u w:val="none" w:color="auto"/>
                      <w:lang w:val="en-US" w:eastAsia="zh-CN"/>
                    </w:rPr>
                    <w:t>达标</w:t>
                  </w:r>
                </w:p>
              </w:tc>
            </w:tr>
          </w:tbl>
          <w:p w14:paraId="3B2E7A35">
            <w:pPr>
              <w:keepNext/>
              <w:keepLines/>
              <w:ind w:firstLine="480"/>
              <w:outlineLvl w:val="1"/>
              <w:rPr>
                <w:rFonts w:eastAsiaTheme="majorEastAsia"/>
                <w:bCs/>
                <w:color w:val="auto"/>
                <w:kern w:val="44"/>
                <w:szCs w:val="32"/>
                <w:u w:val="none" w:color="auto"/>
              </w:rPr>
            </w:pPr>
            <w:bookmarkStart w:id="12" w:name="_Toc127979624"/>
            <w:bookmarkStart w:id="13" w:name="_Toc127868914"/>
            <w:bookmarkStart w:id="14" w:name="_Toc128130729"/>
            <w:r>
              <w:rPr>
                <w:rFonts w:eastAsiaTheme="majorEastAsia"/>
                <w:bCs/>
                <w:color w:val="auto"/>
                <w:kern w:val="44"/>
                <w:szCs w:val="32"/>
                <w:u w:val="none" w:color="auto"/>
              </w:rPr>
              <w:t>由上表可知，</w:t>
            </w:r>
            <w:r>
              <w:rPr>
                <w:rFonts w:hint="eastAsia" w:eastAsiaTheme="majorEastAsia"/>
                <w:bCs/>
                <w:color w:val="auto"/>
                <w:kern w:val="44"/>
                <w:szCs w:val="32"/>
                <w:u w:val="none" w:color="auto"/>
                <w:lang w:val="en-US" w:eastAsia="zh-CN"/>
              </w:rPr>
              <w:t>区域氨、硫化氢1小时平均</w:t>
            </w:r>
            <w:r>
              <w:rPr>
                <w:rFonts w:eastAsiaTheme="majorEastAsia"/>
                <w:bCs/>
                <w:color w:val="auto"/>
                <w:kern w:val="44"/>
                <w:szCs w:val="32"/>
                <w:u w:val="none" w:color="auto"/>
              </w:rPr>
              <w:t>浓度达到《环境影响评价技术导则 大气环境》（HJ2.2-2018）附录D中平均质量浓度限值要求</w:t>
            </w:r>
            <w:r>
              <w:rPr>
                <w:rFonts w:hint="eastAsia" w:eastAsiaTheme="majorEastAsia"/>
                <w:bCs/>
                <w:color w:val="auto"/>
                <w:kern w:val="44"/>
                <w:szCs w:val="32"/>
                <w:u w:val="none" w:color="auto"/>
                <w:lang w:eastAsia="zh-CN"/>
              </w:rPr>
              <w:t>，</w:t>
            </w:r>
            <w:r>
              <w:rPr>
                <w:rFonts w:hint="eastAsia" w:eastAsiaTheme="majorEastAsia"/>
                <w:bCs/>
                <w:color w:val="auto"/>
                <w:kern w:val="44"/>
                <w:szCs w:val="32"/>
                <w:u w:val="none" w:color="auto"/>
                <w:lang w:val="en-US" w:eastAsia="zh-CN"/>
              </w:rPr>
              <w:t>臭气浓度为未检出</w:t>
            </w:r>
            <w:r>
              <w:rPr>
                <w:rFonts w:eastAsiaTheme="majorEastAsia"/>
                <w:bCs/>
                <w:color w:val="auto"/>
                <w:kern w:val="44"/>
                <w:szCs w:val="32"/>
                <w:u w:val="none" w:color="auto"/>
              </w:rPr>
              <w:t>。</w:t>
            </w:r>
            <w:bookmarkEnd w:id="12"/>
            <w:bookmarkEnd w:id="13"/>
            <w:bookmarkEnd w:id="14"/>
          </w:p>
          <w:p w14:paraId="4480939F">
            <w:pPr>
              <w:numPr>
                <w:ilvl w:val="0"/>
                <w:numId w:val="7"/>
              </w:numPr>
              <w:ind w:firstLineChars="0"/>
              <w:rPr>
                <w:b/>
                <w:color w:val="auto"/>
                <w:szCs w:val="22"/>
                <w:u w:val="none" w:color="auto"/>
              </w:rPr>
            </w:pPr>
            <w:r>
              <w:rPr>
                <w:b/>
                <w:color w:val="auto"/>
                <w:szCs w:val="22"/>
                <w:u w:val="none" w:color="auto"/>
              </w:rPr>
              <w:t>地表水环境</w:t>
            </w:r>
          </w:p>
          <w:p w14:paraId="2897C7E2">
            <w:pPr>
              <w:keepNext w:val="0"/>
              <w:keepLines w:val="0"/>
              <w:widowControl/>
              <w:suppressLineNumbers w:val="0"/>
              <w:jc w:val="both"/>
              <w:rPr>
                <w:color w:val="auto"/>
                <w:u w:val="none" w:color="auto"/>
              </w:rPr>
            </w:pPr>
            <w:r>
              <w:rPr>
                <w:rFonts w:hint="eastAsia" w:ascii="宋体" w:hAnsi="宋体" w:eastAsia="宋体" w:cs="宋体"/>
                <w:color w:val="auto"/>
                <w:kern w:val="0"/>
                <w:sz w:val="24"/>
                <w:szCs w:val="24"/>
                <w:u w:val="none" w:color="auto"/>
                <w:lang w:val="en-US" w:eastAsia="zh-CN" w:bidi="ar"/>
              </w:rPr>
              <w:t>本项目污水经污水处理站预处理后排入市政污水管网，纳入南宁市江南污水处理厂进一步处理，最终排入邕江（郁江）。项目最近的地表水为项目东面</w:t>
            </w:r>
            <w:r>
              <w:rPr>
                <w:rFonts w:hint="default" w:ascii="Times New Roman" w:hAnsi="Times New Roman" w:eastAsia="宋体" w:cs="Times New Roman"/>
                <w:color w:val="auto"/>
                <w:kern w:val="0"/>
                <w:sz w:val="24"/>
                <w:szCs w:val="24"/>
                <w:u w:val="none" w:color="auto"/>
                <w:lang w:val="en-US" w:eastAsia="zh-CN" w:bidi="ar"/>
              </w:rPr>
              <w:t>175m</w:t>
            </w:r>
            <w:r>
              <w:rPr>
                <w:rFonts w:hint="eastAsia" w:ascii="宋体" w:hAnsi="宋体" w:eastAsia="宋体" w:cs="宋体"/>
                <w:color w:val="auto"/>
                <w:kern w:val="0"/>
                <w:sz w:val="24"/>
                <w:szCs w:val="24"/>
                <w:u w:val="none" w:color="auto"/>
                <w:lang w:val="en-US" w:eastAsia="zh-CN" w:bidi="ar"/>
              </w:rPr>
              <w:t>的良凤江。根据《南宁市水功能区划》</w:t>
            </w:r>
            <w:r>
              <w:rPr>
                <w:rFonts w:hint="default" w:ascii="Times New Roman" w:hAnsi="Times New Roman" w:eastAsia="宋体" w:cs="Times New Roman"/>
                <w:color w:val="auto"/>
                <w:kern w:val="0"/>
                <w:sz w:val="24"/>
                <w:szCs w:val="24"/>
                <w:u w:val="none" w:color="auto"/>
                <w:lang w:val="en-US" w:eastAsia="zh-CN" w:bidi="ar"/>
              </w:rPr>
              <w:t>(</w:t>
            </w:r>
            <w:r>
              <w:rPr>
                <w:rFonts w:hint="eastAsia" w:ascii="宋体" w:hAnsi="宋体" w:eastAsia="宋体" w:cs="宋体"/>
                <w:color w:val="auto"/>
                <w:kern w:val="0"/>
                <w:sz w:val="24"/>
                <w:szCs w:val="24"/>
                <w:u w:val="none" w:color="auto"/>
                <w:lang w:val="en-US" w:eastAsia="zh-CN" w:bidi="ar"/>
              </w:rPr>
              <w:t>南府复〔</w:t>
            </w:r>
            <w:r>
              <w:rPr>
                <w:rFonts w:hint="default" w:ascii="Times New Roman" w:hAnsi="Times New Roman" w:eastAsia="宋体" w:cs="Times New Roman"/>
                <w:color w:val="auto"/>
                <w:kern w:val="0"/>
                <w:sz w:val="24"/>
                <w:szCs w:val="24"/>
                <w:u w:val="none" w:color="auto"/>
                <w:lang w:val="en-US" w:eastAsia="zh-CN" w:bidi="ar"/>
              </w:rPr>
              <w:t>2012</w:t>
            </w:r>
            <w:r>
              <w:rPr>
                <w:rFonts w:hint="eastAsia" w:ascii="宋体" w:hAnsi="宋体" w:eastAsia="宋体" w:cs="宋体"/>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107</w:t>
            </w:r>
            <w:r>
              <w:rPr>
                <w:rFonts w:hint="eastAsia" w:ascii="宋体" w:hAnsi="宋体" w:eastAsia="宋体" w:cs="宋体"/>
                <w:color w:val="auto"/>
                <w:kern w:val="0"/>
                <w:sz w:val="24"/>
                <w:szCs w:val="24"/>
                <w:u w:val="none" w:color="auto"/>
                <w:lang w:val="en-US" w:eastAsia="zh-CN" w:bidi="ar"/>
              </w:rPr>
              <w:t>号</w:t>
            </w:r>
            <w:r>
              <w:rPr>
                <w:rFonts w:hint="default" w:ascii="Times New Roman" w:hAnsi="Times New Roman" w:eastAsia="宋体" w:cs="Times New Roman"/>
                <w:color w:val="auto"/>
                <w:kern w:val="0"/>
                <w:sz w:val="24"/>
                <w:szCs w:val="24"/>
                <w:u w:val="none" w:color="auto"/>
                <w:lang w:val="en-US" w:eastAsia="zh-CN" w:bidi="ar"/>
              </w:rPr>
              <w:t>)</w:t>
            </w:r>
            <w:r>
              <w:rPr>
                <w:rFonts w:hint="eastAsia" w:ascii="宋体" w:hAnsi="宋体" w:eastAsia="宋体" w:cs="宋体"/>
                <w:color w:val="auto"/>
                <w:kern w:val="0"/>
                <w:sz w:val="24"/>
                <w:szCs w:val="24"/>
                <w:u w:val="none" w:color="auto"/>
                <w:lang w:val="en-US" w:eastAsia="zh-CN" w:bidi="ar"/>
              </w:rPr>
              <w:t>，项目所在区域良凤江水功能区划为良凤江南防铁路过渡区，执行《地表水环境质量标准》</w:t>
            </w:r>
            <w:r>
              <w:rPr>
                <w:rFonts w:hint="default" w:ascii="Times New Roman" w:hAnsi="Times New Roman" w:eastAsia="宋体" w:cs="Times New Roman"/>
                <w:color w:val="auto"/>
                <w:kern w:val="0"/>
                <w:sz w:val="24"/>
                <w:szCs w:val="24"/>
                <w:u w:val="none" w:color="auto"/>
                <w:lang w:val="en-US" w:eastAsia="zh-CN" w:bidi="ar"/>
              </w:rPr>
              <w:t>(GB3838-2002)</w:t>
            </w:r>
            <w:r>
              <w:rPr>
                <w:rFonts w:hint="eastAsia" w:ascii="宋体" w:hAnsi="宋体" w:eastAsia="宋体" w:cs="宋体"/>
                <w:color w:val="auto"/>
                <w:kern w:val="0"/>
                <w:sz w:val="24"/>
                <w:szCs w:val="24"/>
                <w:u w:val="none" w:color="auto"/>
                <w:lang w:val="en-US" w:eastAsia="zh-CN" w:bidi="ar"/>
              </w:rPr>
              <w:t>Ⅳ类标准。</w:t>
            </w:r>
          </w:p>
          <w:p w14:paraId="098B2BAF">
            <w:pPr>
              <w:keepNext w:val="0"/>
              <w:keepLines w:val="0"/>
              <w:widowControl/>
              <w:suppressLineNumbers w:val="0"/>
              <w:jc w:val="both"/>
              <w:rPr>
                <w:color w:val="auto"/>
                <w:highlight w:val="none"/>
                <w:u w:val="none" w:color="auto"/>
              </w:rPr>
            </w:pPr>
            <w:r>
              <w:rPr>
                <w:rFonts w:hint="eastAsia" w:ascii="宋体" w:hAnsi="宋体" w:eastAsia="宋体" w:cs="宋体"/>
                <w:color w:val="auto"/>
                <w:kern w:val="0"/>
                <w:sz w:val="24"/>
                <w:szCs w:val="24"/>
                <w:u w:val="none" w:color="auto"/>
                <w:lang w:val="en-US" w:eastAsia="zh-CN" w:bidi="ar"/>
              </w:rPr>
              <w:t>根据南宁市生态环境局公示的</w:t>
            </w:r>
            <w:r>
              <w:rPr>
                <w:rFonts w:hint="default" w:ascii="Times New Roman" w:hAnsi="Times New Roman" w:eastAsia="宋体" w:cs="Times New Roman"/>
                <w:color w:val="auto"/>
                <w:kern w:val="0"/>
                <w:sz w:val="24"/>
                <w:szCs w:val="24"/>
                <w:u w:val="none" w:color="auto"/>
                <w:lang w:val="en-US" w:eastAsia="zh-CN" w:bidi="ar"/>
              </w:rPr>
              <w:t>202</w:t>
            </w:r>
            <w:r>
              <w:rPr>
                <w:rFonts w:hint="eastAsia" w:ascii="Times New Roman" w:hAnsi="Times New Roman" w:eastAsia="宋体" w:cs="Times New Roman"/>
                <w:color w:val="auto"/>
                <w:kern w:val="0"/>
                <w:sz w:val="24"/>
                <w:szCs w:val="24"/>
                <w:u w:val="none" w:color="auto"/>
                <w:lang w:val="en-US" w:eastAsia="zh-CN" w:bidi="ar"/>
              </w:rPr>
              <w:t>5</w:t>
            </w:r>
            <w:r>
              <w:rPr>
                <w:rFonts w:hint="eastAsia" w:ascii="宋体" w:hAnsi="宋体" w:eastAsia="宋体" w:cs="宋体"/>
                <w:color w:val="auto"/>
                <w:kern w:val="0"/>
                <w:sz w:val="24"/>
                <w:szCs w:val="24"/>
                <w:u w:val="none" w:color="auto"/>
                <w:lang w:val="en-US" w:eastAsia="zh-CN" w:bidi="ar"/>
              </w:rPr>
              <w:t>年</w:t>
            </w:r>
            <w:r>
              <w:rPr>
                <w:rFonts w:hint="eastAsia" w:cs="Times New Roman"/>
                <w:color w:val="auto"/>
                <w:kern w:val="0"/>
                <w:sz w:val="24"/>
                <w:szCs w:val="24"/>
                <w:u w:val="none" w:color="auto"/>
                <w:lang w:val="en-US" w:eastAsia="zh-CN" w:bidi="ar"/>
              </w:rPr>
              <w:t>6</w:t>
            </w:r>
            <w:r>
              <w:rPr>
                <w:rFonts w:hint="eastAsia" w:ascii="宋体" w:hAnsi="宋体" w:eastAsia="宋体" w:cs="宋体"/>
                <w:color w:val="auto"/>
                <w:kern w:val="0"/>
                <w:sz w:val="24"/>
                <w:szCs w:val="24"/>
                <w:u w:val="none" w:color="auto"/>
                <w:lang w:val="en-US" w:eastAsia="zh-CN" w:bidi="ar"/>
              </w:rPr>
              <w:t>月南宁市生态环境质量信息可知，2025年</w:t>
            </w:r>
            <w:r>
              <w:rPr>
                <w:rFonts w:hint="eastAsia" w:ascii="宋体" w:hAnsi="宋体" w:cs="宋体"/>
                <w:color w:val="auto"/>
                <w:kern w:val="0"/>
                <w:sz w:val="24"/>
                <w:szCs w:val="24"/>
                <w:u w:val="none" w:color="auto"/>
                <w:lang w:val="en-US" w:eastAsia="zh-CN" w:bidi="ar"/>
              </w:rPr>
              <w:t>6</w:t>
            </w:r>
            <w:r>
              <w:rPr>
                <w:rFonts w:hint="eastAsia" w:ascii="宋体" w:hAnsi="宋体" w:eastAsia="宋体" w:cs="宋体"/>
                <w:color w:val="auto"/>
                <w:kern w:val="0"/>
                <w:sz w:val="24"/>
                <w:szCs w:val="24"/>
                <w:u w:val="none" w:color="auto"/>
                <w:lang w:val="en-US" w:eastAsia="zh-CN" w:bidi="ar"/>
              </w:rPr>
              <w:t>月南宁市地表水总体水质优良。南宁市境内有10个国控断面，其中8个考核南宁市，2个上游来水断面分别考核崇左市、百色市。南宁市国考断面水质优良比例为100%，其中Ⅰ类水质断面占12.5%，Ⅱ类占50.0%，Ⅲ类占37.5%。廖平桥、莲山、都安断面水质均优于相应考核目标要求，白马、老口、六景、南岸断面水质均达到考核目标要求，叮当受总磷影响水质为Ⅲ类未达到考核目标Ⅱ类要求。</w:t>
            </w:r>
          </w:p>
          <w:p w14:paraId="2C08BDBC">
            <w:pPr>
              <w:pStyle w:val="36"/>
              <w:numPr>
                <w:ilvl w:val="0"/>
                <w:numId w:val="7"/>
              </w:numPr>
              <w:ind w:firstLineChars="0"/>
              <w:rPr>
                <w:b/>
                <w:color w:val="auto"/>
                <w:highlight w:val="none"/>
                <w:u w:val="none" w:color="auto"/>
              </w:rPr>
            </w:pPr>
            <w:r>
              <w:rPr>
                <w:b/>
                <w:color w:val="auto"/>
                <w:highlight w:val="none"/>
                <w:u w:val="none" w:color="auto"/>
              </w:rPr>
              <w:t>声环境</w:t>
            </w:r>
          </w:p>
          <w:p w14:paraId="757AEB45">
            <w:pPr>
              <w:adjustRightInd w:val="0"/>
              <w:snapToGrid w:val="0"/>
              <w:spacing w:line="360" w:lineRule="auto"/>
              <w:ind w:firstLine="480" w:firstLineChars="200"/>
              <w:rPr>
                <w:rFonts w:hint="default"/>
                <w:color w:val="auto"/>
                <w:highlight w:val="none"/>
                <w:u w:val="none" w:color="auto"/>
                <w:lang w:val="en-US" w:eastAsia="zh-CN"/>
              </w:rPr>
            </w:pPr>
            <w:r>
              <w:rPr>
                <w:rFonts w:hint="eastAsia"/>
                <w:color w:val="auto"/>
                <w:highlight w:val="none"/>
                <w:u w:val="none" w:color="auto"/>
                <w:lang w:val="en-US" w:eastAsia="zh-CN"/>
              </w:rPr>
              <w:t>项目所在区域未划定声环境功能区划，结合项目所在区域，项目东侧有主干道友谊路经过，属于有交通干线经过的村庄，可整体按2类声环境功能区执行；友谊路两侧35±5m执行4a类声环境区划。本项目距离友谊路约33米，根据</w:t>
            </w:r>
            <w:r>
              <w:rPr>
                <w:rFonts w:hint="eastAsia" w:ascii="Times New Roman" w:hAnsi="Times New Roman" w:eastAsia="宋体" w:cs="Times New Roman"/>
                <w:color w:val="auto"/>
                <w:sz w:val="24"/>
                <w:highlight w:val="none"/>
                <w:u w:val="none" w:color="auto"/>
                <w:lang w:val="en-US" w:eastAsia="zh-CN"/>
              </w:rPr>
              <w:t>《声环境功能区划分技术规范》</w:t>
            </w:r>
            <w:r>
              <w:rPr>
                <w:rFonts w:hint="eastAsia"/>
                <w:color w:val="auto"/>
                <w:highlight w:val="none"/>
                <w:u w:val="none" w:color="auto"/>
                <w:lang w:val="en-US" w:eastAsia="zh-CN"/>
              </w:rPr>
              <w:t>（GB/T15190-2014）：两侧若临路以高于三层楼房建筑（含三层）为主，第一排建筑面向道路一侧至交通干线边界线的区域执行《声环境质量标准》（GB3096-2008）4a类标准，本项目临路第一排建筑为6层，因此</w:t>
            </w:r>
            <w:r>
              <w:rPr>
                <w:rFonts w:hint="eastAsia" w:ascii="Times New Roman" w:hAnsi="Times New Roman" w:eastAsia="宋体" w:cs="Times New Roman"/>
                <w:color w:val="auto"/>
                <w:sz w:val="24"/>
                <w:highlight w:val="none"/>
                <w:u w:val="none" w:color="auto"/>
                <w:lang w:val="en-US" w:eastAsia="zh-CN"/>
              </w:rPr>
              <w:t>将项目所在楼房面向交通干线一侧至交通干线边界线的区域定为4a类声环境功能区，其他区域执行2类声环境功能区。</w:t>
            </w:r>
          </w:p>
          <w:p w14:paraId="2686568B">
            <w:pPr>
              <w:adjustRightInd w:val="0"/>
              <w:snapToGrid w:val="0"/>
              <w:spacing w:line="360" w:lineRule="auto"/>
              <w:ind w:firstLine="480" w:firstLineChars="200"/>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为了解项目区域声环境质量，</w:t>
            </w:r>
            <w:r>
              <w:rPr>
                <w:rFonts w:hint="eastAsia" w:ascii="Times New Roman" w:hAnsi="Times New Roman" w:eastAsia="宋体" w:cs="Times New Roman"/>
                <w:color w:val="auto"/>
                <w:sz w:val="24"/>
                <w:highlight w:val="none"/>
                <w:u w:val="none" w:color="auto"/>
              </w:rPr>
              <w:t>根据《环境影响评价技术导则</w:t>
            </w:r>
            <w:r>
              <w:rPr>
                <w:rFonts w:hint="eastAsia" w:ascii="Times New Roman" w:hAnsi="Times New Roman" w:eastAsia="宋体" w:cs="Times New Roman"/>
                <w:color w:val="auto"/>
                <w:sz w:val="24"/>
                <w:highlight w:val="none"/>
                <w:u w:val="none" w:color="auto"/>
                <w:lang w:val="en-US" w:eastAsia="zh-CN"/>
              </w:rPr>
              <w:t xml:space="preserve">  </w:t>
            </w:r>
            <w:r>
              <w:rPr>
                <w:rFonts w:hint="eastAsia" w:ascii="Times New Roman" w:hAnsi="Times New Roman" w:eastAsia="宋体" w:cs="Times New Roman"/>
                <w:color w:val="auto"/>
                <w:sz w:val="24"/>
                <w:highlight w:val="none"/>
                <w:u w:val="none" w:color="auto"/>
              </w:rPr>
              <w:t>声环境》（HJ2.4-2</w:t>
            </w:r>
            <w:r>
              <w:rPr>
                <w:rFonts w:hint="eastAsia" w:cs="Times New Roman"/>
                <w:color w:val="auto"/>
                <w:sz w:val="24"/>
                <w:highlight w:val="none"/>
                <w:u w:val="none" w:color="auto"/>
                <w:lang w:val="en-US" w:eastAsia="zh-CN"/>
              </w:rPr>
              <w:t>021</w:t>
            </w:r>
            <w:r>
              <w:rPr>
                <w:rFonts w:hint="eastAsia" w:ascii="Times New Roman" w:hAnsi="Times New Roman" w:eastAsia="宋体" w:cs="Times New Roman"/>
                <w:color w:val="auto"/>
                <w:sz w:val="24"/>
                <w:highlight w:val="none"/>
                <w:u w:val="none" w:color="auto"/>
              </w:rPr>
              <w:t>）有关技术要求并结合项目场地情况，</w:t>
            </w:r>
            <w:r>
              <w:rPr>
                <w:rFonts w:hint="eastAsia" w:ascii="Times New Roman" w:hAnsi="Times New Roman" w:eastAsia="宋体" w:cs="Times New Roman"/>
                <w:color w:val="auto"/>
                <w:sz w:val="24"/>
                <w:highlight w:val="none"/>
                <w:u w:val="none" w:color="auto"/>
                <w:lang w:val="en-US" w:eastAsia="zh-CN"/>
              </w:rPr>
              <w:t>本项目委托广西水电科学研究院有限公司特立资源与环境检测分公司于202</w:t>
            </w:r>
            <w:r>
              <w:rPr>
                <w:rFonts w:hint="eastAsia" w:cs="Times New Roman"/>
                <w:color w:val="auto"/>
                <w:sz w:val="24"/>
                <w:highlight w:val="none"/>
                <w:u w:val="none" w:color="auto"/>
                <w:lang w:val="en-US" w:eastAsia="zh-CN"/>
              </w:rPr>
              <w:t>5</w:t>
            </w:r>
            <w:r>
              <w:rPr>
                <w:rFonts w:hint="eastAsia" w:ascii="Times New Roman" w:hAnsi="Times New Roman" w:eastAsia="宋体" w:cs="Times New Roman"/>
                <w:color w:val="auto"/>
                <w:sz w:val="24"/>
                <w:highlight w:val="none"/>
                <w:u w:val="none" w:color="auto"/>
                <w:lang w:val="en-US" w:eastAsia="zh-CN"/>
              </w:rPr>
              <w:t>年0</w:t>
            </w:r>
            <w:r>
              <w:rPr>
                <w:rFonts w:hint="eastAsia" w:cs="Times New Roman"/>
                <w:color w:val="auto"/>
                <w:sz w:val="24"/>
                <w:highlight w:val="none"/>
                <w:u w:val="none" w:color="auto"/>
                <w:lang w:val="en-US" w:eastAsia="zh-CN"/>
              </w:rPr>
              <w:t>4</w:t>
            </w:r>
            <w:r>
              <w:rPr>
                <w:rFonts w:hint="eastAsia" w:ascii="Times New Roman" w:hAnsi="Times New Roman" w:eastAsia="宋体" w:cs="Times New Roman"/>
                <w:color w:val="auto"/>
                <w:sz w:val="24"/>
                <w:highlight w:val="none"/>
                <w:u w:val="none" w:color="auto"/>
                <w:lang w:val="en-US" w:eastAsia="zh-CN"/>
              </w:rPr>
              <w:t>月</w:t>
            </w:r>
            <w:r>
              <w:rPr>
                <w:rFonts w:hint="eastAsia" w:cs="Times New Roman"/>
                <w:color w:val="auto"/>
                <w:sz w:val="24"/>
                <w:highlight w:val="none"/>
                <w:u w:val="none" w:color="auto"/>
                <w:lang w:val="en-US" w:eastAsia="zh-CN"/>
              </w:rPr>
              <w:t>03</w:t>
            </w:r>
            <w:r>
              <w:rPr>
                <w:rFonts w:hint="eastAsia" w:ascii="Times New Roman" w:hAnsi="Times New Roman" w:eastAsia="宋体" w:cs="Times New Roman"/>
                <w:color w:val="auto"/>
                <w:sz w:val="24"/>
                <w:highlight w:val="none"/>
                <w:u w:val="none" w:color="auto"/>
                <w:lang w:val="en-US" w:eastAsia="zh-CN"/>
              </w:rPr>
              <w:t>日至</w:t>
            </w:r>
            <w:r>
              <w:rPr>
                <w:rFonts w:hint="eastAsia" w:cs="Times New Roman"/>
                <w:color w:val="auto"/>
                <w:sz w:val="24"/>
                <w:highlight w:val="none"/>
                <w:u w:val="none" w:color="auto"/>
                <w:lang w:val="en-US" w:eastAsia="zh-CN"/>
              </w:rPr>
              <w:t>04</w:t>
            </w:r>
            <w:r>
              <w:rPr>
                <w:rFonts w:hint="eastAsia" w:ascii="Times New Roman" w:hAnsi="Times New Roman" w:eastAsia="宋体" w:cs="Times New Roman"/>
                <w:color w:val="auto"/>
                <w:sz w:val="24"/>
                <w:highlight w:val="none"/>
                <w:u w:val="none" w:color="auto"/>
                <w:lang w:val="en-US" w:eastAsia="zh-CN"/>
              </w:rPr>
              <w:t>日对项目场界四周及声环境保护目标进行了监测，监测结果如下：</w:t>
            </w:r>
          </w:p>
          <w:p w14:paraId="1B7868E1">
            <w:pPr>
              <w:pStyle w:val="10"/>
              <w:numPr>
                <w:ilvl w:val="0"/>
                <w:numId w:val="3"/>
              </w:numPr>
              <w:ind w:left="0" w:firstLine="0" w:firstLineChars="0"/>
              <w:jc w:val="center"/>
              <w:rPr>
                <w:rFonts w:hint="eastAsia" w:ascii="黑体" w:hAnsi="黑体" w:eastAsia="黑体"/>
                <w:b w:val="0"/>
                <w:color w:val="auto"/>
                <w:highlight w:val="none"/>
                <w:u w:val="none" w:color="auto"/>
                <w:lang w:val="en-US" w:eastAsia="zh-CN"/>
              </w:rPr>
            </w:pPr>
            <w:r>
              <w:rPr>
                <w:rFonts w:hint="eastAsia" w:ascii="黑体" w:hAnsi="黑体" w:eastAsia="黑体"/>
                <w:b w:val="0"/>
                <w:color w:val="auto"/>
                <w:highlight w:val="none"/>
                <w:u w:val="none" w:color="auto"/>
                <w:lang w:val="en-US" w:eastAsia="zh-CN"/>
              </w:rPr>
              <w:t>区域声环境监测结果表（单位dB（A））</w:t>
            </w:r>
          </w:p>
          <w:tbl>
            <w:tblPr>
              <w:tblStyle w:val="22"/>
              <w:tblW w:w="91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212"/>
              <w:gridCol w:w="1311"/>
              <w:gridCol w:w="1356"/>
              <w:gridCol w:w="1636"/>
              <w:gridCol w:w="1636"/>
              <w:gridCol w:w="1248"/>
            </w:tblGrid>
            <w:tr w14:paraId="7A736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15" w:type="dxa"/>
                  <w:vAlign w:val="center"/>
                </w:tcPr>
                <w:p w14:paraId="63DD308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u w:val="none" w:color="auto"/>
                      <w:shd w:val="clear" w:color="auto" w:fill="FFFFFF"/>
                    </w:rPr>
                  </w:pPr>
                  <w:r>
                    <w:rPr>
                      <w:rFonts w:hint="default" w:ascii="Times New Roman" w:hAnsi="Times New Roman" w:eastAsia="宋体" w:cs="Times New Roman"/>
                      <w:b/>
                      <w:color w:val="auto"/>
                      <w:sz w:val="21"/>
                      <w:szCs w:val="21"/>
                      <w:u w:val="none" w:color="auto"/>
                      <w:shd w:val="clear" w:color="auto" w:fill="FFFFFF"/>
                    </w:rPr>
                    <w:t>序号</w:t>
                  </w:r>
                </w:p>
              </w:tc>
              <w:tc>
                <w:tcPr>
                  <w:tcW w:w="1212" w:type="dxa"/>
                  <w:vAlign w:val="center"/>
                </w:tcPr>
                <w:p w14:paraId="4C9A935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u w:val="none" w:color="auto"/>
                      <w:shd w:val="clear" w:color="auto" w:fill="FFFFFF"/>
                    </w:rPr>
                  </w:pPr>
                  <w:r>
                    <w:rPr>
                      <w:rFonts w:hint="default" w:ascii="Times New Roman" w:hAnsi="Times New Roman" w:eastAsia="宋体" w:cs="Times New Roman"/>
                      <w:b/>
                      <w:color w:val="auto"/>
                      <w:sz w:val="21"/>
                      <w:szCs w:val="21"/>
                      <w:u w:val="none" w:color="auto"/>
                      <w:shd w:val="clear" w:color="auto" w:fill="FFFFFF"/>
                    </w:rPr>
                    <w:t>监测点位</w:t>
                  </w:r>
                </w:p>
              </w:tc>
              <w:tc>
                <w:tcPr>
                  <w:tcW w:w="1311" w:type="dxa"/>
                  <w:vAlign w:val="center"/>
                </w:tcPr>
                <w:p w14:paraId="35F9166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u w:val="none" w:color="auto"/>
                      <w:shd w:val="clear" w:color="auto" w:fill="FFFFFF"/>
                    </w:rPr>
                  </w:pPr>
                  <w:r>
                    <w:rPr>
                      <w:rFonts w:hint="default" w:ascii="Times New Roman" w:hAnsi="Times New Roman" w:eastAsia="宋体" w:cs="Times New Roman"/>
                      <w:b/>
                      <w:bCs/>
                      <w:color w:val="auto"/>
                      <w:sz w:val="21"/>
                      <w:szCs w:val="21"/>
                      <w:u w:val="none" w:color="auto"/>
                      <w:shd w:val="clear" w:color="auto" w:fill="FFFFFF"/>
                    </w:rPr>
                    <w:t>监测日期</w:t>
                  </w:r>
                </w:p>
              </w:tc>
              <w:tc>
                <w:tcPr>
                  <w:tcW w:w="1356" w:type="dxa"/>
                  <w:vAlign w:val="center"/>
                </w:tcPr>
                <w:p w14:paraId="7F8805F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u w:val="none" w:color="auto"/>
                    </w:rPr>
                  </w:pPr>
                  <w:r>
                    <w:rPr>
                      <w:rFonts w:hint="default" w:ascii="Times New Roman" w:hAnsi="Times New Roman" w:eastAsia="宋体" w:cs="Times New Roman"/>
                      <w:b/>
                      <w:bCs/>
                      <w:color w:val="auto"/>
                      <w:kern w:val="0"/>
                      <w:sz w:val="21"/>
                      <w:szCs w:val="21"/>
                      <w:u w:val="none" w:color="auto"/>
                    </w:rPr>
                    <w:t>监测时段</w:t>
                  </w:r>
                </w:p>
              </w:tc>
              <w:tc>
                <w:tcPr>
                  <w:tcW w:w="1636" w:type="dxa"/>
                  <w:vAlign w:val="center"/>
                </w:tcPr>
                <w:p w14:paraId="107F371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u w:val="none" w:color="auto"/>
                    </w:rPr>
                  </w:pPr>
                  <w:r>
                    <w:rPr>
                      <w:rFonts w:hint="default" w:ascii="Times New Roman" w:hAnsi="Times New Roman" w:eastAsia="宋体" w:cs="Times New Roman"/>
                      <w:b/>
                      <w:bCs/>
                      <w:color w:val="auto"/>
                      <w:kern w:val="0"/>
                      <w:sz w:val="21"/>
                      <w:szCs w:val="21"/>
                      <w:u w:val="none" w:color="auto"/>
                    </w:rPr>
                    <w:t>监测值</w:t>
                  </w:r>
                  <w:r>
                    <w:rPr>
                      <w:rFonts w:hint="default" w:ascii="Times New Roman" w:hAnsi="Times New Roman" w:eastAsia="宋体" w:cs="Times New Roman"/>
                      <w:b/>
                      <w:bCs/>
                      <w:color w:val="auto"/>
                      <w:sz w:val="21"/>
                      <w:szCs w:val="21"/>
                      <w:u w:val="none" w:color="auto"/>
                    </w:rPr>
                    <w:t>（Leq）</w:t>
                  </w:r>
                </w:p>
              </w:tc>
              <w:tc>
                <w:tcPr>
                  <w:tcW w:w="1636" w:type="dxa"/>
                  <w:vAlign w:val="center"/>
                </w:tcPr>
                <w:p w14:paraId="0A6D88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标准限值</w:t>
                  </w:r>
                  <w:r>
                    <w:rPr>
                      <w:rFonts w:hint="default" w:ascii="Times New Roman" w:hAnsi="Times New Roman" w:eastAsia="宋体" w:cs="Times New Roman"/>
                      <w:b/>
                      <w:bCs/>
                      <w:color w:val="auto"/>
                      <w:sz w:val="21"/>
                      <w:szCs w:val="21"/>
                      <w:u w:val="none" w:color="auto"/>
                    </w:rPr>
                    <w:t>（Leq）</w:t>
                  </w:r>
                </w:p>
              </w:tc>
              <w:tc>
                <w:tcPr>
                  <w:tcW w:w="1248" w:type="dxa"/>
                  <w:vAlign w:val="center"/>
                </w:tcPr>
                <w:p w14:paraId="09BD6F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达标情况</w:t>
                  </w:r>
                </w:p>
              </w:tc>
            </w:tr>
            <w:tr w14:paraId="661E5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vMerge w:val="restart"/>
                  <w:vAlign w:val="center"/>
                </w:tcPr>
                <w:p w14:paraId="4669EEA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1</w:t>
                  </w:r>
                </w:p>
              </w:tc>
              <w:tc>
                <w:tcPr>
                  <w:tcW w:w="1212" w:type="dxa"/>
                  <w:vMerge w:val="restart"/>
                  <w:vAlign w:val="center"/>
                </w:tcPr>
                <w:p w14:paraId="689E83D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项目东面场界外1m（N1）</w:t>
                  </w:r>
                </w:p>
              </w:tc>
              <w:tc>
                <w:tcPr>
                  <w:tcW w:w="1311" w:type="dxa"/>
                  <w:vMerge w:val="restart"/>
                  <w:vAlign w:val="center"/>
                </w:tcPr>
                <w:p w14:paraId="3462E8E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rPr>
                    <w:t>2025.04.03</w:t>
                  </w:r>
                </w:p>
              </w:tc>
              <w:tc>
                <w:tcPr>
                  <w:tcW w:w="1356" w:type="dxa"/>
                  <w:vAlign w:val="center"/>
                </w:tcPr>
                <w:p w14:paraId="19446E7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昼间</w:t>
                  </w:r>
                </w:p>
              </w:tc>
              <w:tc>
                <w:tcPr>
                  <w:tcW w:w="1636" w:type="dxa"/>
                  <w:vAlign w:val="center"/>
                </w:tcPr>
                <w:p w14:paraId="3D48233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58.7</w:t>
                  </w:r>
                </w:p>
              </w:tc>
              <w:tc>
                <w:tcPr>
                  <w:tcW w:w="1636" w:type="dxa"/>
                  <w:vAlign w:val="center"/>
                </w:tcPr>
                <w:p w14:paraId="5F34C11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lang w:val="en-US" w:eastAsia="zh-CN"/>
                    </w:rPr>
                  </w:pPr>
                  <w:r>
                    <w:rPr>
                      <w:rFonts w:hint="eastAsia" w:ascii="Times New Roman" w:hAnsi="Times New Roman" w:eastAsia="宋体" w:cs="Times New Roman"/>
                      <w:color w:val="auto"/>
                      <w:sz w:val="21"/>
                      <w:szCs w:val="21"/>
                      <w:u w:val="none" w:color="auto"/>
                      <w:shd w:val="clear" w:color="auto" w:fill="FFFFFF"/>
                      <w:lang w:val="en-US" w:eastAsia="zh-CN"/>
                    </w:rPr>
                    <w:t>70</w:t>
                  </w:r>
                </w:p>
              </w:tc>
              <w:tc>
                <w:tcPr>
                  <w:tcW w:w="1248" w:type="dxa"/>
                  <w:vAlign w:val="center"/>
                </w:tcPr>
                <w:p w14:paraId="096FA6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shd w:val="clear" w:color="auto" w:fill="FFFFFF"/>
                      <w:lang w:val="en-US" w:eastAsia="zh-CN"/>
                    </w:rPr>
                  </w:pPr>
                  <w:r>
                    <w:rPr>
                      <w:rFonts w:hint="eastAsia" w:ascii="Times New Roman" w:hAnsi="Times New Roman" w:eastAsia="宋体" w:cs="Times New Roman"/>
                      <w:color w:val="auto"/>
                      <w:sz w:val="21"/>
                      <w:szCs w:val="21"/>
                      <w:u w:val="none" w:color="auto"/>
                      <w:shd w:val="clear" w:color="auto" w:fill="FFFFFF"/>
                      <w:lang w:val="en-US" w:eastAsia="zh-CN"/>
                    </w:rPr>
                    <w:t>达标</w:t>
                  </w:r>
                </w:p>
              </w:tc>
            </w:tr>
            <w:tr w14:paraId="1A2CC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vMerge w:val="continue"/>
                  <w:vAlign w:val="center"/>
                </w:tcPr>
                <w:p w14:paraId="70E6BFE9">
                  <w:pPr>
                    <w:pStyle w:val="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rPr>
                  </w:pPr>
                </w:p>
              </w:tc>
              <w:tc>
                <w:tcPr>
                  <w:tcW w:w="1212" w:type="dxa"/>
                  <w:vMerge w:val="continue"/>
                  <w:vAlign w:val="center"/>
                </w:tcPr>
                <w:p w14:paraId="540C588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11" w:type="dxa"/>
                  <w:vMerge w:val="continue"/>
                  <w:vAlign w:val="center"/>
                </w:tcPr>
                <w:p w14:paraId="32DF070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56" w:type="dxa"/>
                  <w:vAlign w:val="center"/>
                </w:tcPr>
                <w:p w14:paraId="0C33022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夜间</w:t>
                  </w:r>
                </w:p>
              </w:tc>
              <w:tc>
                <w:tcPr>
                  <w:tcW w:w="1636" w:type="dxa"/>
                  <w:vAlign w:val="center"/>
                </w:tcPr>
                <w:p w14:paraId="65011FB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46.1</w:t>
                  </w:r>
                </w:p>
              </w:tc>
              <w:tc>
                <w:tcPr>
                  <w:tcW w:w="1636" w:type="dxa"/>
                  <w:vAlign w:val="center"/>
                </w:tcPr>
                <w:p w14:paraId="694B5CD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lang w:val="en-US" w:eastAsia="zh-CN"/>
                    </w:rPr>
                  </w:pPr>
                  <w:r>
                    <w:rPr>
                      <w:rFonts w:hint="eastAsia" w:ascii="Times New Roman" w:hAnsi="Times New Roman" w:eastAsia="宋体" w:cs="Times New Roman"/>
                      <w:color w:val="auto"/>
                      <w:sz w:val="21"/>
                      <w:szCs w:val="21"/>
                      <w:u w:val="none" w:color="auto"/>
                      <w:shd w:val="clear" w:color="auto" w:fill="FFFFFF"/>
                      <w:lang w:val="en-US" w:eastAsia="zh-CN"/>
                    </w:rPr>
                    <w:t>55</w:t>
                  </w:r>
                </w:p>
              </w:tc>
              <w:tc>
                <w:tcPr>
                  <w:tcW w:w="1248" w:type="dxa"/>
                  <w:vAlign w:val="center"/>
                </w:tcPr>
                <w:p w14:paraId="21D7FD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eastAsia" w:ascii="Times New Roman" w:hAnsi="Times New Roman" w:eastAsia="宋体" w:cs="Times New Roman"/>
                      <w:color w:val="auto"/>
                      <w:sz w:val="21"/>
                      <w:szCs w:val="21"/>
                      <w:u w:val="none" w:color="auto"/>
                      <w:shd w:val="clear" w:color="auto" w:fill="FFFFFF"/>
                      <w:lang w:val="en-US" w:eastAsia="zh-CN"/>
                    </w:rPr>
                    <w:t>达标</w:t>
                  </w:r>
                </w:p>
              </w:tc>
            </w:tr>
            <w:tr w14:paraId="57D37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vMerge w:val="continue"/>
                  <w:vAlign w:val="center"/>
                </w:tcPr>
                <w:p w14:paraId="48437B18">
                  <w:pPr>
                    <w:pStyle w:val="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rPr>
                  </w:pPr>
                </w:p>
              </w:tc>
              <w:tc>
                <w:tcPr>
                  <w:tcW w:w="1212" w:type="dxa"/>
                  <w:vMerge w:val="continue"/>
                  <w:vAlign w:val="center"/>
                </w:tcPr>
                <w:p w14:paraId="330D7C0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11" w:type="dxa"/>
                  <w:vMerge w:val="restart"/>
                  <w:vAlign w:val="center"/>
                </w:tcPr>
                <w:p w14:paraId="7660276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rPr>
                    <w:t>2025.04.04</w:t>
                  </w:r>
                </w:p>
              </w:tc>
              <w:tc>
                <w:tcPr>
                  <w:tcW w:w="1356" w:type="dxa"/>
                  <w:vAlign w:val="center"/>
                </w:tcPr>
                <w:p w14:paraId="3D4B0F2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昼间</w:t>
                  </w:r>
                </w:p>
              </w:tc>
              <w:tc>
                <w:tcPr>
                  <w:tcW w:w="1636" w:type="dxa"/>
                  <w:vAlign w:val="center"/>
                </w:tcPr>
                <w:p w14:paraId="4D447D2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58.4</w:t>
                  </w:r>
                </w:p>
              </w:tc>
              <w:tc>
                <w:tcPr>
                  <w:tcW w:w="1636" w:type="dxa"/>
                  <w:vAlign w:val="center"/>
                </w:tcPr>
                <w:p w14:paraId="1472405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lang w:val="en-US" w:eastAsia="zh-CN"/>
                    </w:rPr>
                  </w:pPr>
                  <w:r>
                    <w:rPr>
                      <w:rFonts w:hint="eastAsia" w:ascii="Times New Roman" w:hAnsi="Times New Roman" w:eastAsia="宋体" w:cs="Times New Roman"/>
                      <w:color w:val="auto"/>
                      <w:sz w:val="21"/>
                      <w:szCs w:val="21"/>
                      <w:u w:val="none" w:color="auto"/>
                      <w:shd w:val="clear" w:color="auto" w:fill="FFFFFF"/>
                      <w:lang w:val="en-US" w:eastAsia="zh-CN"/>
                    </w:rPr>
                    <w:t>70</w:t>
                  </w:r>
                </w:p>
              </w:tc>
              <w:tc>
                <w:tcPr>
                  <w:tcW w:w="1248" w:type="dxa"/>
                  <w:vAlign w:val="center"/>
                </w:tcPr>
                <w:p w14:paraId="50238B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eastAsia" w:ascii="Times New Roman" w:hAnsi="Times New Roman" w:eastAsia="宋体" w:cs="Times New Roman"/>
                      <w:color w:val="auto"/>
                      <w:sz w:val="21"/>
                      <w:szCs w:val="21"/>
                      <w:u w:val="none" w:color="auto"/>
                      <w:shd w:val="clear" w:color="auto" w:fill="FFFFFF"/>
                      <w:lang w:val="en-US" w:eastAsia="zh-CN"/>
                    </w:rPr>
                    <w:t>达标</w:t>
                  </w:r>
                </w:p>
              </w:tc>
            </w:tr>
            <w:tr w14:paraId="5DE1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vMerge w:val="continue"/>
                  <w:vAlign w:val="center"/>
                </w:tcPr>
                <w:p w14:paraId="68F52530">
                  <w:pPr>
                    <w:pStyle w:val="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rPr>
                  </w:pPr>
                </w:p>
              </w:tc>
              <w:tc>
                <w:tcPr>
                  <w:tcW w:w="1212" w:type="dxa"/>
                  <w:vMerge w:val="continue"/>
                  <w:vAlign w:val="center"/>
                </w:tcPr>
                <w:p w14:paraId="02941AA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11" w:type="dxa"/>
                  <w:vMerge w:val="continue"/>
                  <w:vAlign w:val="center"/>
                </w:tcPr>
                <w:p w14:paraId="0C4710F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56" w:type="dxa"/>
                  <w:vAlign w:val="center"/>
                </w:tcPr>
                <w:p w14:paraId="7EA3315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夜间</w:t>
                  </w:r>
                </w:p>
              </w:tc>
              <w:tc>
                <w:tcPr>
                  <w:tcW w:w="1636" w:type="dxa"/>
                  <w:vAlign w:val="center"/>
                </w:tcPr>
                <w:p w14:paraId="26BECD9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46.4</w:t>
                  </w:r>
                </w:p>
              </w:tc>
              <w:tc>
                <w:tcPr>
                  <w:tcW w:w="1636" w:type="dxa"/>
                  <w:vAlign w:val="center"/>
                </w:tcPr>
                <w:p w14:paraId="6A51864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lang w:val="en-US" w:eastAsia="zh-CN"/>
                    </w:rPr>
                  </w:pPr>
                  <w:r>
                    <w:rPr>
                      <w:rFonts w:hint="eastAsia" w:ascii="Times New Roman" w:hAnsi="Times New Roman" w:eastAsia="宋体" w:cs="Times New Roman"/>
                      <w:color w:val="auto"/>
                      <w:sz w:val="21"/>
                      <w:szCs w:val="21"/>
                      <w:u w:val="none" w:color="auto"/>
                      <w:shd w:val="clear" w:color="auto" w:fill="FFFFFF"/>
                      <w:lang w:val="en-US" w:eastAsia="zh-CN"/>
                    </w:rPr>
                    <w:t>55</w:t>
                  </w:r>
                </w:p>
              </w:tc>
              <w:tc>
                <w:tcPr>
                  <w:tcW w:w="1248" w:type="dxa"/>
                  <w:vAlign w:val="center"/>
                </w:tcPr>
                <w:p w14:paraId="28EC9F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eastAsia" w:ascii="Times New Roman" w:hAnsi="Times New Roman" w:eastAsia="宋体" w:cs="Times New Roman"/>
                      <w:color w:val="auto"/>
                      <w:sz w:val="21"/>
                      <w:szCs w:val="21"/>
                      <w:u w:val="none" w:color="auto"/>
                      <w:shd w:val="clear" w:color="auto" w:fill="FFFFFF"/>
                      <w:lang w:val="en-US" w:eastAsia="zh-CN"/>
                    </w:rPr>
                    <w:t>达标</w:t>
                  </w:r>
                </w:p>
              </w:tc>
            </w:tr>
            <w:tr w14:paraId="34943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vMerge w:val="restart"/>
                  <w:vAlign w:val="center"/>
                </w:tcPr>
                <w:p w14:paraId="37B7E92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2</w:t>
                  </w:r>
                </w:p>
              </w:tc>
              <w:tc>
                <w:tcPr>
                  <w:tcW w:w="1212" w:type="dxa"/>
                  <w:vMerge w:val="restart"/>
                  <w:vAlign w:val="center"/>
                </w:tcPr>
                <w:p w14:paraId="0469094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项目南面场界外1m（N2）</w:t>
                  </w:r>
                </w:p>
              </w:tc>
              <w:tc>
                <w:tcPr>
                  <w:tcW w:w="1311" w:type="dxa"/>
                  <w:vMerge w:val="restart"/>
                  <w:vAlign w:val="center"/>
                </w:tcPr>
                <w:p w14:paraId="35A4F86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rPr>
                    <w:t>2025.04.03</w:t>
                  </w:r>
                </w:p>
              </w:tc>
              <w:tc>
                <w:tcPr>
                  <w:tcW w:w="1356" w:type="dxa"/>
                  <w:vAlign w:val="center"/>
                </w:tcPr>
                <w:p w14:paraId="0CBA086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昼间</w:t>
                  </w:r>
                </w:p>
              </w:tc>
              <w:tc>
                <w:tcPr>
                  <w:tcW w:w="1636" w:type="dxa"/>
                  <w:vAlign w:val="center"/>
                </w:tcPr>
                <w:p w14:paraId="6404213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54.1</w:t>
                  </w:r>
                </w:p>
              </w:tc>
              <w:tc>
                <w:tcPr>
                  <w:tcW w:w="1636" w:type="dxa"/>
                  <w:vAlign w:val="center"/>
                </w:tcPr>
                <w:p w14:paraId="07FAEE6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lang w:val="en-US" w:eastAsia="zh-CN"/>
                    </w:rPr>
                  </w:pPr>
                  <w:r>
                    <w:rPr>
                      <w:rFonts w:hint="eastAsia" w:ascii="Times New Roman" w:hAnsi="Times New Roman" w:eastAsia="宋体" w:cs="Times New Roman"/>
                      <w:color w:val="auto"/>
                      <w:sz w:val="21"/>
                      <w:szCs w:val="21"/>
                      <w:u w:val="none" w:color="auto"/>
                      <w:shd w:val="clear" w:color="auto" w:fill="FFFFFF"/>
                      <w:lang w:val="en-US" w:eastAsia="zh-CN"/>
                    </w:rPr>
                    <w:t>60</w:t>
                  </w:r>
                </w:p>
              </w:tc>
              <w:tc>
                <w:tcPr>
                  <w:tcW w:w="1248" w:type="dxa"/>
                  <w:vAlign w:val="center"/>
                </w:tcPr>
                <w:p w14:paraId="6D710F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eastAsia" w:ascii="Times New Roman" w:hAnsi="Times New Roman" w:eastAsia="宋体" w:cs="Times New Roman"/>
                      <w:color w:val="auto"/>
                      <w:sz w:val="21"/>
                      <w:szCs w:val="21"/>
                      <w:u w:val="none" w:color="auto"/>
                      <w:shd w:val="clear" w:color="auto" w:fill="FFFFFF"/>
                      <w:lang w:val="en-US" w:eastAsia="zh-CN"/>
                    </w:rPr>
                    <w:t>达标</w:t>
                  </w:r>
                </w:p>
              </w:tc>
            </w:tr>
            <w:tr w14:paraId="42B30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vMerge w:val="continue"/>
                  <w:vAlign w:val="center"/>
                </w:tcPr>
                <w:p w14:paraId="28FF39D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1212" w:type="dxa"/>
                  <w:vMerge w:val="continue"/>
                  <w:vAlign w:val="center"/>
                </w:tcPr>
                <w:p w14:paraId="69CDB87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11" w:type="dxa"/>
                  <w:vMerge w:val="continue"/>
                  <w:vAlign w:val="center"/>
                </w:tcPr>
                <w:p w14:paraId="2EBA2B5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56" w:type="dxa"/>
                  <w:vAlign w:val="center"/>
                </w:tcPr>
                <w:p w14:paraId="1BC9374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夜间</w:t>
                  </w:r>
                </w:p>
              </w:tc>
              <w:tc>
                <w:tcPr>
                  <w:tcW w:w="1636" w:type="dxa"/>
                  <w:vAlign w:val="center"/>
                </w:tcPr>
                <w:p w14:paraId="14DF45E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43.4</w:t>
                  </w:r>
                </w:p>
              </w:tc>
              <w:tc>
                <w:tcPr>
                  <w:tcW w:w="1636" w:type="dxa"/>
                  <w:vAlign w:val="center"/>
                </w:tcPr>
                <w:p w14:paraId="4933D67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lang w:val="en-US" w:eastAsia="zh-CN"/>
                    </w:rPr>
                  </w:pPr>
                  <w:r>
                    <w:rPr>
                      <w:rFonts w:hint="eastAsia" w:ascii="Times New Roman" w:hAnsi="Times New Roman" w:eastAsia="宋体" w:cs="Times New Roman"/>
                      <w:color w:val="auto"/>
                      <w:sz w:val="21"/>
                      <w:szCs w:val="21"/>
                      <w:u w:val="none" w:color="auto"/>
                      <w:shd w:val="clear" w:color="auto" w:fill="FFFFFF"/>
                      <w:lang w:val="en-US" w:eastAsia="zh-CN"/>
                    </w:rPr>
                    <w:t>50</w:t>
                  </w:r>
                </w:p>
              </w:tc>
              <w:tc>
                <w:tcPr>
                  <w:tcW w:w="1248" w:type="dxa"/>
                  <w:vAlign w:val="center"/>
                </w:tcPr>
                <w:p w14:paraId="1D841D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eastAsia" w:ascii="Times New Roman" w:hAnsi="Times New Roman" w:eastAsia="宋体" w:cs="Times New Roman"/>
                      <w:color w:val="auto"/>
                      <w:sz w:val="21"/>
                      <w:szCs w:val="21"/>
                      <w:u w:val="none" w:color="auto"/>
                      <w:shd w:val="clear" w:color="auto" w:fill="FFFFFF"/>
                      <w:lang w:val="en-US" w:eastAsia="zh-CN"/>
                    </w:rPr>
                    <w:t>达标</w:t>
                  </w:r>
                </w:p>
              </w:tc>
            </w:tr>
            <w:tr w14:paraId="2E11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vMerge w:val="continue"/>
                  <w:vAlign w:val="center"/>
                </w:tcPr>
                <w:p w14:paraId="4F2A099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1212" w:type="dxa"/>
                  <w:vMerge w:val="continue"/>
                  <w:vAlign w:val="center"/>
                </w:tcPr>
                <w:p w14:paraId="2769E4F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11" w:type="dxa"/>
                  <w:vMerge w:val="restart"/>
                  <w:vAlign w:val="center"/>
                </w:tcPr>
                <w:p w14:paraId="536220A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rPr>
                    <w:t>2025.04.04</w:t>
                  </w:r>
                </w:p>
              </w:tc>
              <w:tc>
                <w:tcPr>
                  <w:tcW w:w="1356" w:type="dxa"/>
                  <w:vAlign w:val="center"/>
                </w:tcPr>
                <w:p w14:paraId="5EA7E1F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昼间</w:t>
                  </w:r>
                </w:p>
              </w:tc>
              <w:tc>
                <w:tcPr>
                  <w:tcW w:w="1636" w:type="dxa"/>
                  <w:vAlign w:val="center"/>
                </w:tcPr>
                <w:p w14:paraId="6A42B53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53.7</w:t>
                  </w:r>
                </w:p>
              </w:tc>
              <w:tc>
                <w:tcPr>
                  <w:tcW w:w="1636" w:type="dxa"/>
                  <w:vAlign w:val="center"/>
                </w:tcPr>
                <w:p w14:paraId="38362D2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lang w:val="en-US" w:eastAsia="zh-CN"/>
                    </w:rPr>
                  </w:pPr>
                  <w:r>
                    <w:rPr>
                      <w:rFonts w:hint="eastAsia" w:ascii="Times New Roman" w:hAnsi="Times New Roman" w:eastAsia="宋体" w:cs="Times New Roman"/>
                      <w:color w:val="auto"/>
                      <w:sz w:val="21"/>
                      <w:szCs w:val="21"/>
                      <w:u w:val="none" w:color="auto"/>
                      <w:shd w:val="clear" w:color="auto" w:fill="FFFFFF"/>
                      <w:lang w:val="en-US" w:eastAsia="zh-CN"/>
                    </w:rPr>
                    <w:t>60</w:t>
                  </w:r>
                </w:p>
              </w:tc>
              <w:tc>
                <w:tcPr>
                  <w:tcW w:w="1248" w:type="dxa"/>
                  <w:vAlign w:val="center"/>
                </w:tcPr>
                <w:p w14:paraId="511A3D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eastAsia" w:ascii="Times New Roman" w:hAnsi="Times New Roman" w:eastAsia="宋体" w:cs="Times New Roman"/>
                      <w:color w:val="auto"/>
                      <w:sz w:val="21"/>
                      <w:szCs w:val="21"/>
                      <w:u w:val="none" w:color="auto"/>
                      <w:shd w:val="clear" w:color="auto" w:fill="FFFFFF"/>
                      <w:lang w:val="en-US" w:eastAsia="zh-CN"/>
                    </w:rPr>
                    <w:t>达标</w:t>
                  </w:r>
                </w:p>
              </w:tc>
            </w:tr>
            <w:tr w14:paraId="0B030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vMerge w:val="continue"/>
                  <w:vAlign w:val="center"/>
                </w:tcPr>
                <w:p w14:paraId="00F5DDD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1212" w:type="dxa"/>
                  <w:vMerge w:val="continue"/>
                  <w:vAlign w:val="center"/>
                </w:tcPr>
                <w:p w14:paraId="02B5C6D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11" w:type="dxa"/>
                  <w:vMerge w:val="continue"/>
                  <w:vAlign w:val="center"/>
                </w:tcPr>
                <w:p w14:paraId="1905E52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56" w:type="dxa"/>
                  <w:vAlign w:val="center"/>
                </w:tcPr>
                <w:p w14:paraId="259FDC3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夜间</w:t>
                  </w:r>
                </w:p>
              </w:tc>
              <w:tc>
                <w:tcPr>
                  <w:tcW w:w="1636" w:type="dxa"/>
                  <w:vAlign w:val="center"/>
                </w:tcPr>
                <w:p w14:paraId="5C0A42B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44.5</w:t>
                  </w:r>
                </w:p>
              </w:tc>
              <w:tc>
                <w:tcPr>
                  <w:tcW w:w="1636" w:type="dxa"/>
                  <w:vAlign w:val="center"/>
                </w:tcPr>
                <w:p w14:paraId="4FEB81F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lang w:val="en-US" w:eastAsia="zh-CN"/>
                    </w:rPr>
                  </w:pPr>
                  <w:r>
                    <w:rPr>
                      <w:rFonts w:hint="eastAsia" w:ascii="Times New Roman" w:hAnsi="Times New Roman" w:eastAsia="宋体" w:cs="Times New Roman"/>
                      <w:color w:val="auto"/>
                      <w:sz w:val="21"/>
                      <w:szCs w:val="21"/>
                      <w:u w:val="none" w:color="auto"/>
                      <w:shd w:val="clear" w:color="auto" w:fill="FFFFFF"/>
                      <w:lang w:val="en-US" w:eastAsia="zh-CN"/>
                    </w:rPr>
                    <w:t>50</w:t>
                  </w:r>
                </w:p>
              </w:tc>
              <w:tc>
                <w:tcPr>
                  <w:tcW w:w="1248" w:type="dxa"/>
                  <w:vAlign w:val="center"/>
                </w:tcPr>
                <w:p w14:paraId="3EE932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eastAsia" w:ascii="Times New Roman" w:hAnsi="Times New Roman" w:eastAsia="宋体" w:cs="Times New Roman"/>
                      <w:color w:val="auto"/>
                      <w:sz w:val="21"/>
                      <w:szCs w:val="21"/>
                      <w:u w:val="none" w:color="auto"/>
                      <w:shd w:val="clear" w:color="auto" w:fill="FFFFFF"/>
                      <w:lang w:val="en-US" w:eastAsia="zh-CN"/>
                    </w:rPr>
                    <w:t>达标</w:t>
                  </w:r>
                </w:p>
              </w:tc>
            </w:tr>
            <w:tr w14:paraId="47191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vMerge w:val="restart"/>
                  <w:vAlign w:val="center"/>
                </w:tcPr>
                <w:p w14:paraId="645B0A8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w:t>
                  </w:r>
                </w:p>
              </w:tc>
              <w:tc>
                <w:tcPr>
                  <w:tcW w:w="1212" w:type="dxa"/>
                  <w:vMerge w:val="restart"/>
                  <w:vAlign w:val="center"/>
                </w:tcPr>
                <w:p w14:paraId="2368C60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项目西面场界外1m（N3）</w:t>
                  </w:r>
                </w:p>
              </w:tc>
              <w:tc>
                <w:tcPr>
                  <w:tcW w:w="1311" w:type="dxa"/>
                  <w:vMerge w:val="restart"/>
                  <w:vAlign w:val="center"/>
                </w:tcPr>
                <w:p w14:paraId="00F55F7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rPr>
                    <w:t>2025.04.03</w:t>
                  </w:r>
                </w:p>
              </w:tc>
              <w:tc>
                <w:tcPr>
                  <w:tcW w:w="1356" w:type="dxa"/>
                  <w:vAlign w:val="center"/>
                </w:tcPr>
                <w:p w14:paraId="247E681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昼间</w:t>
                  </w:r>
                </w:p>
              </w:tc>
              <w:tc>
                <w:tcPr>
                  <w:tcW w:w="1636" w:type="dxa"/>
                  <w:vAlign w:val="center"/>
                </w:tcPr>
                <w:p w14:paraId="565288C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48.8</w:t>
                  </w:r>
                </w:p>
              </w:tc>
              <w:tc>
                <w:tcPr>
                  <w:tcW w:w="1636" w:type="dxa"/>
                  <w:vAlign w:val="center"/>
                </w:tcPr>
                <w:p w14:paraId="1D6E202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lang w:val="en-US" w:eastAsia="zh-CN"/>
                    </w:rPr>
                  </w:pPr>
                  <w:r>
                    <w:rPr>
                      <w:rFonts w:hint="eastAsia" w:ascii="Times New Roman" w:hAnsi="Times New Roman" w:eastAsia="宋体" w:cs="Times New Roman"/>
                      <w:color w:val="auto"/>
                      <w:sz w:val="21"/>
                      <w:szCs w:val="21"/>
                      <w:u w:val="none" w:color="auto"/>
                      <w:shd w:val="clear" w:color="auto" w:fill="FFFFFF"/>
                      <w:lang w:val="en-US" w:eastAsia="zh-CN"/>
                    </w:rPr>
                    <w:t>60</w:t>
                  </w:r>
                </w:p>
              </w:tc>
              <w:tc>
                <w:tcPr>
                  <w:tcW w:w="1248" w:type="dxa"/>
                  <w:vAlign w:val="center"/>
                </w:tcPr>
                <w:p w14:paraId="3882C4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eastAsia" w:ascii="Times New Roman" w:hAnsi="Times New Roman" w:eastAsia="宋体" w:cs="Times New Roman"/>
                      <w:color w:val="auto"/>
                      <w:sz w:val="21"/>
                      <w:szCs w:val="21"/>
                      <w:u w:val="none" w:color="auto"/>
                      <w:shd w:val="clear" w:color="auto" w:fill="FFFFFF"/>
                      <w:lang w:val="en-US" w:eastAsia="zh-CN"/>
                    </w:rPr>
                    <w:t>达标</w:t>
                  </w:r>
                </w:p>
              </w:tc>
            </w:tr>
            <w:tr w14:paraId="6752E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vMerge w:val="continue"/>
                  <w:vAlign w:val="center"/>
                </w:tcPr>
                <w:p w14:paraId="10087E9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1212" w:type="dxa"/>
                  <w:vMerge w:val="continue"/>
                  <w:vAlign w:val="center"/>
                </w:tcPr>
                <w:p w14:paraId="38E3E3C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11" w:type="dxa"/>
                  <w:vMerge w:val="continue"/>
                  <w:vAlign w:val="center"/>
                </w:tcPr>
                <w:p w14:paraId="3DB40D9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56" w:type="dxa"/>
                  <w:vAlign w:val="center"/>
                </w:tcPr>
                <w:p w14:paraId="72F9AF6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夜间</w:t>
                  </w:r>
                </w:p>
              </w:tc>
              <w:tc>
                <w:tcPr>
                  <w:tcW w:w="1636" w:type="dxa"/>
                  <w:vAlign w:val="center"/>
                </w:tcPr>
                <w:p w14:paraId="54573D6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41.7</w:t>
                  </w:r>
                </w:p>
              </w:tc>
              <w:tc>
                <w:tcPr>
                  <w:tcW w:w="1636" w:type="dxa"/>
                  <w:vAlign w:val="center"/>
                </w:tcPr>
                <w:p w14:paraId="6E4C2C6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lang w:val="en-US" w:eastAsia="zh-CN"/>
                    </w:rPr>
                  </w:pPr>
                  <w:r>
                    <w:rPr>
                      <w:rFonts w:hint="eastAsia" w:ascii="Times New Roman" w:hAnsi="Times New Roman" w:eastAsia="宋体" w:cs="Times New Roman"/>
                      <w:color w:val="auto"/>
                      <w:sz w:val="21"/>
                      <w:szCs w:val="21"/>
                      <w:u w:val="none" w:color="auto"/>
                      <w:shd w:val="clear" w:color="auto" w:fill="FFFFFF"/>
                      <w:lang w:val="en-US" w:eastAsia="zh-CN"/>
                    </w:rPr>
                    <w:t>50</w:t>
                  </w:r>
                </w:p>
              </w:tc>
              <w:tc>
                <w:tcPr>
                  <w:tcW w:w="1248" w:type="dxa"/>
                  <w:vAlign w:val="center"/>
                </w:tcPr>
                <w:p w14:paraId="62C420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eastAsia" w:ascii="Times New Roman" w:hAnsi="Times New Roman" w:eastAsia="宋体" w:cs="Times New Roman"/>
                      <w:color w:val="auto"/>
                      <w:sz w:val="21"/>
                      <w:szCs w:val="21"/>
                      <w:u w:val="none" w:color="auto"/>
                      <w:shd w:val="clear" w:color="auto" w:fill="FFFFFF"/>
                      <w:lang w:val="en-US" w:eastAsia="zh-CN"/>
                    </w:rPr>
                    <w:t>达标</w:t>
                  </w:r>
                </w:p>
              </w:tc>
            </w:tr>
            <w:tr w14:paraId="6B65B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vMerge w:val="continue"/>
                  <w:vAlign w:val="center"/>
                </w:tcPr>
                <w:p w14:paraId="2F28594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1212" w:type="dxa"/>
                  <w:vMerge w:val="continue"/>
                  <w:vAlign w:val="center"/>
                </w:tcPr>
                <w:p w14:paraId="2F288AC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11" w:type="dxa"/>
                  <w:vMerge w:val="restart"/>
                  <w:vAlign w:val="center"/>
                </w:tcPr>
                <w:p w14:paraId="653FC97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rPr>
                    <w:t>2025.04.04</w:t>
                  </w:r>
                </w:p>
              </w:tc>
              <w:tc>
                <w:tcPr>
                  <w:tcW w:w="1356" w:type="dxa"/>
                  <w:vAlign w:val="center"/>
                </w:tcPr>
                <w:p w14:paraId="6B83AEF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昼间</w:t>
                  </w:r>
                </w:p>
              </w:tc>
              <w:tc>
                <w:tcPr>
                  <w:tcW w:w="1636" w:type="dxa"/>
                  <w:vAlign w:val="center"/>
                </w:tcPr>
                <w:p w14:paraId="0C37148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49.3</w:t>
                  </w:r>
                </w:p>
              </w:tc>
              <w:tc>
                <w:tcPr>
                  <w:tcW w:w="1636" w:type="dxa"/>
                  <w:vAlign w:val="center"/>
                </w:tcPr>
                <w:p w14:paraId="73BABB2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lang w:val="en-US" w:eastAsia="zh-CN"/>
                    </w:rPr>
                  </w:pPr>
                  <w:r>
                    <w:rPr>
                      <w:rFonts w:hint="eastAsia" w:ascii="Times New Roman" w:hAnsi="Times New Roman" w:eastAsia="宋体" w:cs="Times New Roman"/>
                      <w:color w:val="auto"/>
                      <w:sz w:val="21"/>
                      <w:szCs w:val="21"/>
                      <w:u w:val="none" w:color="auto"/>
                      <w:shd w:val="clear" w:color="auto" w:fill="FFFFFF"/>
                      <w:lang w:val="en-US" w:eastAsia="zh-CN"/>
                    </w:rPr>
                    <w:t>60</w:t>
                  </w:r>
                </w:p>
              </w:tc>
              <w:tc>
                <w:tcPr>
                  <w:tcW w:w="1248" w:type="dxa"/>
                  <w:vAlign w:val="center"/>
                </w:tcPr>
                <w:p w14:paraId="2AF8B6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eastAsia" w:ascii="Times New Roman" w:hAnsi="Times New Roman" w:eastAsia="宋体" w:cs="Times New Roman"/>
                      <w:color w:val="auto"/>
                      <w:sz w:val="21"/>
                      <w:szCs w:val="21"/>
                      <w:u w:val="none" w:color="auto"/>
                      <w:shd w:val="clear" w:color="auto" w:fill="FFFFFF"/>
                      <w:lang w:val="en-US" w:eastAsia="zh-CN"/>
                    </w:rPr>
                    <w:t>达标</w:t>
                  </w:r>
                </w:p>
              </w:tc>
            </w:tr>
            <w:tr w14:paraId="07B7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vMerge w:val="continue"/>
                  <w:vAlign w:val="center"/>
                </w:tcPr>
                <w:p w14:paraId="7B06FB2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1212" w:type="dxa"/>
                  <w:vMerge w:val="continue"/>
                  <w:vAlign w:val="center"/>
                </w:tcPr>
                <w:p w14:paraId="054E169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11" w:type="dxa"/>
                  <w:vMerge w:val="continue"/>
                  <w:vAlign w:val="center"/>
                </w:tcPr>
                <w:p w14:paraId="6359A52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56" w:type="dxa"/>
                  <w:vAlign w:val="center"/>
                </w:tcPr>
                <w:p w14:paraId="6987A47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夜间</w:t>
                  </w:r>
                </w:p>
              </w:tc>
              <w:tc>
                <w:tcPr>
                  <w:tcW w:w="1636" w:type="dxa"/>
                  <w:vAlign w:val="center"/>
                </w:tcPr>
                <w:p w14:paraId="49F448A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42.9</w:t>
                  </w:r>
                </w:p>
              </w:tc>
              <w:tc>
                <w:tcPr>
                  <w:tcW w:w="1636" w:type="dxa"/>
                  <w:vAlign w:val="center"/>
                </w:tcPr>
                <w:p w14:paraId="38B3BB0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lang w:val="en-US" w:eastAsia="zh-CN"/>
                    </w:rPr>
                  </w:pPr>
                  <w:r>
                    <w:rPr>
                      <w:rFonts w:hint="eastAsia" w:ascii="Times New Roman" w:hAnsi="Times New Roman" w:eastAsia="宋体" w:cs="Times New Roman"/>
                      <w:color w:val="auto"/>
                      <w:sz w:val="21"/>
                      <w:szCs w:val="21"/>
                      <w:u w:val="none" w:color="auto"/>
                      <w:shd w:val="clear" w:color="auto" w:fill="FFFFFF"/>
                      <w:lang w:val="en-US" w:eastAsia="zh-CN"/>
                    </w:rPr>
                    <w:t>50</w:t>
                  </w:r>
                </w:p>
              </w:tc>
              <w:tc>
                <w:tcPr>
                  <w:tcW w:w="1248" w:type="dxa"/>
                  <w:vAlign w:val="center"/>
                </w:tcPr>
                <w:p w14:paraId="02D4D7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eastAsia" w:ascii="Times New Roman" w:hAnsi="Times New Roman" w:eastAsia="宋体" w:cs="Times New Roman"/>
                      <w:color w:val="auto"/>
                      <w:sz w:val="21"/>
                      <w:szCs w:val="21"/>
                      <w:u w:val="none" w:color="auto"/>
                      <w:shd w:val="clear" w:color="auto" w:fill="FFFFFF"/>
                      <w:lang w:val="en-US" w:eastAsia="zh-CN"/>
                    </w:rPr>
                    <w:t>达标</w:t>
                  </w:r>
                </w:p>
              </w:tc>
            </w:tr>
            <w:tr w14:paraId="46AFC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vMerge w:val="restart"/>
                  <w:vAlign w:val="center"/>
                </w:tcPr>
                <w:p w14:paraId="498E76F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w:t>
                  </w:r>
                </w:p>
              </w:tc>
              <w:tc>
                <w:tcPr>
                  <w:tcW w:w="1212" w:type="dxa"/>
                  <w:vMerge w:val="restart"/>
                  <w:vAlign w:val="center"/>
                </w:tcPr>
                <w:p w14:paraId="3F9A911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rPr>
                    <w:t>项目北面场界外1m（N4）</w:t>
                  </w:r>
                </w:p>
              </w:tc>
              <w:tc>
                <w:tcPr>
                  <w:tcW w:w="1311" w:type="dxa"/>
                  <w:vMerge w:val="restart"/>
                  <w:vAlign w:val="center"/>
                </w:tcPr>
                <w:p w14:paraId="0F1D077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rPr>
                    <w:t>2025.04.03</w:t>
                  </w:r>
                </w:p>
              </w:tc>
              <w:tc>
                <w:tcPr>
                  <w:tcW w:w="1356" w:type="dxa"/>
                  <w:vAlign w:val="center"/>
                </w:tcPr>
                <w:p w14:paraId="4EE9D1B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昼间</w:t>
                  </w:r>
                </w:p>
              </w:tc>
              <w:tc>
                <w:tcPr>
                  <w:tcW w:w="1636" w:type="dxa"/>
                  <w:vAlign w:val="center"/>
                </w:tcPr>
                <w:p w14:paraId="3DEF97A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52.4</w:t>
                  </w:r>
                </w:p>
              </w:tc>
              <w:tc>
                <w:tcPr>
                  <w:tcW w:w="1636" w:type="dxa"/>
                  <w:vAlign w:val="center"/>
                </w:tcPr>
                <w:p w14:paraId="357E695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lang w:val="en-US" w:eastAsia="zh-CN"/>
                    </w:rPr>
                  </w:pPr>
                  <w:r>
                    <w:rPr>
                      <w:rFonts w:hint="eastAsia" w:ascii="Times New Roman" w:hAnsi="Times New Roman" w:eastAsia="宋体" w:cs="Times New Roman"/>
                      <w:color w:val="auto"/>
                      <w:sz w:val="21"/>
                      <w:szCs w:val="21"/>
                      <w:u w:val="none" w:color="auto"/>
                      <w:shd w:val="clear" w:color="auto" w:fill="FFFFFF"/>
                      <w:lang w:val="en-US" w:eastAsia="zh-CN"/>
                    </w:rPr>
                    <w:t>60</w:t>
                  </w:r>
                </w:p>
              </w:tc>
              <w:tc>
                <w:tcPr>
                  <w:tcW w:w="1248" w:type="dxa"/>
                  <w:vAlign w:val="center"/>
                </w:tcPr>
                <w:p w14:paraId="0378F8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eastAsia" w:ascii="Times New Roman" w:hAnsi="Times New Roman" w:eastAsia="宋体" w:cs="Times New Roman"/>
                      <w:color w:val="auto"/>
                      <w:sz w:val="21"/>
                      <w:szCs w:val="21"/>
                      <w:u w:val="none" w:color="auto"/>
                      <w:shd w:val="clear" w:color="auto" w:fill="FFFFFF"/>
                      <w:lang w:val="en-US" w:eastAsia="zh-CN"/>
                    </w:rPr>
                    <w:t>达标</w:t>
                  </w:r>
                </w:p>
              </w:tc>
            </w:tr>
            <w:tr w14:paraId="2B824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vMerge w:val="continue"/>
                  <w:vAlign w:val="center"/>
                </w:tcPr>
                <w:p w14:paraId="7041C29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1212" w:type="dxa"/>
                  <w:vMerge w:val="continue"/>
                  <w:vAlign w:val="center"/>
                </w:tcPr>
                <w:p w14:paraId="544FFC1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11" w:type="dxa"/>
                  <w:vMerge w:val="continue"/>
                  <w:vAlign w:val="center"/>
                </w:tcPr>
                <w:p w14:paraId="2BF0CAB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56" w:type="dxa"/>
                  <w:vAlign w:val="center"/>
                </w:tcPr>
                <w:p w14:paraId="11B055A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夜间</w:t>
                  </w:r>
                </w:p>
              </w:tc>
              <w:tc>
                <w:tcPr>
                  <w:tcW w:w="1636" w:type="dxa"/>
                  <w:vAlign w:val="center"/>
                </w:tcPr>
                <w:p w14:paraId="349E915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42.1</w:t>
                  </w:r>
                </w:p>
              </w:tc>
              <w:tc>
                <w:tcPr>
                  <w:tcW w:w="1636" w:type="dxa"/>
                  <w:vAlign w:val="center"/>
                </w:tcPr>
                <w:p w14:paraId="0D72BBF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lang w:val="en-US" w:eastAsia="zh-CN"/>
                    </w:rPr>
                  </w:pPr>
                  <w:r>
                    <w:rPr>
                      <w:rFonts w:hint="eastAsia" w:ascii="Times New Roman" w:hAnsi="Times New Roman" w:eastAsia="宋体" w:cs="Times New Roman"/>
                      <w:color w:val="auto"/>
                      <w:sz w:val="21"/>
                      <w:szCs w:val="21"/>
                      <w:u w:val="none" w:color="auto"/>
                      <w:shd w:val="clear" w:color="auto" w:fill="FFFFFF"/>
                      <w:lang w:val="en-US" w:eastAsia="zh-CN"/>
                    </w:rPr>
                    <w:t>50</w:t>
                  </w:r>
                </w:p>
              </w:tc>
              <w:tc>
                <w:tcPr>
                  <w:tcW w:w="1248" w:type="dxa"/>
                  <w:vAlign w:val="center"/>
                </w:tcPr>
                <w:p w14:paraId="4391FB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eastAsia" w:ascii="Times New Roman" w:hAnsi="Times New Roman" w:eastAsia="宋体" w:cs="Times New Roman"/>
                      <w:color w:val="auto"/>
                      <w:sz w:val="21"/>
                      <w:szCs w:val="21"/>
                      <w:u w:val="none" w:color="auto"/>
                      <w:shd w:val="clear" w:color="auto" w:fill="FFFFFF"/>
                      <w:lang w:val="en-US" w:eastAsia="zh-CN"/>
                    </w:rPr>
                    <w:t>达标</w:t>
                  </w:r>
                </w:p>
              </w:tc>
            </w:tr>
            <w:tr w14:paraId="00DED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vMerge w:val="continue"/>
                  <w:vAlign w:val="center"/>
                </w:tcPr>
                <w:p w14:paraId="6C2267E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1212" w:type="dxa"/>
                  <w:vMerge w:val="continue"/>
                  <w:vAlign w:val="center"/>
                </w:tcPr>
                <w:p w14:paraId="246FD4B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11" w:type="dxa"/>
                  <w:vMerge w:val="restart"/>
                  <w:vAlign w:val="center"/>
                </w:tcPr>
                <w:p w14:paraId="42E0690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rPr>
                    <w:t>2025.04.04</w:t>
                  </w:r>
                </w:p>
              </w:tc>
              <w:tc>
                <w:tcPr>
                  <w:tcW w:w="1356" w:type="dxa"/>
                  <w:vAlign w:val="center"/>
                </w:tcPr>
                <w:p w14:paraId="5FF0DE2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昼间</w:t>
                  </w:r>
                </w:p>
              </w:tc>
              <w:tc>
                <w:tcPr>
                  <w:tcW w:w="1636" w:type="dxa"/>
                  <w:vAlign w:val="center"/>
                </w:tcPr>
                <w:p w14:paraId="5837261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52.1</w:t>
                  </w:r>
                </w:p>
              </w:tc>
              <w:tc>
                <w:tcPr>
                  <w:tcW w:w="1636" w:type="dxa"/>
                  <w:vAlign w:val="center"/>
                </w:tcPr>
                <w:p w14:paraId="4456C74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lang w:val="en-US" w:eastAsia="zh-CN"/>
                    </w:rPr>
                  </w:pPr>
                  <w:r>
                    <w:rPr>
                      <w:rFonts w:hint="eastAsia" w:ascii="Times New Roman" w:hAnsi="Times New Roman" w:eastAsia="宋体" w:cs="Times New Roman"/>
                      <w:color w:val="auto"/>
                      <w:sz w:val="21"/>
                      <w:szCs w:val="21"/>
                      <w:u w:val="none" w:color="auto"/>
                      <w:shd w:val="clear" w:color="auto" w:fill="FFFFFF"/>
                      <w:lang w:val="en-US" w:eastAsia="zh-CN"/>
                    </w:rPr>
                    <w:t>60</w:t>
                  </w:r>
                </w:p>
              </w:tc>
              <w:tc>
                <w:tcPr>
                  <w:tcW w:w="1248" w:type="dxa"/>
                  <w:vAlign w:val="center"/>
                </w:tcPr>
                <w:p w14:paraId="3A74BD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eastAsia" w:ascii="Times New Roman" w:hAnsi="Times New Roman" w:eastAsia="宋体" w:cs="Times New Roman"/>
                      <w:color w:val="auto"/>
                      <w:sz w:val="21"/>
                      <w:szCs w:val="21"/>
                      <w:u w:val="none" w:color="auto"/>
                      <w:shd w:val="clear" w:color="auto" w:fill="FFFFFF"/>
                      <w:lang w:val="en-US" w:eastAsia="zh-CN"/>
                    </w:rPr>
                    <w:t>达标</w:t>
                  </w:r>
                </w:p>
              </w:tc>
            </w:tr>
            <w:tr w14:paraId="15BF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vMerge w:val="continue"/>
                  <w:vAlign w:val="center"/>
                </w:tcPr>
                <w:p w14:paraId="079B88A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1212" w:type="dxa"/>
                  <w:vMerge w:val="continue"/>
                  <w:vAlign w:val="center"/>
                </w:tcPr>
                <w:p w14:paraId="3AD75C3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11" w:type="dxa"/>
                  <w:vMerge w:val="continue"/>
                  <w:vAlign w:val="center"/>
                </w:tcPr>
                <w:p w14:paraId="79A2DE5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56" w:type="dxa"/>
                  <w:vAlign w:val="center"/>
                </w:tcPr>
                <w:p w14:paraId="1EE86BF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夜间</w:t>
                  </w:r>
                </w:p>
              </w:tc>
              <w:tc>
                <w:tcPr>
                  <w:tcW w:w="1636" w:type="dxa"/>
                  <w:vAlign w:val="center"/>
                </w:tcPr>
                <w:p w14:paraId="6081C88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43.0</w:t>
                  </w:r>
                </w:p>
              </w:tc>
              <w:tc>
                <w:tcPr>
                  <w:tcW w:w="1636" w:type="dxa"/>
                  <w:vAlign w:val="center"/>
                </w:tcPr>
                <w:p w14:paraId="60DE1DF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lang w:val="en-US" w:eastAsia="zh-CN"/>
                    </w:rPr>
                  </w:pPr>
                  <w:r>
                    <w:rPr>
                      <w:rFonts w:hint="eastAsia" w:ascii="Times New Roman" w:hAnsi="Times New Roman" w:eastAsia="宋体" w:cs="Times New Roman"/>
                      <w:color w:val="auto"/>
                      <w:sz w:val="21"/>
                      <w:szCs w:val="21"/>
                      <w:u w:val="none" w:color="auto"/>
                      <w:shd w:val="clear" w:color="auto" w:fill="FFFFFF"/>
                      <w:lang w:val="en-US" w:eastAsia="zh-CN"/>
                    </w:rPr>
                    <w:t>50</w:t>
                  </w:r>
                </w:p>
              </w:tc>
              <w:tc>
                <w:tcPr>
                  <w:tcW w:w="1248" w:type="dxa"/>
                  <w:vAlign w:val="center"/>
                </w:tcPr>
                <w:p w14:paraId="16B975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eastAsia" w:ascii="Times New Roman" w:hAnsi="Times New Roman" w:eastAsia="宋体" w:cs="Times New Roman"/>
                      <w:color w:val="auto"/>
                      <w:sz w:val="21"/>
                      <w:szCs w:val="21"/>
                      <w:u w:val="none" w:color="auto"/>
                      <w:shd w:val="clear" w:color="auto" w:fill="FFFFFF"/>
                      <w:lang w:val="en-US" w:eastAsia="zh-CN"/>
                    </w:rPr>
                    <w:t>达标</w:t>
                  </w:r>
                </w:p>
              </w:tc>
            </w:tr>
            <w:tr w14:paraId="22BA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vMerge w:val="restart"/>
                  <w:vAlign w:val="center"/>
                </w:tcPr>
                <w:p w14:paraId="50C81E1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shd w:val="clear" w:color="auto" w:fill="FFFFFF"/>
                    </w:rPr>
                    <w:t>5</w:t>
                  </w:r>
                </w:p>
              </w:tc>
              <w:tc>
                <w:tcPr>
                  <w:tcW w:w="1212" w:type="dxa"/>
                  <w:vMerge w:val="restart"/>
                  <w:vAlign w:val="center"/>
                </w:tcPr>
                <w:p w14:paraId="328D674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rPr>
                    <w:t>九斗坡（N5）</w:t>
                  </w:r>
                </w:p>
              </w:tc>
              <w:tc>
                <w:tcPr>
                  <w:tcW w:w="1311" w:type="dxa"/>
                  <w:vMerge w:val="restart"/>
                  <w:vAlign w:val="center"/>
                </w:tcPr>
                <w:p w14:paraId="6102D64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rPr>
                    <w:t>2025.04.03</w:t>
                  </w:r>
                </w:p>
              </w:tc>
              <w:tc>
                <w:tcPr>
                  <w:tcW w:w="1356" w:type="dxa"/>
                  <w:vAlign w:val="center"/>
                </w:tcPr>
                <w:p w14:paraId="4BBA1FA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昼间</w:t>
                  </w:r>
                </w:p>
              </w:tc>
              <w:tc>
                <w:tcPr>
                  <w:tcW w:w="1636" w:type="dxa"/>
                  <w:vAlign w:val="center"/>
                </w:tcPr>
                <w:p w14:paraId="47CFFBA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46.2</w:t>
                  </w:r>
                </w:p>
              </w:tc>
              <w:tc>
                <w:tcPr>
                  <w:tcW w:w="1636" w:type="dxa"/>
                  <w:vAlign w:val="center"/>
                </w:tcPr>
                <w:p w14:paraId="1BCBF29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lang w:val="en-US" w:eastAsia="zh-CN"/>
                    </w:rPr>
                  </w:pPr>
                  <w:r>
                    <w:rPr>
                      <w:rFonts w:hint="eastAsia" w:ascii="Times New Roman" w:hAnsi="Times New Roman" w:eastAsia="宋体" w:cs="Times New Roman"/>
                      <w:color w:val="auto"/>
                      <w:sz w:val="21"/>
                      <w:szCs w:val="21"/>
                      <w:u w:val="none" w:color="auto"/>
                      <w:shd w:val="clear" w:color="auto" w:fill="FFFFFF"/>
                      <w:lang w:val="en-US" w:eastAsia="zh-CN"/>
                    </w:rPr>
                    <w:t>60</w:t>
                  </w:r>
                </w:p>
              </w:tc>
              <w:tc>
                <w:tcPr>
                  <w:tcW w:w="1248" w:type="dxa"/>
                  <w:vAlign w:val="center"/>
                </w:tcPr>
                <w:p w14:paraId="68C95A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eastAsia" w:ascii="Times New Roman" w:hAnsi="Times New Roman" w:eastAsia="宋体" w:cs="Times New Roman"/>
                      <w:color w:val="auto"/>
                      <w:sz w:val="21"/>
                      <w:szCs w:val="21"/>
                      <w:u w:val="none" w:color="auto"/>
                      <w:shd w:val="clear" w:color="auto" w:fill="FFFFFF"/>
                      <w:lang w:val="en-US" w:eastAsia="zh-CN"/>
                    </w:rPr>
                    <w:t>达标</w:t>
                  </w:r>
                </w:p>
              </w:tc>
            </w:tr>
            <w:tr w14:paraId="1B2C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vMerge w:val="continue"/>
                  <w:vAlign w:val="center"/>
                </w:tcPr>
                <w:p w14:paraId="670BDD1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1212" w:type="dxa"/>
                  <w:vMerge w:val="continue"/>
                  <w:vAlign w:val="center"/>
                </w:tcPr>
                <w:p w14:paraId="6C69E31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11" w:type="dxa"/>
                  <w:vMerge w:val="continue"/>
                  <w:vAlign w:val="center"/>
                </w:tcPr>
                <w:p w14:paraId="54A7AC3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56" w:type="dxa"/>
                  <w:vAlign w:val="center"/>
                </w:tcPr>
                <w:p w14:paraId="12ED750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夜间</w:t>
                  </w:r>
                </w:p>
              </w:tc>
              <w:tc>
                <w:tcPr>
                  <w:tcW w:w="1636" w:type="dxa"/>
                  <w:vAlign w:val="center"/>
                </w:tcPr>
                <w:p w14:paraId="467DA89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40.3</w:t>
                  </w:r>
                </w:p>
              </w:tc>
              <w:tc>
                <w:tcPr>
                  <w:tcW w:w="1636" w:type="dxa"/>
                  <w:vAlign w:val="center"/>
                </w:tcPr>
                <w:p w14:paraId="0CB30A3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lang w:val="en-US" w:eastAsia="zh-CN"/>
                    </w:rPr>
                  </w:pPr>
                  <w:r>
                    <w:rPr>
                      <w:rFonts w:hint="eastAsia" w:ascii="Times New Roman" w:hAnsi="Times New Roman" w:eastAsia="宋体" w:cs="Times New Roman"/>
                      <w:color w:val="auto"/>
                      <w:sz w:val="21"/>
                      <w:szCs w:val="21"/>
                      <w:u w:val="none" w:color="auto"/>
                      <w:shd w:val="clear" w:color="auto" w:fill="FFFFFF"/>
                      <w:lang w:val="en-US" w:eastAsia="zh-CN"/>
                    </w:rPr>
                    <w:t>50</w:t>
                  </w:r>
                </w:p>
              </w:tc>
              <w:tc>
                <w:tcPr>
                  <w:tcW w:w="1248" w:type="dxa"/>
                  <w:vAlign w:val="center"/>
                </w:tcPr>
                <w:p w14:paraId="1F04A0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eastAsia" w:ascii="Times New Roman" w:hAnsi="Times New Roman" w:eastAsia="宋体" w:cs="Times New Roman"/>
                      <w:color w:val="auto"/>
                      <w:sz w:val="21"/>
                      <w:szCs w:val="21"/>
                      <w:u w:val="none" w:color="auto"/>
                      <w:shd w:val="clear" w:color="auto" w:fill="FFFFFF"/>
                      <w:lang w:val="en-US" w:eastAsia="zh-CN"/>
                    </w:rPr>
                    <w:t>达标</w:t>
                  </w:r>
                </w:p>
              </w:tc>
            </w:tr>
            <w:tr w14:paraId="0773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vMerge w:val="continue"/>
                  <w:vAlign w:val="center"/>
                </w:tcPr>
                <w:p w14:paraId="2DDBDED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1212" w:type="dxa"/>
                  <w:vMerge w:val="continue"/>
                  <w:vAlign w:val="center"/>
                </w:tcPr>
                <w:p w14:paraId="1DC8034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11" w:type="dxa"/>
                  <w:vMerge w:val="restart"/>
                  <w:vAlign w:val="center"/>
                </w:tcPr>
                <w:p w14:paraId="2BA17D6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rPr>
                    <w:t>2025.04.04</w:t>
                  </w:r>
                </w:p>
              </w:tc>
              <w:tc>
                <w:tcPr>
                  <w:tcW w:w="1356" w:type="dxa"/>
                  <w:vAlign w:val="center"/>
                </w:tcPr>
                <w:p w14:paraId="70B6882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昼间</w:t>
                  </w:r>
                </w:p>
              </w:tc>
              <w:tc>
                <w:tcPr>
                  <w:tcW w:w="1636" w:type="dxa"/>
                  <w:vAlign w:val="center"/>
                </w:tcPr>
                <w:p w14:paraId="1A2BA7F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45.5</w:t>
                  </w:r>
                </w:p>
              </w:tc>
              <w:tc>
                <w:tcPr>
                  <w:tcW w:w="1636" w:type="dxa"/>
                  <w:vAlign w:val="center"/>
                </w:tcPr>
                <w:p w14:paraId="14E8986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lang w:val="en-US" w:eastAsia="zh-CN"/>
                    </w:rPr>
                  </w:pPr>
                  <w:r>
                    <w:rPr>
                      <w:rFonts w:hint="eastAsia" w:ascii="Times New Roman" w:hAnsi="Times New Roman" w:eastAsia="宋体" w:cs="Times New Roman"/>
                      <w:color w:val="auto"/>
                      <w:sz w:val="21"/>
                      <w:szCs w:val="21"/>
                      <w:u w:val="none" w:color="auto"/>
                      <w:shd w:val="clear" w:color="auto" w:fill="FFFFFF"/>
                      <w:lang w:val="en-US" w:eastAsia="zh-CN"/>
                    </w:rPr>
                    <w:t>60</w:t>
                  </w:r>
                </w:p>
              </w:tc>
              <w:tc>
                <w:tcPr>
                  <w:tcW w:w="1248" w:type="dxa"/>
                  <w:vAlign w:val="center"/>
                </w:tcPr>
                <w:p w14:paraId="0CE7B1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eastAsia" w:ascii="Times New Roman" w:hAnsi="Times New Roman" w:eastAsia="宋体" w:cs="Times New Roman"/>
                      <w:color w:val="auto"/>
                      <w:sz w:val="21"/>
                      <w:szCs w:val="21"/>
                      <w:u w:val="none" w:color="auto"/>
                      <w:shd w:val="clear" w:color="auto" w:fill="FFFFFF"/>
                      <w:lang w:val="en-US" w:eastAsia="zh-CN"/>
                    </w:rPr>
                    <w:t>达标</w:t>
                  </w:r>
                </w:p>
              </w:tc>
            </w:tr>
            <w:tr w14:paraId="4A1D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vMerge w:val="continue"/>
                  <w:vAlign w:val="center"/>
                </w:tcPr>
                <w:p w14:paraId="249D998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p>
              </w:tc>
              <w:tc>
                <w:tcPr>
                  <w:tcW w:w="1212" w:type="dxa"/>
                  <w:vMerge w:val="continue"/>
                  <w:vAlign w:val="center"/>
                </w:tcPr>
                <w:p w14:paraId="2E0D495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11" w:type="dxa"/>
                  <w:vMerge w:val="continue"/>
                  <w:vAlign w:val="center"/>
                </w:tcPr>
                <w:p w14:paraId="5EDFB50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p>
              </w:tc>
              <w:tc>
                <w:tcPr>
                  <w:tcW w:w="1356" w:type="dxa"/>
                  <w:vAlign w:val="center"/>
                </w:tcPr>
                <w:p w14:paraId="124CC54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夜间</w:t>
                  </w:r>
                </w:p>
              </w:tc>
              <w:tc>
                <w:tcPr>
                  <w:tcW w:w="1636" w:type="dxa"/>
                  <w:vAlign w:val="center"/>
                </w:tcPr>
                <w:p w14:paraId="7E88303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default" w:ascii="Times New Roman" w:hAnsi="Times New Roman" w:eastAsia="宋体" w:cs="Times New Roman"/>
                      <w:color w:val="auto"/>
                      <w:sz w:val="21"/>
                      <w:szCs w:val="21"/>
                      <w:u w:val="none" w:color="auto"/>
                      <w:shd w:val="clear" w:color="auto" w:fill="FFFFFF"/>
                    </w:rPr>
                    <w:t>40.8</w:t>
                  </w:r>
                </w:p>
              </w:tc>
              <w:tc>
                <w:tcPr>
                  <w:tcW w:w="1636" w:type="dxa"/>
                  <w:vAlign w:val="center"/>
                </w:tcPr>
                <w:p w14:paraId="2A88EF0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lang w:val="en-US" w:eastAsia="zh-CN"/>
                    </w:rPr>
                  </w:pPr>
                  <w:r>
                    <w:rPr>
                      <w:rFonts w:hint="eastAsia" w:ascii="Times New Roman" w:hAnsi="Times New Roman" w:eastAsia="宋体" w:cs="Times New Roman"/>
                      <w:color w:val="auto"/>
                      <w:sz w:val="21"/>
                      <w:szCs w:val="21"/>
                      <w:u w:val="none" w:color="auto"/>
                      <w:shd w:val="clear" w:color="auto" w:fill="FFFFFF"/>
                      <w:lang w:val="en-US" w:eastAsia="zh-CN"/>
                    </w:rPr>
                    <w:t>50</w:t>
                  </w:r>
                </w:p>
              </w:tc>
              <w:tc>
                <w:tcPr>
                  <w:tcW w:w="1248" w:type="dxa"/>
                  <w:vAlign w:val="center"/>
                </w:tcPr>
                <w:p w14:paraId="20373B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shd w:val="clear" w:color="auto" w:fill="FFFFFF"/>
                    </w:rPr>
                  </w:pPr>
                  <w:r>
                    <w:rPr>
                      <w:rFonts w:hint="eastAsia" w:ascii="Times New Roman" w:hAnsi="Times New Roman" w:eastAsia="宋体" w:cs="Times New Roman"/>
                      <w:color w:val="auto"/>
                      <w:sz w:val="21"/>
                      <w:szCs w:val="21"/>
                      <w:u w:val="none" w:color="auto"/>
                      <w:shd w:val="clear" w:color="auto" w:fill="FFFFFF"/>
                      <w:lang w:val="en-US" w:eastAsia="zh-CN"/>
                    </w:rPr>
                    <w:t>达标</w:t>
                  </w:r>
                </w:p>
              </w:tc>
            </w:tr>
          </w:tbl>
          <w:p w14:paraId="4E7CBD01">
            <w:pPr>
              <w:adjustRightInd w:val="0"/>
              <w:snapToGrid w:val="0"/>
              <w:spacing w:line="360" w:lineRule="auto"/>
              <w:ind w:firstLine="480" w:firstLineChars="200"/>
              <w:rPr>
                <w:rFonts w:hint="default" w:ascii="Times New Roman" w:hAnsi="Times New Roman" w:eastAsia="宋体" w:cs="Times New Roman"/>
                <w:color w:val="auto"/>
                <w:sz w:val="24"/>
                <w:highlight w:val="none"/>
                <w:u w:val="none" w:color="auto"/>
                <w:lang w:val="en-US" w:eastAsia="zh-CN"/>
              </w:rPr>
            </w:pPr>
            <w:r>
              <w:rPr>
                <w:rFonts w:hint="default" w:ascii="Times New Roman" w:hAnsi="Times New Roman" w:eastAsia="宋体" w:cs="Times New Roman"/>
                <w:color w:val="auto"/>
                <w:sz w:val="24"/>
                <w:highlight w:val="none"/>
                <w:u w:val="none" w:color="auto"/>
              </w:rPr>
              <w:t>根据监测结果，项目</w:t>
            </w:r>
            <w:r>
              <w:rPr>
                <w:rFonts w:hint="default" w:ascii="Times New Roman" w:hAnsi="Times New Roman" w:eastAsia="宋体" w:cs="Times New Roman"/>
                <w:color w:val="auto"/>
                <w:sz w:val="24"/>
                <w:highlight w:val="none"/>
                <w:u w:val="none" w:color="auto"/>
                <w:lang w:val="en-US" w:eastAsia="zh-CN"/>
              </w:rPr>
              <w:t>南、西、北场界及九斗坡</w:t>
            </w:r>
            <w:r>
              <w:rPr>
                <w:rFonts w:hint="default" w:ascii="Times New Roman" w:hAnsi="Times New Roman" w:eastAsia="宋体" w:cs="Times New Roman"/>
                <w:color w:val="auto"/>
                <w:sz w:val="24"/>
                <w:highlight w:val="none"/>
                <w:u w:val="none" w:color="auto"/>
              </w:rPr>
              <w:t>声环境满</w:t>
            </w:r>
            <w:r>
              <w:rPr>
                <w:rFonts w:hint="default" w:ascii="Times New Roman" w:hAnsi="Times New Roman" w:eastAsia="宋体" w:cs="Times New Roman"/>
                <w:b w:val="0"/>
                <w:bCs w:val="0"/>
                <w:color w:val="auto"/>
                <w:sz w:val="24"/>
                <w:highlight w:val="none"/>
                <w:u w:val="none" w:color="auto"/>
              </w:rPr>
              <w:t>足《声环境质量标准》（GB3096-2008）</w:t>
            </w:r>
            <w:r>
              <w:rPr>
                <w:rFonts w:hint="default" w:ascii="Times New Roman" w:hAnsi="Times New Roman" w:eastAsia="宋体" w:cs="Times New Roman"/>
                <w:b w:val="0"/>
                <w:bCs w:val="0"/>
                <w:color w:val="auto"/>
                <w:sz w:val="24"/>
                <w:highlight w:val="none"/>
                <w:u w:val="none" w:color="auto"/>
                <w:lang w:val="en-US" w:eastAsia="zh-CN"/>
              </w:rPr>
              <w:t>2</w:t>
            </w:r>
            <w:r>
              <w:rPr>
                <w:rFonts w:hint="default" w:ascii="Times New Roman" w:hAnsi="Times New Roman" w:eastAsia="宋体" w:cs="Times New Roman"/>
                <w:b w:val="0"/>
                <w:bCs w:val="0"/>
                <w:color w:val="auto"/>
                <w:sz w:val="24"/>
                <w:highlight w:val="none"/>
                <w:u w:val="none" w:color="auto"/>
              </w:rPr>
              <w:t>类标准</w:t>
            </w:r>
            <w:r>
              <w:rPr>
                <w:rFonts w:hint="default" w:ascii="Times New Roman" w:hAnsi="Times New Roman" w:eastAsia="宋体" w:cs="Times New Roman"/>
                <w:b w:val="0"/>
                <w:bCs w:val="0"/>
                <w:color w:val="auto"/>
                <w:sz w:val="24"/>
                <w:highlight w:val="none"/>
                <w:u w:val="none" w:color="auto"/>
                <w:lang w:eastAsia="zh-CN"/>
              </w:rPr>
              <w:t>，</w:t>
            </w:r>
            <w:r>
              <w:rPr>
                <w:rFonts w:hint="default" w:ascii="Times New Roman" w:hAnsi="Times New Roman" w:eastAsia="宋体" w:cs="Times New Roman"/>
                <w:b w:val="0"/>
                <w:bCs w:val="0"/>
                <w:color w:val="auto"/>
                <w:sz w:val="24"/>
                <w:highlight w:val="none"/>
                <w:u w:val="none" w:color="auto"/>
                <w:lang w:val="en-US" w:eastAsia="zh-CN"/>
              </w:rPr>
              <w:t>东面场界的声环境质量满足4a类标准</w:t>
            </w:r>
            <w:r>
              <w:rPr>
                <w:rFonts w:hint="default" w:ascii="Times New Roman" w:hAnsi="Times New Roman" w:eastAsia="宋体" w:cs="Times New Roman"/>
                <w:color w:val="auto"/>
                <w:sz w:val="24"/>
                <w:highlight w:val="none"/>
                <w:u w:val="none" w:color="auto"/>
                <w:lang w:val="en-US" w:eastAsia="zh-CN"/>
              </w:rPr>
              <w:t>。</w:t>
            </w:r>
          </w:p>
          <w:p w14:paraId="598BD1F6">
            <w:pPr>
              <w:adjustRightInd w:val="0"/>
              <w:snapToGrid w:val="0"/>
              <w:spacing w:line="360" w:lineRule="auto"/>
              <w:ind w:firstLine="480" w:firstLineChars="200"/>
              <w:rPr>
                <w:rFonts w:hint="default" w:ascii="Times New Roman" w:hAnsi="Times New Roman" w:eastAsia="宋体" w:cs="Times New Roman"/>
                <w:color w:val="auto"/>
                <w:sz w:val="24"/>
                <w:highlight w:val="none"/>
                <w:u w:val="none" w:color="auto"/>
                <w:lang w:val="en-US" w:eastAsia="zh-CN"/>
              </w:rPr>
            </w:pPr>
            <w:r>
              <w:rPr>
                <w:rFonts w:hint="default" w:ascii="Times New Roman" w:hAnsi="Times New Roman" w:eastAsia="宋体" w:cs="Times New Roman"/>
                <w:color w:val="auto"/>
                <w:sz w:val="24"/>
                <w:highlight w:val="none"/>
                <w:u w:val="none" w:color="auto"/>
                <w:lang w:val="en-US" w:eastAsia="zh-CN"/>
              </w:rPr>
              <w:t>此外，本报告同时搜集了</w:t>
            </w:r>
            <w:r>
              <w:rPr>
                <w:rFonts w:hint="default" w:ascii="Times New Roman" w:hAnsi="Times New Roman" w:eastAsia="宋体" w:cs="Times New Roman"/>
                <w:color w:val="auto"/>
                <w:szCs w:val="22"/>
                <w:u w:val="none" w:color="auto"/>
              </w:rPr>
              <w:t>《</w:t>
            </w:r>
            <w:r>
              <w:rPr>
                <w:rFonts w:hint="default" w:ascii="Times New Roman" w:hAnsi="Times New Roman" w:eastAsia="宋体" w:cs="Times New Roman"/>
                <w:color w:val="auto"/>
                <w:szCs w:val="22"/>
                <w:u w:val="none" w:color="auto"/>
                <w:lang w:val="en-US" w:eastAsia="zh-CN"/>
              </w:rPr>
              <w:t>南宁三玖脑科医院项目</w:t>
            </w:r>
            <w:r>
              <w:rPr>
                <w:rFonts w:hint="default" w:ascii="Times New Roman" w:hAnsi="Times New Roman" w:eastAsia="宋体" w:cs="Times New Roman"/>
                <w:color w:val="auto"/>
                <w:szCs w:val="22"/>
                <w:u w:val="none" w:color="auto"/>
              </w:rPr>
              <w:t>环境质量现状监测报告》</w:t>
            </w:r>
            <w:r>
              <w:rPr>
                <w:rFonts w:hint="default" w:ascii="Times New Roman" w:hAnsi="Times New Roman" w:eastAsia="宋体" w:cs="Times New Roman"/>
                <w:color w:val="auto"/>
                <w:szCs w:val="22"/>
                <w:u w:val="none" w:color="auto"/>
                <w:lang w:val="en-US" w:eastAsia="zh-CN"/>
              </w:rPr>
              <w:t>对拟建南宁三玖脑科医院项目（1#、拟建</w:t>
            </w:r>
            <w:r>
              <w:rPr>
                <w:rFonts w:hint="eastAsia" w:ascii="Times New Roman" w:hAnsi="Times New Roman" w:eastAsia="宋体" w:cs="Times New Roman"/>
                <w:color w:val="auto"/>
                <w:szCs w:val="22"/>
                <w:u w:val="none" w:color="auto"/>
                <w:lang w:val="en-US" w:eastAsia="zh-CN"/>
              </w:rPr>
              <w:t>3号</w:t>
            </w:r>
            <w:r>
              <w:rPr>
                <w:rFonts w:hint="default" w:ascii="Times New Roman" w:hAnsi="Times New Roman" w:eastAsia="宋体" w:cs="Times New Roman"/>
                <w:color w:val="auto"/>
                <w:szCs w:val="22"/>
                <w:u w:val="none" w:color="auto"/>
                <w:lang w:val="en-US" w:eastAsia="zh-CN"/>
              </w:rPr>
              <w:t>楼）的监测结果，东侧监测结果范围为昼间57.0~57.9</w:t>
            </w:r>
            <w:r>
              <w:rPr>
                <w:rFonts w:hint="default" w:ascii="Times New Roman" w:hAnsi="Times New Roman" w:eastAsia="宋体" w:cs="Times New Roman"/>
                <w:b w:val="0"/>
                <w:color w:val="auto"/>
                <w:highlight w:val="none"/>
                <w:u w:val="none" w:color="auto"/>
                <w:lang w:val="en-US" w:eastAsia="zh-CN"/>
              </w:rPr>
              <w:t>dB（A）</w:t>
            </w:r>
            <w:r>
              <w:rPr>
                <w:rFonts w:hint="default" w:ascii="Times New Roman" w:hAnsi="Times New Roman" w:eastAsia="宋体" w:cs="Times New Roman"/>
                <w:color w:val="auto"/>
                <w:szCs w:val="22"/>
                <w:u w:val="none" w:color="auto"/>
                <w:lang w:val="en-US" w:eastAsia="zh-CN"/>
              </w:rPr>
              <w:t>、夜间41.9~42.0</w:t>
            </w:r>
            <w:r>
              <w:rPr>
                <w:rFonts w:hint="default" w:ascii="Times New Roman" w:hAnsi="Times New Roman" w:eastAsia="宋体" w:cs="Times New Roman"/>
                <w:b w:val="0"/>
                <w:color w:val="auto"/>
                <w:highlight w:val="none"/>
                <w:u w:val="none" w:color="auto"/>
                <w:lang w:val="en-US" w:eastAsia="zh-CN"/>
              </w:rPr>
              <w:t>dB（A）</w:t>
            </w:r>
            <w:r>
              <w:rPr>
                <w:rFonts w:hint="default" w:ascii="Times New Roman" w:hAnsi="Times New Roman" w:eastAsia="宋体" w:cs="Times New Roman"/>
                <w:color w:val="auto"/>
                <w:szCs w:val="22"/>
                <w:u w:val="none" w:color="auto"/>
                <w:lang w:val="en-US" w:eastAsia="zh-CN"/>
              </w:rPr>
              <w:t>，其他3个</w:t>
            </w:r>
            <w:r>
              <w:rPr>
                <w:rFonts w:hint="eastAsia" w:cs="Times New Roman"/>
                <w:color w:val="auto"/>
                <w:szCs w:val="22"/>
                <w:u w:val="none" w:color="auto"/>
                <w:lang w:val="en-US" w:eastAsia="zh-CN"/>
              </w:rPr>
              <w:t>场</w:t>
            </w:r>
            <w:r>
              <w:rPr>
                <w:rFonts w:hint="default" w:ascii="Times New Roman" w:hAnsi="Times New Roman" w:eastAsia="宋体" w:cs="Times New Roman"/>
                <w:color w:val="auto"/>
                <w:szCs w:val="22"/>
                <w:u w:val="none" w:color="auto"/>
                <w:lang w:val="en-US" w:eastAsia="zh-CN"/>
              </w:rPr>
              <w:t>界监测结果范围为53.1~57.0~58.7</w:t>
            </w:r>
            <w:r>
              <w:rPr>
                <w:rFonts w:hint="default" w:ascii="Times New Roman" w:hAnsi="Times New Roman" w:eastAsia="宋体" w:cs="Times New Roman"/>
                <w:b w:val="0"/>
                <w:color w:val="auto"/>
                <w:highlight w:val="none"/>
                <w:u w:val="none" w:color="auto"/>
                <w:lang w:val="en-US" w:eastAsia="zh-CN"/>
              </w:rPr>
              <w:t>dB（A）、夜间40.8~42.7dB（A），该</w:t>
            </w:r>
            <w:r>
              <w:rPr>
                <w:rFonts w:hint="default" w:ascii="Times New Roman" w:hAnsi="Times New Roman" w:eastAsia="宋体" w:cs="Times New Roman"/>
                <w:color w:val="auto"/>
                <w:sz w:val="24"/>
                <w:highlight w:val="none"/>
                <w:u w:val="none" w:color="auto"/>
              </w:rPr>
              <w:t>项目</w:t>
            </w:r>
            <w:r>
              <w:rPr>
                <w:rFonts w:hint="default" w:ascii="Times New Roman" w:hAnsi="Times New Roman" w:eastAsia="宋体" w:cs="Times New Roman"/>
                <w:color w:val="auto"/>
                <w:sz w:val="24"/>
                <w:highlight w:val="none"/>
                <w:u w:val="none" w:color="auto"/>
                <w:lang w:val="en-US" w:eastAsia="zh-CN"/>
              </w:rPr>
              <w:t>南、西、北场界及九斗坡</w:t>
            </w:r>
            <w:r>
              <w:rPr>
                <w:rFonts w:hint="default" w:ascii="Times New Roman" w:hAnsi="Times New Roman" w:eastAsia="宋体" w:cs="Times New Roman"/>
                <w:color w:val="auto"/>
                <w:sz w:val="24"/>
                <w:highlight w:val="none"/>
                <w:u w:val="none" w:color="auto"/>
              </w:rPr>
              <w:t>声环境满</w:t>
            </w:r>
            <w:r>
              <w:rPr>
                <w:rFonts w:hint="default" w:ascii="Times New Roman" w:hAnsi="Times New Roman" w:eastAsia="宋体" w:cs="Times New Roman"/>
                <w:b w:val="0"/>
                <w:bCs w:val="0"/>
                <w:color w:val="auto"/>
                <w:sz w:val="24"/>
                <w:highlight w:val="none"/>
                <w:u w:val="none" w:color="auto"/>
              </w:rPr>
              <w:t>足《声环境质量标准》（GB3096-2008）</w:t>
            </w:r>
            <w:r>
              <w:rPr>
                <w:rFonts w:hint="default" w:ascii="Times New Roman" w:hAnsi="Times New Roman" w:eastAsia="宋体" w:cs="Times New Roman"/>
                <w:b w:val="0"/>
                <w:bCs w:val="0"/>
                <w:color w:val="auto"/>
                <w:sz w:val="24"/>
                <w:highlight w:val="none"/>
                <w:u w:val="none" w:color="auto"/>
                <w:lang w:val="en-US" w:eastAsia="zh-CN"/>
              </w:rPr>
              <w:t>2</w:t>
            </w:r>
            <w:r>
              <w:rPr>
                <w:rFonts w:hint="default" w:ascii="Times New Roman" w:hAnsi="Times New Roman" w:eastAsia="宋体" w:cs="Times New Roman"/>
                <w:b w:val="0"/>
                <w:bCs w:val="0"/>
                <w:color w:val="auto"/>
                <w:sz w:val="24"/>
                <w:highlight w:val="none"/>
                <w:u w:val="none" w:color="auto"/>
              </w:rPr>
              <w:t>类标准</w:t>
            </w:r>
            <w:r>
              <w:rPr>
                <w:rFonts w:hint="default" w:ascii="Times New Roman" w:hAnsi="Times New Roman" w:eastAsia="宋体" w:cs="Times New Roman"/>
                <w:b w:val="0"/>
                <w:bCs w:val="0"/>
                <w:color w:val="auto"/>
                <w:sz w:val="24"/>
                <w:highlight w:val="none"/>
                <w:u w:val="none" w:color="auto"/>
                <w:lang w:eastAsia="zh-CN"/>
              </w:rPr>
              <w:t>，</w:t>
            </w:r>
            <w:r>
              <w:rPr>
                <w:rFonts w:hint="default" w:ascii="Times New Roman" w:hAnsi="Times New Roman" w:eastAsia="宋体" w:cs="Times New Roman"/>
                <w:b w:val="0"/>
                <w:bCs w:val="0"/>
                <w:color w:val="auto"/>
                <w:sz w:val="24"/>
                <w:highlight w:val="none"/>
                <w:u w:val="none" w:color="auto"/>
                <w:lang w:val="en-US" w:eastAsia="zh-CN"/>
              </w:rPr>
              <w:t>东面场界声环境质量满足4a类标准</w:t>
            </w:r>
            <w:r>
              <w:rPr>
                <w:rFonts w:hint="default" w:ascii="Times New Roman" w:hAnsi="Times New Roman" w:eastAsia="宋体" w:cs="Times New Roman"/>
                <w:color w:val="auto"/>
                <w:sz w:val="24"/>
                <w:highlight w:val="none"/>
                <w:u w:val="none" w:color="auto"/>
                <w:lang w:val="en-US" w:eastAsia="zh-CN"/>
              </w:rPr>
              <w:t>。</w:t>
            </w:r>
          </w:p>
          <w:p w14:paraId="1F32F2F8">
            <w:pPr>
              <w:adjustRightInd w:val="0"/>
              <w:snapToGrid w:val="0"/>
              <w:spacing w:line="360" w:lineRule="auto"/>
              <w:ind w:firstLine="482" w:firstLineChars="200"/>
              <w:rPr>
                <w:rFonts w:ascii="Times New Roman" w:hAnsi="Times New Roman" w:eastAsia="宋体" w:cs="Times New Roman"/>
                <w:b/>
                <w:bCs/>
                <w:color w:val="auto"/>
                <w:sz w:val="24"/>
                <w:u w:val="none" w:color="auto"/>
              </w:rPr>
            </w:pPr>
            <w:r>
              <w:rPr>
                <w:rFonts w:hint="eastAsia" w:ascii="Times New Roman" w:hAnsi="Times New Roman" w:eastAsia="宋体" w:cs="Times New Roman"/>
                <w:b/>
                <w:bCs/>
                <w:color w:val="auto"/>
                <w:sz w:val="24"/>
                <w:u w:val="none" w:color="auto"/>
                <w:lang w:val="en-US" w:eastAsia="zh-CN"/>
              </w:rPr>
              <w:t>4</w:t>
            </w:r>
            <w:r>
              <w:rPr>
                <w:rFonts w:ascii="Times New Roman" w:hAnsi="Times New Roman" w:eastAsia="宋体" w:cs="Times New Roman"/>
                <w:b/>
                <w:bCs/>
                <w:color w:val="auto"/>
                <w:sz w:val="24"/>
                <w:u w:val="none" w:color="auto"/>
              </w:rPr>
              <w:t>、生态环境</w:t>
            </w:r>
          </w:p>
          <w:p w14:paraId="629033EF">
            <w:pPr>
              <w:pStyle w:val="54"/>
              <w:ind w:firstLine="480"/>
              <w:rPr>
                <w:rFonts w:hint="eastAsia"/>
                <w:color w:val="auto"/>
                <w:u w:val="none" w:color="auto"/>
                <w:lang w:val="en-US" w:eastAsia="zh-CN"/>
              </w:rPr>
            </w:pPr>
            <w:r>
              <w:rPr>
                <w:rFonts w:hint="eastAsia" w:ascii="Times New Roman" w:hAnsi="Times New Roman" w:eastAsia="宋体" w:cs="Times New Roman"/>
                <w:color w:val="auto"/>
                <w:sz w:val="24"/>
                <w:u w:val="none" w:color="auto"/>
                <w:lang w:val="en-US" w:eastAsia="zh-CN"/>
              </w:rPr>
              <w:t>根据实地勘察，</w:t>
            </w:r>
            <w:r>
              <w:rPr>
                <w:rFonts w:hint="eastAsia"/>
                <w:bCs/>
                <w:color w:val="auto"/>
                <w:u w:val="none" w:color="auto"/>
                <w:lang w:val="en-US" w:eastAsia="zh-CN"/>
              </w:rPr>
              <w:t>区域植被以道路绿化及庭院灌丛和自然植被等为主，生物多样性简单，区域植被主要以当地常见物种为主，主要有</w:t>
            </w:r>
            <w:r>
              <w:rPr>
                <w:color w:val="auto"/>
                <w:u w:val="none" w:color="auto"/>
                <w:lang w:val="en-US" w:eastAsia="zh-CN"/>
              </w:rPr>
              <w:t>速生桉、低矮草本植物</w:t>
            </w:r>
            <w:r>
              <w:rPr>
                <w:rFonts w:hint="eastAsia"/>
                <w:color w:val="auto"/>
                <w:u w:val="none" w:color="auto"/>
                <w:lang w:val="en-US" w:eastAsia="zh-CN"/>
              </w:rPr>
              <w:t>，以及人工种植的玉米、甘蔗、龙眼、荔枝等，动物主要为老鼠、青蛙、麻雀等常见物种为主，水生生物主要为常见的小型物种，包括硅藻门、绿藻门、蓝藻门、甲藻门等浮游植物，原生动物、轮虫、枝角类、桡足类、糠虾类等浮游动物，环节动物、软体动物和节肢动物等底栖动物，以及鲫鱼、鲤鱼、草鱼、泥鳅等常见鱼类。</w:t>
            </w:r>
          </w:p>
          <w:p w14:paraId="6750171C">
            <w:pPr>
              <w:adjustRightInd w:val="0"/>
              <w:snapToGrid w:val="0"/>
              <w:spacing w:line="360" w:lineRule="auto"/>
              <w:ind w:firstLine="480" w:firstLineChars="200"/>
              <w:rPr>
                <w:rFonts w:hint="eastAsia" w:ascii="Times New Roman" w:hAnsi="Times New Roman" w:eastAsia="宋体" w:cs="Times New Roman"/>
                <w:color w:val="auto"/>
                <w:sz w:val="24"/>
                <w:u w:val="none" w:color="auto"/>
                <w:lang w:val="en-US" w:eastAsia="zh-CN"/>
              </w:rPr>
            </w:pPr>
            <w:r>
              <w:rPr>
                <w:rFonts w:hint="eastAsia"/>
                <w:bCs/>
                <w:color w:val="auto"/>
                <w:u w:val="none" w:color="auto"/>
                <w:lang w:val="en-US" w:eastAsia="zh-CN"/>
              </w:rPr>
              <w:t>评价范围内未发现</w:t>
            </w:r>
            <w:r>
              <w:rPr>
                <w:bCs/>
                <w:color w:val="auto"/>
                <w:u w:val="none" w:color="auto"/>
                <w:lang w:val="en-US" w:eastAsia="zh-CN"/>
              </w:rPr>
              <w:t>国家</w:t>
            </w:r>
            <w:r>
              <w:rPr>
                <w:rFonts w:hint="eastAsia"/>
                <w:bCs/>
                <w:color w:val="auto"/>
                <w:u w:val="none" w:color="auto"/>
                <w:lang w:val="en-US" w:eastAsia="zh-CN"/>
              </w:rPr>
              <w:t>和</w:t>
            </w:r>
            <w:r>
              <w:rPr>
                <w:bCs/>
                <w:color w:val="auto"/>
                <w:u w:val="none" w:color="auto"/>
                <w:lang w:val="en-US" w:eastAsia="zh-CN"/>
              </w:rPr>
              <w:t>地方动植物保护物种</w:t>
            </w:r>
            <w:r>
              <w:rPr>
                <w:rFonts w:hint="eastAsia"/>
                <w:bCs/>
                <w:color w:val="auto"/>
                <w:u w:val="none" w:color="auto"/>
                <w:lang w:val="en-US" w:eastAsia="zh-CN"/>
              </w:rPr>
              <w:t>，项目不涉及饮用水水源保护区，</w:t>
            </w:r>
            <w:r>
              <w:rPr>
                <w:rFonts w:hint="eastAsia" w:ascii="Times New Roman" w:hAnsi="Times New Roman" w:eastAsia="宋体" w:cs="Times New Roman"/>
                <w:color w:val="auto"/>
                <w:sz w:val="24"/>
                <w:u w:val="none" w:color="auto"/>
                <w:lang w:val="en-US" w:eastAsia="zh-CN"/>
              </w:rPr>
              <w:t>没有国家和地方重点保护的植物种类和珍稀物种，也未发现国家和地方重点保护的野生动物及珍稀野生动物，无重点文物、</w:t>
            </w:r>
            <w:r>
              <w:rPr>
                <w:rFonts w:hint="eastAsia" w:eastAsia="宋体" w:cs="Times New Roman"/>
                <w:color w:val="auto"/>
                <w:sz w:val="24"/>
                <w:u w:val="none" w:color="auto"/>
                <w:lang w:val="en-US" w:eastAsia="zh-CN"/>
              </w:rPr>
              <w:t>文物</w:t>
            </w:r>
            <w:r>
              <w:rPr>
                <w:rFonts w:hint="eastAsia" w:ascii="Times New Roman" w:hAnsi="Times New Roman" w:eastAsia="宋体" w:cs="Times New Roman"/>
                <w:color w:val="auto"/>
                <w:sz w:val="24"/>
                <w:u w:val="none" w:color="auto"/>
                <w:lang w:val="en-US" w:eastAsia="zh-CN"/>
              </w:rPr>
              <w:t>古迹等。</w:t>
            </w:r>
          </w:p>
          <w:p w14:paraId="4D3BD5A9">
            <w:pPr>
              <w:keepNext w:val="0"/>
              <w:keepLines w:val="0"/>
              <w:pageBreakBefore w:val="0"/>
              <w:kinsoku/>
              <w:wordWrap/>
              <w:overflowPunct/>
              <w:topLinePunct w:val="0"/>
              <w:bidi w:val="0"/>
              <w:adjustRightInd w:val="0"/>
              <w:snapToGrid w:val="0"/>
              <w:spacing w:line="480" w:lineRule="exact"/>
              <w:ind w:firstLine="482" w:firstLineChars="200"/>
              <w:textAlignment w:val="auto"/>
              <w:rPr>
                <w:rFonts w:hint="default" w:ascii="Times New Roman" w:hAnsi="Times New Roman" w:eastAsia="宋体" w:cs="Times New Roman"/>
                <w:b/>
                <w:bCs/>
                <w:color w:val="auto"/>
                <w:sz w:val="24"/>
                <w:u w:val="none" w:color="auto"/>
                <w:lang w:val="en-US" w:eastAsia="zh-CN"/>
              </w:rPr>
            </w:pPr>
            <w:r>
              <w:rPr>
                <w:rFonts w:hint="eastAsia" w:ascii="Times New Roman" w:hAnsi="Times New Roman" w:eastAsia="宋体" w:cs="Times New Roman"/>
                <w:b/>
                <w:bCs/>
                <w:color w:val="auto"/>
                <w:sz w:val="24"/>
                <w:u w:val="none" w:color="auto"/>
                <w:lang w:val="en-US" w:eastAsia="zh-CN"/>
              </w:rPr>
              <w:t>5、广西良凤江国家森林公园</w:t>
            </w:r>
          </w:p>
          <w:p w14:paraId="2A872A5F">
            <w:pPr>
              <w:keepNext w:val="0"/>
              <w:keepLines w:val="0"/>
              <w:pageBreakBefore w:val="0"/>
              <w:widowControl/>
              <w:suppressLineNumbers w:val="0"/>
              <w:kinsoku/>
              <w:wordWrap/>
              <w:overflowPunct/>
              <w:topLinePunct w:val="0"/>
              <w:bidi w:val="0"/>
              <w:snapToGrid/>
              <w:spacing w:line="480" w:lineRule="exact"/>
              <w:ind w:firstLine="480" w:firstLineChars="200"/>
              <w:jc w:val="left"/>
              <w:textAlignment w:val="auto"/>
              <w:rPr>
                <w:rFonts w:hint="eastAsia" w:ascii="宋体" w:hAnsi="宋体" w:eastAsia="宋体" w:cs="宋体"/>
                <w:color w:val="auto"/>
                <w:kern w:val="0"/>
                <w:sz w:val="24"/>
                <w:szCs w:val="24"/>
                <w:highlight w:val="none"/>
                <w:u w:val="none" w:color="auto"/>
                <w:lang w:val="en-US" w:eastAsia="zh-CN" w:bidi="ar"/>
              </w:rPr>
            </w:pPr>
            <w:r>
              <w:rPr>
                <w:rFonts w:hint="eastAsia" w:ascii="宋体" w:hAnsi="宋体" w:eastAsia="宋体" w:cs="宋体"/>
                <w:color w:val="auto"/>
                <w:kern w:val="0"/>
                <w:sz w:val="24"/>
                <w:szCs w:val="24"/>
                <w:highlight w:val="none"/>
                <w:u w:val="none" w:color="auto"/>
                <w:lang w:val="en-US" w:eastAsia="zh-CN" w:bidi="ar"/>
              </w:rPr>
              <w:t>广西良凤江国家森林公园设立于1989年，批复面积1321.30公顷，矢量面积1347.59公顷，是一个以森林资源保护、生态文化教育和森林游憩为主旨，以保护地带性植被亚热带常绿阔叶林及树木标本园为核心，以植物园游赏为主体，集资源保护、自然教育、生态休闲和森林康养等功能于一体的城郊型国家森林公园和国家AAAA级旅游景区。当前，该森林公园已建立独立的管理机构。</w:t>
            </w:r>
          </w:p>
          <w:p w14:paraId="2F7036AF">
            <w:pPr>
              <w:keepNext w:val="0"/>
              <w:keepLines w:val="0"/>
              <w:pageBreakBefore w:val="0"/>
              <w:widowControl/>
              <w:suppressLineNumbers w:val="0"/>
              <w:kinsoku/>
              <w:wordWrap/>
              <w:overflowPunct/>
              <w:topLinePunct w:val="0"/>
              <w:bidi w:val="0"/>
              <w:snapToGrid/>
              <w:spacing w:line="480" w:lineRule="exact"/>
              <w:ind w:firstLine="480" w:firstLineChars="200"/>
              <w:jc w:val="left"/>
              <w:textAlignment w:val="auto"/>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广西南宁良凤江国家森林公园隶属于自治区林业局主管的经营性事业单位，前身是广西南宁树木园。</w:t>
            </w:r>
            <w:r>
              <w:rPr>
                <w:rFonts w:hint="default" w:ascii="Times New Roman" w:hAnsi="Times New Roman" w:eastAsia="宋体" w:cs="Times New Roman"/>
                <w:color w:val="auto"/>
                <w:kern w:val="0"/>
                <w:sz w:val="24"/>
                <w:szCs w:val="24"/>
                <w:highlight w:val="none"/>
                <w:u w:val="none" w:color="auto"/>
                <w:lang w:val="en-US" w:eastAsia="zh-CN" w:bidi="ar"/>
              </w:rPr>
              <w:t>1979</w:t>
            </w:r>
            <w:r>
              <w:rPr>
                <w:rFonts w:hint="eastAsia" w:ascii="宋体" w:hAnsi="宋体" w:eastAsia="宋体" w:cs="宋体"/>
                <w:color w:val="auto"/>
                <w:kern w:val="0"/>
                <w:sz w:val="24"/>
                <w:szCs w:val="24"/>
                <w:highlight w:val="none"/>
                <w:u w:val="none" w:color="auto"/>
                <w:lang w:val="en-US" w:eastAsia="zh-CN" w:bidi="ar"/>
              </w:rPr>
              <w:t>年</w:t>
            </w:r>
            <w:r>
              <w:rPr>
                <w:rFonts w:hint="default" w:ascii="Times New Roman" w:hAnsi="Times New Roman" w:eastAsia="宋体" w:cs="Times New Roman"/>
                <w:color w:val="auto"/>
                <w:kern w:val="0"/>
                <w:sz w:val="24"/>
                <w:szCs w:val="24"/>
                <w:highlight w:val="none"/>
                <w:u w:val="none" w:color="auto"/>
                <w:lang w:val="en-US" w:eastAsia="zh-CN" w:bidi="ar"/>
              </w:rPr>
              <w:t>10</w:t>
            </w:r>
            <w:r>
              <w:rPr>
                <w:rFonts w:hint="eastAsia" w:ascii="宋体" w:hAnsi="宋体" w:eastAsia="宋体" w:cs="宋体"/>
                <w:color w:val="auto"/>
                <w:kern w:val="0"/>
                <w:sz w:val="24"/>
                <w:szCs w:val="24"/>
                <w:highlight w:val="none"/>
                <w:u w:val="none" w:color="auto"/>
                <w:lang w:val="en-US" w:eastAsia="zh-CN" w:bidi="ar"/>
              </w:rPr>
              <w:t>月，区党委决定将南宁市示范林场、良凤江植物园、七坡林场连山分场合并建立广西南宁树木园。</w:t>
            </w:r>
            <w:r>
              <w:rPr>
                <w:rFonts w:hint="default" w:ascii="Times New Roman" w:hAnsi="Times New Roman" w:eastAsia="宋体" w:cs="Times New Roman"/>
                <w:color w:val="auto"/>
                <w:kern w:val="0"/>
                <w:sz w:val="24"/>
                <w:szCs w:val="24"/>
                <w:highlight w:val="none"/>
                <w:u w:val="none" w:color="auto"/>
                <w:lang w:val="en-US" w:eastAsia="zh-CN" w:bidi="ar"/>
              </w:rPr>
              <w:t>1992</w:t>
            </w:r>
            <w:r>
              <w:rPr>
                <w:rFonts w:hint="eastAsia" w:ascii="宋体" w:hAnsi="宋体" w:eastAsia="宋体" w:cs="宋体"/>
                <w:color w:val="auto"/>
                <w:kern w:val="0"/>
                <w:sz w:val="24"/>
                <w:szCs w:val="24"/>
                <w:highlight w:val="none"/>
                <w:u w:val="none" w:color="auto"/>
                <w:lang w:val="en-US" w:eastAsia="zh-CN" w:bidi="ar"/>
              </w:rPr>
              <w:t>年</w:t>
            </w:r>
            <w:r>
              <w:rPr>
                <w:rFonts w:hint="default" w:ascii="Times New Roman" w:hAnsi="Times New Roman" w:eastAsia="宋体" w:cs="Times New Roman"/>
                <w:color w:val="auto"/>
                <w:kern w:val="0"/>
                <w:sz w:val="24"/>
                <w:szCs w:val="24"/>
                <w:highlight w:val="none"/>
                <w:u w:val="none" w:color="auto"/>
                <w:lang w:val="en-US" w:eastAsia="zh-CN" w:bidi="ar"/>
              </w:rPr>
              <w:t>9</w:t>
            </w:r>
            <w:r>
              <w:rPr>
                <w:rFonts w:hint="eastAsia" w:ascii="宋体" w:hAnsi="宋体" w:eastAsia="宋体" w:cs="宋体"/>
                <w:color w:val="auto"/>
                <w:kern w:val="0"/>
                <w:sz w:val="24"/>
                <w:szCs w:val="24"/>
                <w:highlight w:val="none"/>
                <w:u w:val="none" w:color="auto"/>
                <w:lang w:val="en-US" w:eastAsia="zh-CN" w:bidi="ar"/>
              </w:rPr>
              <w:t>月经原国家林业部批准为广西南宁良凤江国家森林公园。</w:t>
            </w:r>
            <w:r>
              <w:rPr>
                <w:rFonts w:hint="default" w:ascii="Times New Roman" w:hAnsi="Times New Roman" w:eastAsia="宋体" w:cs="Times New Roman"/>
                <w:color w:val="auto"/>
                <w:kern w:val="0"/>
                <w:sz w:val="24"/>
                <w:szCs w:val="24"/>
                <w:highlight w:val="none"/>
                <w:u w:val="none" w:color="auto"/>
                <w:lang w:val="en-US" w:eastAsia="zh-CN" w:bidi="ar"/>
              </w:rPr>
              <w:t>1998</w:t>
            </w:r>
            <w:r>
              <w:rPr>
                <w:rFonts w:hint="eastAsia" w:ascii="宋体" w:hAnsi="宋体" w:eastAsia="宋体" w:cs="宋体"/>
                <w:color w:val="auto"/>
                <w:kern w:val="0"/>
                <w:sz w:val="24"/>
                <w:szCs w:val="24"/>
                <w:highlight w:val="none"/>
                <w:u w:val="none" w:color="auto"/>
                <w:lang w:val="en-US" w:eastAsia="zh-CN" w:bidi="ar"/>
              </w:rPr>
              <w:t>年</w:t>
            </w:r>
            <w:r>
              <w:rPr>
                <w:rFonts w:hint="default" w:ascii="Times New Roman" w:hAnsi="Times New Roman" w:eastAsia="宋体" w:cs="Times New Roman"/>
                <w:color w:val="auto"/>
                <w:kern w:val="0"/>
                <w:sz w:val="24"/>
                <w:szCs w:val="24"/>
                <w:highlight w:val="none"/>
                <w:u w:val="none" w:color="auto"/>
                <w:lang w:val="en-US" w:eastAsia="zh-CN" w:bidi="ar"/>
              </w:rPr>
              <w:t>5</w:t>
            </w:r>
            <w:r>
              <w:rPr>
                <w:rFonts w:hint="eastAsia" w:ascii="宋体" w:hAnsi="宋体" w:eastAsia="宋体" w:cs="宋体"/>
                <w:color w:val="auto"/>
                <w:kern w:val="0"/>
                <w:sz w:val="24"/>
                <w:szCs w:val="24"/>
                <w:highlight w:val="none"/>
                <w:u w:val="none" w:color="auto"/>
                <w:lang w:val="en-US" w:eastAsia="zh-CN" w:bidi="ar"/>
              </w:rPr>
              <w:t>月经自治区编委批准，将广西南宁树木园更名为广西南宁良凤江国家森林公园，直属于自治区林业局管辖。现公园经营的林地总面积为</w:t>
            </w:r>
            <w:r>
              <w:rPr>
                <w:rFonts w:hint="default" w:ascii="Times New Roman" w:hAnsi="Times New Roman" w:eastAsia="宋体" w:cs="Times New Roman"/>
                <w:color w:val="auto"/>
                <w:kern w:val="0"/>
                <w:sz w:val="24"/>
                <w:szCs w:val="24"/>
                <w:highlight w:val="none"/>
                <w:u w:val="none" w:color="auto"/>
                <w:lang w:val="en-US" w:eastAsia="zh-CN" w:bidi="ar"/>
              </w:rPr>
              <w:t>68250</w:t>
            </w:r>
            <w:r>
              <w:rPr>
                <w:rFonts w:hint="eastAsia" w:ascii="宋体" w:hAnsi="宋体" w:eastAsia="宋体" w:cs="宋体"/>
                <w:color w:val="auto"/>
                <w:kern w:val="0"/>
                <w:sz w:val="24"/>
                <w:szCs w:val="24"/>
                <w:highlight w:val="none"/>
                <w:u w:val="none" w:color="auto"/>
                <w:lang w:val="en-US" w:eastAsia="zh-CN" w:bidi="ar"/>
              </w:rPr>
              <w:t>亩，有林面积为</w:t>
            </w:r>
            <w:r>
              <w:rPr>
                <w:rFonts w:hint="default" w:ascii="Times New Roman" w:hAnsi="Times New Roman" w:eastAsia="宋体" w:cs="Times New Roman"/>
                <w:color w:val="auto"/>
                <w:kern w:val="0"/>
                <w:sz w:val="24"/>
                <w:szCs w:val="24"/>
                <w:highlight w:val="none"/>
                <w:u w:val="none" w:color="auto"/>
                <w:lang w:val="en-US" w:eastAsia="zh-CN" w:bidi="ar"/>
              </w:rPr>
              <w:t>54000</w:t>
            </w:r>
            <w:r>
              <w:rPr>
                <w:rFonts w:hint="eastAsia" w:ascii="宋体" w:hAnsi="宋体" w:eastAsia="宋体" w:cs="宋体"/>
                <w:color w:val="auto"/>
                <w:kern w:val="0"/>
                <w:sz w:val="24"/>
                <w:szCs w:val="24"/>
                <w:highlight w:val="none"/>
                <w:u w:val="none" w:color="auto"/>
                <w:lang w:val="en-US" w:eastAsia="zh-CN" w:bidi="ar"/>
              </w:rPr>
              <w:t>亩，森林蓄积</w:t>
            </w:r>
            <w:r>
              <w:rPr>
                <w:rFonts w:hint="default" w:ascii="Times New Roman" w:hAnsi="Times New Roman" w:eastAsia="宋体" w:cs="Times New Roman"/>
                <w:color w:val="auto"/>
                <w:kern w:val="0"/>
                <w:sz w:val="24"/>
                <w:szCs w:val="24"/>
                <w:highlight w:val="none"/>
                <w:u w:val="none" w:color="auto"/>
                <w:lang w:val="en-US" w:eastAsia="zh-CN" w:bidi="ar"/>
              </w:rPr>
              <w:t>33</w:t>
            </w:r>
            <w:r>
              <w:rPr>
                <w:rFonts w:hint="eastAsia" w:ascii="宋体" w:hAnsi="宋体" w:eastAsia="宋体" w:cs="宋体"/>
                <w:color w:val="auto"/>
                <w:kern w:val="0"/>
                <w:sz w:val="24"/>
                <w:szCs w:val="24"/>
                <w:highlight w:val="none"/>
                <w:u w:val="none" w:color="auto"/>
                <w:lang w:val="en-US" w:eastAsia="zh-CN" w:bidi="ar"/>
              </w:rPr>
              <w:t>万立方米，森林覆盖率</w:t>
            </w:r>
            <w:r>
              <w:rPr>
                <w:rFonts w:hint="default" w:ascii="Times New Roman" w:hAnsi="Times New Roman" w:eastAsia="宋体" w:cs="Times New Roman"/>
                <w:color w:val="auto"/>
                <w:kern w:val="0"/>
                <w:sz w:val="24"/>
                <w:szCs w:val="24"/>
                <w:highlight w:val="none"/>
                <w:u w:val="none" w:color="auto"/>
                <w:lang w:val="en-US" w:eastAsia="zh-CN" w:bidi="ar"/>
              </w:rPr>
              <w:t>79%</w:t>
            </w:r>
            <w:r>
              <w:rPr>
                <w:rFonts w:hint="eastAsia" w:ascii="宋体" w:hAnsi="宋体" w:eastAsia="宋体" w:cs="宋体"/>
                <w:color w:val="auto"/>
                <w:kern w:val="0"/>
                <w:sz w:val="24"/>
                <w:szCs w:val="24"/>
                <w:highlight w:val="none"/>
                <w:u w:val="none" w:color="auto"/>
                <w:lang w:val="en-US" w:eastAsia="zh-CN" w:bidi="ar"/>
              </w:rPr>
              <w:t>。按森林分类经营区划，生态公益林面积</w:t>
            </w:r>
            <w:r>
              <w:rPr>
                <w:rFonts w:hint="default" w:ascii="Times New Roman" w:hAnsi="Times New Roman" w:eastAsia="宋体" w:cs="Times New Roman"/>
                <w:color w:val="auto"/>
                <w:kern w:val="0"/>
                <w:sz w:val="24"/>
                <w:szCs w:val="24"/>
                <w:highlight w:val="none"/>
                <w:u w:val="none" w:color="auto"/>
                <w:lang w:val="en-US" w:eastAsia="zh-CN" w:bidi="ar"/>
              </w:rPr>
              <w:t>40000</w:t>
            </w:r>
            <w:r>
              <w:rPr>
                <w:rFonts w:hint="eastAsia" w:ascii="宋体" w:hAnsi="宋体" w:eastAsia="宋体" w:cs="宋体"/>
                <w:color w:val="auto"/>
                <w:kern w:val="0"/>
                <w:sz w:val="24"/>
                <w:szCs w:val="24"/>
                <w:highlight w:val="none"/>
                <w:u w:val="none" w:color="auto"/>
                <w:lang w:val="en-US" w:eastAsia="zh-CN" w:bidi="ar"/>
              </w:rPr>
              <w:t>亩，占林地面积的</w:t>
            </w:r>
            <w:r>
              <w:rPr>
                <w:rFonts w:hint="default" w:ascii="Times New Roman" w:hAnsi="Times New Roman" w:eastAsia="宋体" w:cs="Times New Roman"/>
                <w:color w:val="auto"/>
                <w:kern w:val="0"/>
                <w:sz w:val="24"/>
                <w:szCs w:val="24"/>
                <w:highlight w:val="none"/>
                <w:u w:val="none" w:color="auto"/>
                <w:lang w:val="en-US" w:eastAsia="zh-CN" w:bidi="ar"/>
              </w:rPr>
              <w:t>58.6%</w:t>
            </w:r>
            <w:r>
              <w:rPr>
                <w:rFonts w:hint="eastAsia" w:ascii="宋体" w:hAnsi="宋体" w:eastAsia="宋体" w:cs="宋体"/>
                <w:color w:val="auto"/>
                <w:kern w:val="0"/>
                <w:sz w:val="24"/>
                <w:szCs w:val="24"/>
                <w:highlight w:val="none"/>
                <w:u w:val="none" w:color="auto"/>
                <w:lang w:val="en-US" w:eastAsia="zh-CN" w:bidi="ar"/>
              </w:rPr>
              <w:t>；商品林地面积</w:t>
            </w:r>
            <w:r>
              <w:rPr>
                <w:rFonts w:hint="default" w:ascii="Times New Roman" w:hAnsi="Times New Roman" w:eastAsia="宋体" w:cs="Times New Roman"/>
                <w:color w:val="auto"/>
                <w:kern w:val="0"/>
                <w:sz w:val="24"/>
                <w:szCs w:val="24"/>
                <w:highlight w:val="none"/>
                <w:u w:val="none" w:color="auto"/>
                <w:lang w:val="en-US" w:eastAsia="zh-CN" w:bidi="ar"/>
              </w:rPr>
              <w:t>14000</w:t>
            </w:r>
            <w:r>
              <w:rPr>
                <w:rFonts w:hint="eastAsia" w:ascii="宋体" w:hAnsi="宋体" w:eastAsia="宋体" w:cs="宋体"/>
                <w:color w:val="auto"/>
                <w:kern w:val="0"/>
                <w:sz w:val="24"/>
                <w:szCs w:val="24"/>
                <w:highlight w:val="none"/>
                <w:u w:val="none" w:color="auto"/>
                <w:lang w:val="en-US" w:eastAsia="zh-CN" w:bidi="ar"/>
              </w:rPr>
              <w:t>亩，占林地面积的</w:t>
            </w:r>
            <w:r>
              <w:rPr>
                <w:rFonts w:hint="default" w:ascii="Times New Roman" w:hAnsi="Times New Roman" w:eastAsia="宋体" w:cs="Times New Roman"/>
                <w:color w:val="auto"/>
                <w:kern w:val="0"/>
                <w:sz w:val="24"/>
                <w:szCs w:val="24"/>
                <w:highlight w:val="none"/>
                <w:u w:val="none" w:color="auto"/>
                <w:lang w:val="en-US" w:eastAsia="zh-CN" w:bidi="ar"/>
              </w:rPr>
              <w:t>20.5%</w:t>
            </w:r>
            <w:r>
              <w:rPr>
                <w:rFonts w:hint="eastAsia" w:ascii="宋体" w:hAnsi="宋体" w:eastAsia="宋体" w:cs="宋体"/>
                <w:color w:val="auto"/>
                <w:kern w:val="0"/>
                <w:sz w:val="24"/>
                <w:szCs w:val="24"/>
                <w:highlight w:val="none"/>
                <w:u w:val="none" w:color="auto"/>
                <w:lang w:val="en-US" w:eastAsia="zh-CN" w:bidi="ar"/>
              </w:rPr>
              <w:t>。公园设有</w:t>
            </w:r>
            <w:r>
              <w:rPr>
                <w:rFonts w:hint="default" w:ascii="Times New Roman" w:hAnsi="Times New Roman" w:eastAsia="宋体" w:cs="Times New Roman"/>
                <w:color w:val="auto"/>
                <w:kern w:val="0"/>
                <w:sz w:val="24"/>
                <w:szCs w:val="24"/>
                <w:highlight w:val="none"/>
                <w:u w:val="none" w:color="auto"/>
                <w:lang w:val="en-US" w:eastAsia="zh-CN" w:bidi="ar"/>
              </w:rPr>
              <w:t>7</w:t>
            </w:r>
            <w:r>
              <w:rPr>
                <w:rFonts w:hint="eastAsia" w:ascii="宋体" w:hAnsi="宋体" w:eastAsia="宋体" w:cs="宋体"/>
                <w:color w:val="auto"/>
                <w:kern w:val="0"/>
                <w:sz w:val="24"/>
                <w:szCs w:val="24"/>
                <w:highlight w:val="none"/>
                <w:u w:val="none" w:color="auto"/>
                <w:lang w:val="en-US" w:eastAsia="zh-CN" w:bidi="ar"/>
              </w:rPr>
              <w:t>个科室（综合办、财务科、生产经营科、林政科、派出所、项目办、后勤服务部），</w:t>
            </w:r>
            <w:r>
              <w:rPr>
                <w:rFonts w:hint="default" w:ascii="Times New Roman" w:hAnsi="Times New Roman" w:eastAsia="宋体" w:cs="Times New Roman"/>
                <w:color w:val="auto"/>
                <w:kern w:val="0"/>
                <w:sz w:val="24"/>
                <w:szCs w:val="24"/>
                <w:highlight w:val="none"/>
                <w:u w:val="none" w:color="auto"/>
                <w:lang w:val="en-US" w:eastAsia="zh-CN" w:bidi="ar"/>
              </w:rPr>
              <w:t>1</w:t>
            </w:r>
            <w:r>
              <w:rPr>
                <w:rFonts w:hint="eastAsia" w:ascii="宋体" w:hAnsi="宋体" w:eastAsia="宋体" w:cs="宋体"/>
                <w:color w:val="auto"/>
                <w:kern w:val="0"/>
                <w:sz w:val="24"/>
                <w:szCs w:val="24"/>
                <w:highlight w:val="none"/>
                <w:u w:val="none" w:color="auto"/>
                <w:lang w:val="en-US" w:eastAsia="zh-CN" w:bidi="ar"/>
              </w:rPr>
              <w:t>个营林生产单位（新塘桥管理区）、</w:t>
            </w:r>
            <w:r>
              <w:rPr>
                <w:rFonts w:hint="default" w:ascii="Times New Roman" w:hAnsi="Times New Roman" w:eastAsia="宋体" w:cs="Times New Roman"/>
                <w:color w:val="auto"/>
                <w:kern w:val="0"/>
                <w:sz w:val="24"/>
                <w:szCs w:val="24"/>
                <w:highlight w:val="none"/>
                <w:u w:val="none" w:color="auto"/>
                <w:lang w:val="en-US" w:eastAsia="zh-CN" w:bidi="ar"/>
              </w:rPr>
              <w:t>1</w:t>
            </w:r>
            <w:r>
              <w:rPr>
                <w:rFonts w:hint="eastAsia" w:ascii="宋体" w:hAnsi="宋体" w:eastAsia="宋体" w:cs="宋体"/>
                <w:color w:val="auto"/>
                <w:kern w:val="0"/>
                <w:sz w:val="24"/>
                <w:szCs w:val="24"/>
                <w:highlight w:val="none"/>
                <w:u w:val="none" w:color="auto"/>
                <w:lang w:val="en-US" w:eastAsia="zh-CN" w:bidi="ar"/>
              </w:rPr>
              <w:t>个经营单位（森林旅游服务中心）、</w:t>
            </w:r>
            <w:r>
              <w:rPr>
                <w:rFonts w:hint="default" w:ascii="Times New Roman" w:hAnsi="Times New Roman" w:eastAsia="宋体" w:cs="Times New Roman"/>
                <w:color w:val="auto"/>
                <w:kern w:val="0"/>
                <w:sz w:val="24"/>
                <w:szCs w:val="24"/>
                <w:highlight w:val="none"/>
                <w:u w:val="none" w:color="auto"/>
                <w:lang w:val="en-US" w:eastAsia="zh-CN" w:bidi="ar"/>
              </w:rPr>
              <w:t>2</w:t>
            </w:r>
            <w:r>
              <w:rPr>
                <w:rFonts w:hint="eastAsia" w:ascii="宋体" w:hAnsi="宋体" w:eastAsia="宋体" w:cs="宋体"/>
                <w:color w:val="auto"/>
                <w:kern w:val="0"/>
                <w:sz w:val="24"/>
                <w:szCs w:val="24"/>
                <w:highlight w:val="none"/>
                <w:u w:val="none" w:color="auto"/>
                <w:lang w:val="en-US" w:eastAsia="zh-CN" w:bidi="ar"/>
              </w:rPr>
              <w:t>个附属单位（卫生院、学校）。公园以林业生产经营、森林旅游业为主，同时开展经济果木林种植、珍稀动物养殖、珍贵树种引种驯化及土地开发利用等经营活动。</w:t>
            </w:r>
          </w:p>
          <w:p w14:paraId="4F2D195E">
            <w:pPr>
              <w:keepNext w:val="0"/>
              <w:keepLines w:val="0"/>
              <w:pageBreakBefore w:val="0"/>
              <w:widowControl/>
              <w:suppressLineNumbers w:val="0"/>
              <w:kinsoku/>
              <w:wordWrap/>
              <w:overflowPunct/>
              <w:topLinePunct w:val="0"/>
              <w:bidi w:val="0"/>
              <w:snapToGrid/>
              <w:spacing w:line="480" w:lineRule="exact"/>
              <w:ind w:firstLine="480" w:firstLineChars="200"/>
              <w:jc w:val="left"/>
              <w:textAlignment w:val="auto"/>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为了更好地发展森林旅游业和规范管理，</w:t>
            </w:r>
            <w:r>
              <w:rPr>
                <w:rFonts w:hint="default" w:ascii="Times New Roman" w:hAnsi="Times New Roman" w:eastAsia="宋体" w:cs="Times New Roman"/>
                <w:color w:val="auto"/>
                <w:kern w:val="0"/>
                <w:sz w:val="24"/>
                <w:szCs w:val="24"/>
                <w:highlight w:val="none"/>
                <w:u w:val="none" w:color="auto"/>
                <w:lang w:val="en-US" w:eastAsia="zh-CN" w:bidi="ar"/>
              </w:rPr>
              <w:t>2008</w:t>
            </w:r>
            <w:r>
              <w:rPr>
                <w:rFonts w:hint="eastAsia" w:ascii="宋体" w:hAnsi="宋体" w:eastAsia="宋体" w:cs="宋体"/>
                <w:color w:val="auto"/>
                <w:kern w:val="0"/>
                <w:sz w:val="24"/>
                <w:szCs w:val="24"/>
                <w:highlight w:val="none"/>
                <w:u w:val="none" w:color="auto"/>
                <w:lang w:val="en-US" w:eastAsia="zh-CN" w:bidi="ar"/>
              </w:rPr>
              <w:t>年，良凤江国家森林公园向自治区林业局上报了《关于要求审批良凤江国家森林公园总体规划的请示》（园报〔</w:t>
            </w:r>
            <w:r>
              <w:rPr>
                <w:rFonts w:hint="default" w:ascii="Times New Roman" w:hAnsi="Times New Roman" w:eastAsia="宋体" w:cs="Times New Roman"/>
                <w:color w:val="auto"/>
                <w:kern w:val="0"/>
                <w:sz w:val="24"/>
                <w:szCs w:val="24"/>
                <w:highlight w:val="none"/>
                <w:u w:val="none" w:color="auto"/>
                <w:lang w:val="en-US" w:eastAsia="zh-CN" w:bidi="ar"/>
              </w:rPr>
              <w:t>2008</w:t>
            </w:r>
            <w:r>
              <w:rPr>
                <w:rFonts w:hint="eastAsia" w:ascii="宋体" w:hAnsi="宋体" w:eastAsia="宋体" w:cs="宋体"/>
                <w:color w:val="auto"/>
                <w:kern w:val="0"/>
                <w:sz w:val="24"/>
                <w:szCs w:val="24"/>
                <w:highlight w:val="none"/>
                <w:u w:val="none" w:color="auto"/>
                <w:lang w:val="en-US" w:eastAsia="zh-CN" w:bidi="ar"/>
              </w:rPr>
              <w:t>〕</w:t>
            </w:r>
            <w:r>
              <w:rPr>
                <w:rFonts w:hint="default" w:ascii="Times New Roman" w:hAnsi="Times New Roman" w:eastAsia="宋体" w:cs="Times New Roman"/>
                <w:color w:val="auto"/>
                <w:kern w:val="0"/>
                <w:sz w:val="24"/>
                <w:szCs w:val="24"/>
                <w:highlight w:val="none"/>
                <w:u w:val="none" w:color="auto"/>
                <w:lang w:val="en-US" w:eastAsia="zh-CN" w:bidi="ar"/>
              </w:rPr>
              <w:t>113</w:t>
            </w:r>
            <w:r>
              <w:rPr>
                <w:rFonts w:hint="eastAsia" w:ascii="宋体" w:hAnsi="宋体" w:eastAsia="宋体" w:cs="宋体"/>
                <w:color w:val="auto"/>
                <w:kern w:val="0"/>
                <w:sz w:val="24"/>
                <w:szCs w:val="24"/>
                <w:highlight w:val="none"/>
                <w:u w:val="none" w:color="auto"/>
                <w:lang w:val="en-US" w:eastAsia="zh-CN" w:bidi="ar"/>
              </w:rPr>
              <w:t>号）。</w:t>
            </w:r>
            <w:r>
              <w:rPr>
                <w:rFonts w:hint="default" w:ascii="Times New Roman" w:hAnsi="Times New Roman" w:eastAsia="宋体" w:cs="Times New Roman"/>
                <w:color w:val="auto"/>
                <w:kern w:val="0"/>
                <w:sz w:val="24"/>
                <w:szCs w:val="24"/>
                <w:highlight w:val="none"/>
                <w:u w:val="none" w:color="auto"/>
                <w:lang w:val="en-US" w:eastAsia="zh-CN" w:bidi="ar"/>
              </w:rPr>
              <w:t>2008</w:t>
            </w:r>
            <w:r>
              <w:rPr>
                <w:rFonts w:hint="eastAsia" w:ascii="宋体" w:hAnsi="宋体" w:eastAsia="宋体" w:cs="宋体"/>
                <w:color w:val="auto"/>
                <w:kern w:val="0"/>
                <w:sz w:val="24"/>
                <w:szCs w:val="24"/>
                <w:highlight w:val="none"/>
                <w:u w:val="none" w:color="auto"/>
                <w:lang w:val="en-US" w:eastAsia="zh-CN" w:bidi="ar"/>
              </w:rPr>
              <w:t>年</w:t>
            </w:r>
            <w:r>
              <w:rPr>
                <w:rFonts w:hint="default" w:ascii="Times New Roman" w:hAnsi="Times New Roman" w:eastAsia="宋体" w:cs="Times New Roman"/>
                <w:color w:val="auto"/>
                <w:kern w:val="0"/>
                <w:sz w:val="24"/>
                <w:szCs w:val="24"/>
                <w:highlight w:val="none"/>
                <w:u w:val="none" w:color="auto"/>
                <w:lang w:val="en-US" w:eastAsia="zh-CN" w:bidi="ar"/>
              </w:rPr>
              <w:t>12</w:t>
            </w:r>
            <w:r>
              <w:rPr>
                <w:rFonts w:hint="eastAsia" w:ascii="宋体" w:hAnsi="宋体" w:eastAsia="宋体" w:cs="宋体"/>
                <w:color w:val="auto"/>
                <w:kern w:val="0"/>
                <w:sz w:val="24"/>
                <w:szCs w:val="24"/>
                <w:highlight w:val="none"/>
                <w:u w:val="none" w:color="auto"/>
                <w:lang w:val="en-US" w:eastAsia="zh-CN" w:bidi="ar"/>
              </w:rPr>
              <w:t>月，自治区林业</w:t>
            </w:r>
            <w:r>
              <w:rPr>
                <w:rFonts w:hint="eastAsia" w:ascii="宋体" w:hAnsi="宋体" w:cs="宋体"/>
                <w:color w:val="auto"/>
                <w:kern w:val="0"/>
                <w:sz w:val="24"/>
                <w:szCs w:val="24"/>
                <w:highlight w:val="none"/>
                <w:u w:val="none" w:color="auto"/>
                <w:lang w:val="en-US" w:eastAsia="zh-CN" w:bidi="ar"/>
              </w:rPr>
              <w:t>局</w:t>
            </w:r>
            <w:r>
              <w:rPr>
                <w:rFonts w:hint="eastAsia" w:ascii="宋体" w:hAnsi="宋体" w:eastAsia="宋体" w:cs="宋体"/>
                <w:color w:val="auto"/>
                <w:kern w:val="0"/>
                <w:sz w:val="24"/>
                <w:szCs w:val="24"/>
                <w:highlight w:val="none"/>
                <w:u w:val="none" w:color="auto"/>
                <w:lang w:val="en-US" w:eastAsia="zh-CN" w:bidi="ar"/>
              </w:rPr>
              <w:t>同意《良凤江国家森林公园总体规划（</w:t>
            </w:r>
            <w:r>
              <w:rPr>
                <w:rFonts w:hint="default" w:ascii="Times New Roman" w:hAnsi="Times New Roman" w:eastAsia="宋体" w:cs="Times New Roman"/>
                <w:color w:val="auto"/>
                <w:kern w:val="0"/>
                <w:sz w:val="24"/>
                <w:szCs w:val="24"/>
                <w:highlight w:val="none"/>
                <w:u w:val="none" w:color="auto"/>
                <w:lang w:val="en-US" w:eastAsia="zh-CN" w:bidi="ar"/>
              </w:rPr>
              <w:t>2008-2020</w:t>
            </w:r>
            <w:r>
              <w:rPr>
                <w:rFonts w:hint="eastAsia" w:ascii="宋体" w:hAnsi="宋体" w:eastAsia="宋体" w:cs="宋体"/>
                <w:color w:val="auto"/>
                <w:kern w:val="0"/>
                <w:sz w:val="24"/>
                <w:szCs w:val="24"/>
                <w:highlight w:val="none"/>
                <w:u w:val="none" w:color="auto"/>
                <w:lang w:val="en-US" w:eastAsia="zh-CN" w:bidi="ar"/>
              </w:rPr>
              <w:t>年）》作为良凤江国家森林公园规划范围内的建设依据（桂林用发〔</w:t>
            </w:r>
            <w:r>
              <w:rPr>
                <w:rFonts w:hint="default" w:ascii="Times New Roman" w:hAnsi="Times New Roman" w:eastAsia="宋体" w:cs="Times New Roman"/>
                <w:color w:val="auto"/>
                <w:kern w:val="0"/>
                <w:sz w:val="24"/>
                <w:szCs w:val="24"/>
                <w:highlight w:val="none"/>
                <w:u w:val="none" w:color="auto"/>
                <w:lang w:val="en-US" w:eastAsia="zh-CN" w:bidi="ar"/>
              </w:rPr>
              <w:t>2008</w:t>
            </w:r>
            <w:r>
              <w:rPr>
                <w:rFonts w:hint="eastAsia" w:ascii="宋体" w:hAnsi="宋体" w:eastAsia="宋体" w:cs="宋体"/>
                <w:color w:val="auto"/>
                <w:kern w:val="0"/>
                <w:sz w:val="24"/>
                <w:szCs w:val="24"/>
                <w:highlight w:val="none"/>
                <w:u w:val="none" w:color="auto"/>
                <w:lang w:val="en-US" w:eastAsia="zh-CN" w:bidi="ar"/>
              </w:rPr>
              <w:t>〕</w:t>
            </w:r>
            <w:r>
              <w:rPr>
                <w:rFonts w:hint="default" w:ascii="Times New Roman" w:hAnsi="Times New Roman" w:eastAsia="宋体" w:cs="Times New Roman"/>
                <w:color w:val="auto"/>
                <w:kern w:val="0"/>
                <w:sz w:val="24"/>
                <w:szCs w:val="24"/>
                <w:highlight w:val="none"/>
                <w:u w:val="none" w:color="auto"/>
                <w:lang w:val="en-US" w:eastAsia="zh-CN" w:bidi="ar"/>
              </w:rPr>
              <w:t>34</w:t>
            </w:r>
            <w:r>
              <w:rPr>
                <w:rFonts w:hint="eastAsia" w:ascii="宋体" w:hAnsi="宋体" w:eastAsia="宋体" w:cs="宋体"/>
                <w:color w:val="auto"/>
                <w:kern w:val="0"/>
                <w:sz w:val="24"/>
                <w:szCs w:val="24"/>
                <w:highlight w:val="none"/>
                <w:u w:val="none" w:color="auto"/>
                <w:lang w:val="en-US" w:eastAsia="zh-CN" w:bidi="ar"/>
              </w:rPr>
              <w:t>号）。规划范围位于南宁市江南区那洪镇内，距市区</w:t>
            </w:r>
            <w:r>
              <w:rPr>
                <w:rFonts w:hint="default" w:ascii="Times New Roman" w:hAnsi="Times New Roman" w:eastAsia="宋体" w:cs="Times New Roman"/>
                <w:color w:val="auto"/>
                <w:kern w:val="0"/>
                <w:sz w:val="24"/>
                <w:szCs w:val="24"/>
                <w:highlight w:val="none"/>
                <w:u w:val="none" w:color="auto"/>
                <w:lang w:val="en-US" w:eastAsia="zh-CN" w:bidi="ar"/>
              </w:rPr>
              <w:t>14.5km</w:t>
            </w:r>
            <w:r>
              <w:rPr>
                <w:rFonts w:hint="eastAsia" w:ascii="宋体" w:hAnsi="宋体" w:eastAsia="宋体" w:cs="宋体"/>
                <w:color w:val="auto"/>
                <w:kern w:val="0"/>
                <w:sz w:val="24"/>
                <w:szCs w:val="24"/>
                <w:highlight w:val="none"/>
                <w:u w:val="none" w:color="auto"/>
                <w:lang w:val="en-US" w:eastAsia="zh-CN" w:bidi="ar"/>
              </w:rPr>
              <w:t>，南北跨度</w:t>
            </w:r>
            <w:r>
              <w:rPr>
                <w:rFonts w:hint="default" w:ascii="Times New Roman" w:hAnsi="Times New Roman" w:eastAsia="宋体" w:cs="Times New Roman"/>
                <w:color w:val="auto"/>
                <w:kern w:val="0"/>
                <w:sz w:val="24"/>
                <w:szCs w:val="24"/>
                <w:highlight w:val="none"/>
                <w:u w:val="none" w:color="auto"/>
                <w:lang w:val="en-US" w:eastAsia="zh-CN" w:bidi="ar"/>
              </w:rPr>
              <w:t>2.6km</w:t>
            </w:r>
            <w:r>
              <w:rPr>
                <w:rFonts w:hint="eastAsia" w:ascii="宋体" w:hAnsi="宋体" w:eastAsia="宋体" w:cs="宋体"/>
                <w:color w:val="auto"/>
                <w:kern w:val="0"/>
                <w:sz w:val="24"/>
                <w:szCs w:val="24"/>
                <w:highlight w:val="none"/>
                <w:u w:val="none" w:color="auto"/>
                <w:lang w:val="en-US" w:eastAsia="zh-CN" w:bidi="ar"/>
              </w:rPr>
              <w:t>，东西跨度</w:t>
            </w:r>
            <w:r>
              <w:rPr>
                <w:rFonts w:hint="default" w:ascii="Times New Roman" w:hAnsi="Times New Roman" w:eastAsia="宋体" w:cs="Times New Roman"/>
                <w:color w:val="auto"/>
                <w:kern w:val="0"/>
                <w:sz w:val="24"/>
                <w:szCs w:val="24"/>
                <w:highlight w:val="none"/>
                <w:u w:val="none" w:color="auto"/>
                <w:lang w:val="en-US" w:eastAsia="zh-CN" w:bidi="ar"/>
              </w:rPr>
              <w:t>2.7km</w:t>
            </w:r>
            <w:r>
              <w:rPr>
                <w:rFonts w:hint="eastAsia" w:ascii="宋体" w:hAnsi="宋体" w:eastAsia="宋体" w:cs="宋体"/>
                <w:color w:val="auto"/>
                <w:kern w:val="0"/>
                <w:sz w:val="24"/>
                <w:szCs w:val="24"/>
                <w:highlight w:val="none"/>
                <w:u w:val="none" w:color="auto"/>
                <w:lang w:val="en-US" w:eastAsia="zh-CN" w:bidi="ar"/>
              </w:rPr>
              <w:t>，总面积</w:t>
            </w:r>
            <w:r>
              <w:rPr>
                <w:rFonts w:hint="default" w:ascii="Times New Roman" w:hAnsi="Times New Roman" w:eastAsia="宋体" w:cs="Times New Roman"/>
                <w:color w:val="auto"/>
                <w:kern w:val="0"/>
                <w:sz w:val="24"/>
                <w:szCs w:val="24"/>
                <w:highlight w:val="none"/>
                <w:u w:val="none" w:color="auto"/>
                <w:lang w:val="en-US" w:eastAsia="zh-CN" w:bidi="ar"/>
              </w:rPr>
              <w:t>313.5</w:t>
            </w:r>
            <w:r>
              <w:rPr>
                <w:rFonts w:hint="eastAsia" w:ascii="宋体" w:hAnsi="宋体" w:eastAsia="宋体" w:cs="宋体"/>
                <w:color w:val="auto"/>
                <w:kern w:val="0"/>
                <w:sz w:val="24"/>
                <w:szCs w:val="24"/>
                <w:highlight w:val="none"/>
                <w:u w:val="none" w:color="auto"/>
                <w:lang w:val="en-US" w:eastAsia="zh-CN" w:bidi="ar"/>
              </w:rPr>
              <w:t>公顷。</w:t>
            </w:r>
          </w:p>
          <w:p w14:paraId="0348ED3A">
            <w:pPr>
              <w:pStyle w:val="29"/>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textAlignment w:val="auto"/>
              <w:rPr>
                <w:rFonts w:hint="default" w:ascii="Times New Roman" w:hAnsi="Times New Roman" w:eastAsia="宋体" w:cs="Times New Roman"/>
                <w:color w:val="auto"/>
                <w:sz w:val="24"/>
                <w:highlight w:val="none"/>
                <w:u w:val="none" w:color="auto"/>
                <w:lang w:val="en-US" w:eastAsia="zh-CN"/>
              </w:rPr>
            </w:pPr>
            <w:r>
              <w:rPr>
                <w:rFonts w:hint="eastAsia" w:ascii="宋体" w:hAnsi="宋体" w:eastAsia="宋体" w:cs="宋体"/>
                <w:color w:val="auto"/>
                <w:kern w:val="0"/>
                <w:sz w:val="24"/>
                <w:szCs w:val="24"/>
                <w:highlight w:val="none"/>
                <w:u w:val="none" w:color="auto"/>
                <w:lang w:val="en-US" w:eastAsia="zh-CN" w:bidi="ar"/>
              </w:rPr>
              <w:t>本项目距离广西南宁良凤江国家森</w:t>
            </w:r>
            <w:r>
              <w:rPr>
                <w:rFonts w:hint="eastAsia" w:ascii="Times New Roman" w:hAnsi="Times New Roman" w:eastAsia="宋体" w:cs="Times New Roman"/>
                <w:color w:val="auto"/>
                <w:kern w:val="0"/>
                <w:sz w:val="24"/>
                <w:szCs w:val="24"/>
                <w:highlight w:val="none"/>
                <w:u w:val="none" w:color="auto"/>
                <w:lang w:val="en-US" w:eastAsia="zh-CN" w:bidi="ar"/>
              </w:rPr>
              <w:t>林公园210</w:t>
            </w:r>
            <w:r>
              <w:rPr>
                <w:rFonts w:hint="default" w:ascii="Times New Roman" w:hAnsi="Times New Roman" w:eastAsia="宋体" w:cs="Times New Roman"/>
                <w:color w:val="auto"/>
                <w:kern w:val="0"/>
                <w:sz w:val="24"/>
                <w:szCs w:val="24"/>
                <w:highlight w:val="none"/>
                <w:u w:val="none" w:color="auto"/>
                <w:lang w:val="en-US" w:eastAsia="zh-CN" w:bidi="ar"/>
              </w:rPr>
              <w:t>m</w:t>
            </w:r>
            <w:r>
              <w:rPr>
                <w:rFonts w:hint="eastAsia" w:ascii="Times New Roman" w:hAnsi="Times New Roman" w:eastAsia="宋体" w:cs="Times New Roman"/>
                <w:color w:val="auto"/>
                <w:kern w:val="0"/>
                <w:sz w:val="24"/>
                <w:szCs w:val="24"/>
                <w:highlight w:val="none"/>
                <w:u w:val="none" w:color="auto"/>
                <w:lang w:val="en-US" w:eastAsia="zh-CN" w:bidi="ar"/>
              </w:rPr>
              <w:t>，不在良凤江国家森林公园规划范围内。本项目建设与《良凤江国家森林公园总体规划（2008-2020年）》不冲突。</w:t>
            </w:r>
          </w:p>
          <w:p w14:paraId="192441EB">
            <w:pPr>
              <w:pStyle w:val="29"/>
              <w:rPr>
                <w:rFonts w:hint="eastAsia" w:ascii="Times New Roman" w:hAnsi="Times New Roman" w:eastAsia="宋体" w:cs="Times New Roman"/>
                <w:color w:val="auto"/>
                <w:sz w:val="24"/>
                <w:u w:val="none" w:color="auto"/>
                <w:lang w:val="en-US" w:eastAsia="zh-CN"/>
              </w:rPr>
            </w:pPr>
          </w:p>
        </w:tc>
      </w:tr>
      <w:tr w14:paraId="10A901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46" w:hRule="atLeast"/>
          <w:jc w:val="center"/>
        </w:trPr>
        <w:tc>
          <w:tcPr>
            <w:tcW w:w="456" w:type="dxa"/>
            <w:vAlign w:val="center"/>
          </w:tcPr>
          <w:p w14:paraId="0026F306">
            <w:pPr>
              <w:adjustRightInd w:val="0"/>
              <w:snapToGrid w:val="0"/>
              <w:ind w:firstLine="0" w:firstLineChars="0"/>
              <w:jc w:val="center"/>
              <w:rPr>
                <w:color w:val="auto"/>
                <w:kern w:val="0"/>
                <w:szCs w:val="21"/>
                <w:u w:val="none" w:color="auto"/>
              </w:rPr>
            </w:pPr>
            <w:r>
              <w:rPr>
                <w:color w:val="auto"/>
                <w:kern w:val="0"/>
                <w:szCs w:val="21"/>
                <w:u w:val="none" w:color="auto"/>
              </w:rPr>
              <w:t>环境</w:t>
            </w:r>
          </w:p>
          <w:p w14:paraId="00ABF8B8">
            <w:pPr>
              <w:adjustRightInd w:val="0"/>
              <w:snapToGrid w:val="0"/>
              <w:ind w:firstLine="0" w:firstLineChars="0"/>
              <w:jc w:val="center"/>
              <w:rPr>
                <w:color w:val="auto"/>
                <w:kern w:val="0"/>
                <w:szCs w:val="21"/>
                <w:u w:val="none" w:color="auto"/>
              </w:rPr>
            </w:pPr>
            <w:r>
              <w:rPr>
                <w:color w:val="auto"/>
                <w:kern w:val="0"/>
                <w:szCs w:val="21"/>
                <w:u w:val="none" w:color="auto"/>
              </w:rPr>
              <w:t>保护</w:t>
            </w:r>
          </w:p>
          <w:p w14:paraId="3A8905B6">
            <w:pPr>
              <w:adjustRightInd w:val="0"/>
              <w:snapToGrid w:val="0"/>
              <w:ind w:firstLine="0" w:firstLineChars="0"/>
              <w:jc w:val="center"/>
              <w:rPr>
                <w:color w:val="auto"/>
                <w:kern w:val="0"/>
                <w:szCs w:val="21"/>
                <w:u w:val="none" w:color="auto"/>
              </w:rPr>
            </w:pPr>
            <w:r>
              <w:rPr>
                <w:color w:val="auto"/>
                <w:kern w:val="0"/>
                <w:szCs w:val="21"/>
                <w:u w:val="none" w:color="auto"/>
              </w:rPr>
              <w:t>目标</w:t>
            </w:r>
          </w:p>
        </w:tc>
        <w:tc>
          <w:tcPr>
            <w:tcW w:w="9544" w:type="dxa"/>
          </w:tcPr>
          <w:p w14:paraId="524353C3">
            <w:pPr>
              <w:adjustRightInd w:val="0"/>
              <w:snapToGrid w:val="0"/>
              <w:spacing w:line="360" w:lineRule="auto"/>
              <w:ind w:firstLine="480" w:firstLineChars="200"/>
              <w:jc w:val="both"/>
              <w:rPr>
                <w:rFonts w:hint="eastAsia"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根据《建设项目环境影响报告表编制技术指南》（污染影响类）</w:t>
            </w:r>
            <w:r>
              <w:rPr>
                <w:rFonts w:hint="eastAsia" w:cs="Times New Roman"/>
                <w:color w:val="auto"/>
                <w:sz w:val="24"/>
                <w:u w:val="none" w:color="auto"/>
                <w:lang w:val="en-US" w:eastAsia="zh-CN"/>
              </w:rPr>
              <w:t>（</w:t>
            </w:r>
            <w:r>
              <w:rPr>
                <w:rFonts w:hint="eastAsia" w:ascii="Times New Roman" w:hAnsi="Times New Roman" w:eastAsia="宋体" w:cs="Times New Roman"/>
                <w:color w:val="auto"/>
                <w:sz w:val="24"/>
                <w:u w:val="none" w:color="auto"/>
                <w:lang w:val="en-US" w:eastAsia="zh-CN"/>
              </w:rPr>
              <w:t>试行）要求：大气环境明确厂界外</w:t>
            </w:r>
            <w:r>
              <w:rPr>
                <w:rFonts w:hint="default" w:ascii="Times New Roman" w:hAnsi="Times New Roman" w:eastAsia="宋体" w:cs="Times New Roman"/>
                <w:color w:val="auto"/>
                <w:sz w:val="24"/>
                <w:u w:val="none" w:color="auto"/>
                <w:lang w:val="en-US" w:eastAsia="zh-CN"/>
              </w:rPr>
              <w:t>500</w:t>
            </w:r>
            <w:r>
              <w:rPr>
                <w:rFonts w:hint="eastAsia" w:ascii="Times New Roman" w:hAnsi="Times New Roman" w:eastAsia="宋体" w:cs="Times New Roman"/>
                <w:color w:val="auto"/>
                <w:sz w:val="24"/>
                <w:u w:val="none" w:color="auto"/>
                <w:lang w:val="en-US" w:eastAsia="zh-CN"/>
              </w:rPr>
              <w:t>米范围内的自然保护区、风景名胜区、居住区、文化区和农村地区中人群较集中的区域等保护目标的名称及与建设项目厂界位置关系、</w:t>
            </w:r>
            <w:r>
              <w:rPr>
                <w:rFonts w:hint="eastAsia" w:ascii="Times New Roman" w:hAnsi="Times New Roman" w:eastAsia="宋体" w:cs="Times New Roman"/>
                <w:color w:val="auto"/>
                <w:sz w:val="24"/>
                <w:u w:val="none" w:color="auto"/>
              </w:rPr>
              <w:t>声环境明确厂界外50米范围内声环境保护目标</w:t>
            </w:r>
            <w:r>
              <w:rPr>
                <w:rFonts w:hint="eastAsia" w:ascii="Times New Roman" w:hAnsi="Times New Roman" w:eastAsia="宋体" w:cs="Times New Roman"/>
                <w:color w:val="auto"/>
                <w:sz w:val="24"/>
                <w:u w:val="none" w:color="auto"/>
                <w:lang w:eastAsia="zh-CN"/>
              </w:rPr>
              <w:t>、</w:t>
            </w:r>
            <w:r>
              <w:rPr>
                <w:rFonts w:hint="eastAsia" w:ascii="Times New Roman" w:hAnsi="Times New Roman" w:eastAsia="宋体" w:cs="Times New Roman"/>
                <w:color w:val="auto"/>
                <w:sz w:val="24"/>
                <w:u w:val="none" w:color="auto"/>
              </w:rPr>
              <w:t>地下水环境明确厂界外500米范围内的地下水集中式饮用水水源和热水、矿泉水、温泉等特殊地下水资源</w:t>
            </w:r>
            <w:r>
              <w:rPr>
                <w:rFonts w:hint="eastAsia" w:ascii="Times New Roman" w:hAnsi="Times New Roman" w:eastAsia="宋体" w:cs="Times New Roman"/>
                <w:color w:val="auto"/>
                <w:sz w:val="24"/>
                <w:u w:val="none" w:color="auto"/>
                <w:lang w:eastAsia="zh-CN"/>
              </w:rPr>
              <w:t>、</w:t>
            </w:r>
            <w:r>
              <w:rPr>
                <w:rFonts w:hint="eastAsia" w:ascii="Times New Roman" w:hAnsi="Times New Roman" w:eastAsia="宋体" w:cs="Times New Roman"/>
                <w:color w:val="auto"/>
                <w:sz w:val="24"/>
                <w:u w:val="none" w:color="auto"/>
              </w:rPr>
              <w:t>生态环境</w:t>
            </w:r>
            <w:r>
              <w:rPr>
                <w:rFonts w:hint="eastAsia" w:ascii="Times New Roman" w:hAnsi="Times New Roman" w:eastAsia="宋体" w:cs="Times New Roman"/>
                <w:color w:val="auto"/>
                <w:sz w:val="24"/>
                <w:u w:val="none" w:color="auto"/>
                <w:lang w:val="en-US" w:eastAsia="zh-CN"/>
              </w:rPr>
              <w:t>中</w:t>
            </w:r>
            <w:r>
              <w:rPr>
                <w:rFonts w:hint="eastAsia" w:ascii="Times New Roman" w:hAnsi="Times New Roman" w:eastAsia="宋体" w:cs="Times New Roman"/>
                <w:color w:val="auto"/>
                <w:sz w:val="24"/>
                <w:u w:val="none" w:color="auto"/>
              </w:rPr>
              <w:t>产业园区外建设项目新增用地的，应明确新增用地范围内生态环境</w:t>
            </w:r>
            <w:r>
              <w:rPr>
                <w:rFonts w:hint="eastAsia" w:ascii="Times New Roman" w:hAnsi="Times New Roman" w:eastAsia="宋体" w:cs="Times New Roman"/>
                <w:color w:val="auto"/>
                <w:sz w:val="24"/>
                <w:u w:val="none" w:color="auto"/>
                <w:lang w:val="en-US" w:eastAsia="zh-CN"/>
              </w:rPr>
              <w:t>保护目标。</w:t>
            </w:r>
          </w:p>
          <w:p w14:paraId="17092C46">
            <w:pPr>
              <w:adjustRightInd w:val="0"/>
              <w:snapToGrid w:val="0"/>
              <w:spacing w:line="360" w:lineRule="auto"/>
              <w:ind w:firstLine="480" w:firstLineChars="200"/>
              <w:jc w:val="both"/>
              <w:rPr>
                <w:rFonts w:hint="eastAsia"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根据项目特点及周围环境调查可知，项目500m范围内</w:t>
            </w:r>
            <w:r>
              <w:rPr>
                <w:rFonts w:hint="eastAsia" w:cs="Times New Roman"/>
                <w:color w:val="auto"/>
                <w:sz w:val="24"/>
                <w:u w:val="none" w:color="auto"/>
                <w:lang w:val="en-US" w:eastAsia="zh-CN"/>
              </w:rPr>
              <w:t>的</w:t>
            </w:r>
            <w:r>
              <w:rPr>
                <w:rFonts w:hint="eastAsia" w:ascii="Times New Roman" w:hAnsi="Times New Roman" w:eastAsia="宋体" w:cs="Times New Roman"/>
                <w:color w:val="auto"/>
                <w:sz w:val="24"/>
                <w:u w:val="none" w:color="auto"/>
                <w:lang w:val="en-US" w:eastAsia="zh-CN"/>
              </w:rPr>
              <w:t>保护目标见下表：</w:t>
            </w:r>
          </w:p>
          <w:p w14:paraId="34C491D5">
            <w:pPr>
              <w:pStyle w:val="10"/>
              <w:numPr>
                <w:ilvl w:val="0"/>
                <w:numId w:val="3"/>
              </w:numPr>
              <w:ind w:left="0" w:firstLine="0" w:firstLineChars="0"/>
              <w:jc w:val="center"/>
              <w:rPr>
                <w:rFonts w:hint="eastAsia" w:ascii="黑体" w:hAnsi="黑体" w:eastAsia="黑体"/>
                <w:b w:val="0"/>
                <w:color w:val="auto"/>
                <w:u w:val="none" w:color="auto"/>
                <w:lang w:val="en-US" w:eastAsia="zh-CN"/>
              </w:rPr>
            </w:pPr>
            <w:r>
              <w:rPr>
                <w:rFonts w:hint="eastAsia" w:ascii="黑体" w:hAnsi="黑体" w:eastAsia="黑体"/>
                <w:b w:val="0"/>
                <w:color w:val="auto"/>
                <w:u w:val="none" w:color="auto"/>
                <w:lang w:val="en-US" w:eastAsia="zh-CN"/>
              </w:rPr>
              <w:t>环境保护目标一览表</w:t>
            </w:r>
          </w:p>
          <w:tbl>
            <w:tblPr>
              <w:tblStyle w:val="22"/>
              <w:tblW w:w="91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04"/>
              <w:gridCol w:w="449"/>
              <w:gridCol w:w="1499"/>
              <w:gridCol w:w="1074"/>
              <w:gridCol w:w="1053"/>
              <w:gridCol w:w="916"/>
              <w:gridCol w:w="730"/>
              <w:gridCol w:w="722"/>
              <w:gridCol w:w="2324"/>
            </w:tblGrid>
            <w:tr w14:paraId="2673A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53" w:type="dxa"/>
                  <w:gridSpan w:val="2"/>
                  <w:tcBorders>
                    <w:tl2br w:val="nil"/>
                    <w:tr2bl w:val="nil"/>
                  </w:tcBorders>
                  <w:vAlign w:val="center"/>
                </w:tcPr>
                <w:p w14:paraId="1993E934">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b/>
                      <w:color w:val="auto"/>
                      <w:kern w:val="0"/>
                      <w:sz w:val="21"/>
                      <w:szCs w:val="21"/>
                      <w:highlight w:val="none"/>
                      <w:u w:val="none" w:color="auto"/>
                      <w:lang w:val="en-US" w:eastAsia="zh-CN" w:bidi="en-US"/>
                    </w:rPr>
                  </w:pPr>
                  <w:r>
                    <w:rPr>
                      <w:rFonts w:hint="default" w:ascii="Times New Roman" w:hAnsi="Times New Roman" w:eastAsia="宋体" w:cs="Times New Roman"/>
                      <w:b/>
                      <w:color w:val="auto"/>
                      <w:kern w:val="0"/>
                      <w:sz w:val="21"/>
                      <w:szCs w:val="21"/>
                      <w:highlight w:val="none"/>
                      <w:u w:val="none" w:color="auto"/>
                      <w:lang w:val="en-US" w:eastAsia="zh-CN" w:bidi="en-US"/>
                    </w:rPr>
                    <w:t>分类</w:t>
                  </w:r>
                </w:p>
              </w:tc>
              <w:tc>
                <w:tcPr>
                  <w:tcW w:w="1499" w:type="dxa"/>
                  <w:tcBorders>
                    <w:tl2br w:val="nil"/>
                    <w:tr2bl w:val="nil"/>
                  </w:tcBorders>
                  <w:vAlign w:val="center"/>
                </w:tcPr>
                <w:p w14:paraId="544F2879">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b/>
                      <w:color w:val="auto"/>
                      <w:kern w:val="0"/>
                      <w:sz w:val="21"/>
                      <w:szCs w:val="21"/>
                      <w:highlight w:val="none"/>
                      <w:u w:val="none" w:color="auto"/>
                      <w:lang w:val="zh-CN" w:bidi="en-US"/>
                    </w:rPr>
                  </w:pPr>
                  <w:r>
                    <w:rPr>
                      <w:rFonts w:hint="default" w:ascii="Times New Roman" w:hAnsi="Times New Roman" w:eastAsia="宋体" w:cs="Times New Roman"/>
                      <w:b/>
                      <w:color w:val="auto"/>
                      <w:kern w:val="0"/>
                      <w:sz w:val="21"/>
                      <w:szCs w:val="21"/>
                      <w:highlight w:val="none"/>
                      <w:u w:val="none" w:color="auto"/>
                      <w:lang w:val="en-US" w:eastAsia="zh-CN" w:bidi="en-US"/>
                    </w:rPr>
                    <w:t>敏感目标</w:t>
                  </w:r>
                  <w:r>
                    <w:rPr>
                      <w:rFonts w:hint="default" w:ascii="Times New Roman" w:hAnsi="Times New Roman" w:eastAsia="宋体" w:cs="Times New Roman"/>
                      <w:b/>
                      <w:color w:val="auto"/>
                      <w:kern w:val="0"/>
                      <w:sz w:val="21"/>
                      <w:szCs w:val="21"/>
                      <w:highlight w:val="none"/>
                      <w:u w:val="none" w:color="auto"/>
                      <w:lang w:val="zh-CN" w:bidi="en-US"/>
                    </w:rPr>
                    <w:t>名称</w:t>
                  </w:r>
                </w:p>
              </w:tc>
              <w:tc>
                <w:tcPr>
                  <w:tcW w:w="1074" w:type="dxa"/>
                  <w:tcBorders>
                    <w:tl2br w:val="nil"/>
                    <w:tr2bl w:val="nil"/>
                  </w:tcBorders>
                  <w:vAlign w:val="center"/>
                </w:tcPr>
                <w:p w14:paraId="4974D10E">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b/>
                      <w:color w:val="auto"/>
                      <w:kern w:val="0"/>
                      <w:sz w:val="21"/>
                      <w:szCs w:val="21"/>
                      <w:highlight w:val="none"/>
                      <w:u w:val="none" w:color="auto"/>
                      <w:lang w:val="zh-CN" w:bidi="en-US"/>
                    </w:rPr>
                  </w:pPr>
                  <w:r>
                    <w:rPr>
                      <w:rFonts w:hint="default" w:ascii="Times New Roman" w:hAnsi="Times New Roman" w:eastAsia="宋体" w:cs="Times New Roman"/>
                      <w:b/>
                      <w:color w:val="auto"/>
                      <w:kern w:val="0"/>
                      <w:sz w:val="21"/>
                      <w:szCs w:val="21"/>
                      <w:highlight w:val="none"/>
                      <w:u w:val="none" w:color="auto"/>
                      <w:lang w:val="zh-CN" w:bidi="en-US"/>
                    </w:rPr>
                    <w:t>类型</w:t>
                  </w:r>
                </w:p>
              </w:tc>
              <w:tc>
                <w:tcPr>
                  <w:tcW w:w="1053" w:type="dxa"/>
                  <w:tcBorders>
                    <w:tl2br w:val="nil"/>
                    <w:tr2bl w:val="nil"/>
                  </w:tcBorders>
                  <w:vAlign w:val="center"/>
                </w:tcPr>
                <w:p w14:paraId="50F9960A">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b/>
                      <w:color w:val="auto"/>
                      <w:kern w:val="0"/>
                      <w:sz w:val="21"/>
                      <w:szCs w:val="21"/>
                      <w:highlight w:val="none"/>
                      <w:u w:val="none" w:color="auto"/>
                      <w:lang w:val="en-US" w:eastAsia="zh-CN" w:bidi="en-US"/>
                    </w:rPr>
                  </w:pPr>
                  <w:r>
                    <w:rPr>
                      <w:rFonts w:hint="eastAsia" w:cs="Times New Roman"/>
                      <w:b/>
                      <w:color w:val="auto"/>
                      <w:kern w:val="0"/>
                      <w:sz w:val="21"/>
                      <w:szCs w:val="21"/>
                      <w:highlight w:val="none"/>
                      <w:u w:val="none" w:color="auto"/>
                      <w:lang w:val="en-US" w:eastAsia="zh-CN" w:bidi="en-US"/>
                    </w:rPr>
                    <w:t>保护内容</w:t>
                  </w:r>
                </w:p>
              </w:tc>
              <w:tc>
                <w:tcPr>
                  <w:tcW w:w="916" w:type="dxa"/>
                  <w:tcBorders>
                    <w:tl2br w:val="nil"/>
                    <w:tr2bl w:val="nil"/>
                  </w:tcBorders>
                  <w:vAlign w:val="center"/>
                </w:tcPr>
                <w:p w14:paraId="5D9A1DE2">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b/>
                      <w:color w:val="auto"/>
                      <w:kern w:val="0"/>
                      <w:sz w:val="21"/>
                      <w:szCs w:val="21"/>
                      <w:highlight w:val="none"/>
                      <w:u w:val="none" w:color="auto"/>
                      <w:lang w:val="zh-CN" w:eastAsia="zh-CN" w:bidi="en-US"/>
                    </w:rPr>
                  </w:pPr>
                  <w:r>
                    <w:rPr>
                      <w:rFonts w:hint="eastAsia" w:cs="Times New Roman"/>
                      <w:b/>
                      <w:color w:val="auto"/>
                      <w:kern w:val="0"/>
                      <w:sz w:val="21"/>
                      <w:szCs w:val="21"/>
                      <w:highlight w:val="none"/>
                      <w:u w:val="none" w:color="auto"/>
                      <w:lang w:val="en-US" w:eastAsia="zh-CN" w:bidi="en-US"/>
                    </w:rPr>
                    <w:t>人数</w:t>
                  </w:r>
                </w:p>
              </w:tc>
              <w:tc>
                <w:tcPr>
                  <w:tcW w:w="730" w:type="dxa"/>
                  <w:tcBorders>
                    <w:tl2br w:val="nil"/>
                    <w:tr2bl w:val="nil"/>
                  </w:tcBorders>
                  <w:vAlign w:val="center"/>
                </w:tcPr>
                <w:p w14:paraId="18DA59C6">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b/>
                      <w:color w:val="auto"/>
                      <w:kern w:val="0"/>
                      <w:sz w:val="21"/>
                      <w:szCs w:val="21"/>
                      <w:highlight w:val="none"/>
                      <w:u w:val="none" w:color="auto"/>
                      <w:lang w:val="zh-CN" w:bidi="en-US"/>
                    </w:rPr>
                  </w:pPr>
                  <w:r>
                    <w:rPr>
                      <w:rFonts w:hint="default" w:ascii="Times New Roman" w:hAnsi="Times New Roman" w:eastAsia="宋体" w:cs="Times New Roman"/>
                      <w:b/>
                      <w:color w:val="auto"/>
                      <w:kern w:val="0"/>
                      <w:sz w:val="21"/>
                      <w:szCs w:val="21"/>
                      <w:highlight w:val="none"/>
                      <w:u w:val="none" w:color="auto"/>
                      <w:lang w:val="zh-CN" w:bidi="en-US"/>
                    </w:rPr>
                    <w:t>相对方位</w:t>
                  </w:r>
                </w:p>
              </w:tc>
              <w:tc>
                <w:tcPr>
                  <w:tcW w:w="722" w:type="dxa"/>
                  <w:tcBorders>
                    <w:tl2br w:val="nil"/>
                    <w:tr2bl w:val="nil"/>
                  </w:tcBorders>
                  <w:vAlign w:val="center"/>
                </w:tcPr>
                <w:p w14:paraId="622DFE45">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b/>
                      <w:color w:val="auto"/>
                      <w:kern w:val="0"/>
                      <w:sz w:val="21"/>
                      <w:szCs w:val="21"/>
                      <w:highlight w:val="none"/>
                      <w:u w:val="none" w:color="auto"/>
                      <w:lang w:val="zh-CN" w:bidi="en-US"/>
                    </w:rPr>
                  </w:pPr>
                  <w:r>
                    <w:rPr>
                      <w:rFonts w:hint="default" w:ascii="Times New Roman" w:hAnsi="Times New Roman" w:eastAsia="宋体" w:cs="Times New Roman"/>
                      <w:b/>
                      <w:color w:val="auto"/>
                      <w:kern w:val="0"/>
                      <w:sz w:val="21"/>
                      <w:szCs w:val="21"/>
                      <w:highlight w:val="none"/>
                      <w:u w:val="none" w:color="auto"/>
                      <w:lang w:val="zh-CN" w:bidi="en-US"/>
                    </w:rPr>
                    <w:t>距离</w:t>
                  </w:r>
                </w:p>
              </w:tc>
              <w:tc>
                <w:tcPr>
                  <w:tcW w:w="2324" w:type="dxa"/>
                  <w:tcBorders>
                    <w:tl2br w:val="nil"/>
                    <w:tr2bl w:val="nil"/>
                  </w:tcBorders>
                  <w:vAlign w:val="center"/>
                </w:tcPr>
                <w:p w14:paraId="275958ED">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b/>
                      <w:color w:val="auto"/>
                      <w:kern w:val="0"/>
                      <w:sz w:val="21"/>
                      <w:szCs w:val="21"/>
                      <w:highlight w:val="none"/>
                      <w:u w:val="none" w:color="auto"/>
                      <w:lang w:val="zh-CN" w:bidi="en-US"/>
                    </w:rPr>
                  </w:pPr>
                  <w:r>
                    <w:rPr>
                      <w:rFonts w:hint="default" w:ascii="Times New Roman" w:hAnsi="Times New Roman" w:eastAsia="宋体" w:cs="Times New Roman"/>
                      <w:b/>
                      <w:color w:val="auto"/>
                      <w:kern w:val="0"/>
                      <w:sz w:val="21"/>
                      <w:szCs w:val="21"/>
                      <w:highlight w:val="none"/>
                      <w:u w:val="none" w:color="auto"/>
                      <w:lang w:val="zh-CN" w:eastAsia="zh-CN" w:bidi="en-US"/>
                    </w:rPr>
                    <w:t>保护目标类别</w:t>
                  </w:r>
                </w:p>
              </w:tc>
            </w:tr>
            <w:tr w14:paraId="71717E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04" w:type="dxa"/>
                  <w:vMerge w:val="restart"/>
                  <w:tcBorders>
                    <w:tl2br w:val="nil"/>
                    <w:tr2bl w:val="nil"/>
                  </w:tcBorders>
                  <w:vAlign w:val="center"/>
                </w:tcPr>
                <w:p w14:paraId="5A1BE6D0">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default" w:ascii="Times New Roman" w:hAnsi="Times New Roman" w:eastAsia="宋体" w:cs="Times New Roman"/>
                      <w:color w:val="auto"/>
                      <w:kern w:val="0"/>
                      <w:sz w:val="21"/>
                      <w:szCs w:val="21"/>
                      <w:highlight w:val="none"/>
                      <w:u w:val="none" w:color="auto"/>
                      <w:lang w:val="en-US" w:eastAsia="zh-CN" w:bidi="en-US"/>
                    </w:rPr>
                    <w:t>大气环境</w:t>
                  </w:r>
                </w:p>
              </w:tc>
              <w:tc>
                <w:tcPr>
                  <w:tcW w:w="449" w:type="dxa"/>
                  <w:tcBorders>
                    <w:tl2br w:val="nil"/>
                    <w:tr2bl w:val="nil"/>
                  </w:tcBorders>
                  <w:vAlign w:val="center"/>
                </w:tcPr>
                <w:p w14:paraId="614D895D">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ascii="Times New Roman" w:hAnsi="Times New Roman" w:eastAsia="宋体" w:cs="Times New Roman"/>
                      <w:color w:val="auto"/>
                      <w:kern w:val="0"/>
                      <w:sz w:val="21"/>
                      <w:szCs w:val="21"/>
                      <w:highlight w:val="none"/>
                      <w:u w:val="none" w:color="auto"/>
                      <w:lang w:val="en-US" w:eastAsia="zh-CN" w:bidi="en-US"/>
                    </w:rPr>
                    <w:t>声环境</w:t>
                  </w:r>
                </w:p>
              </w:tc>
              <w:tc>
                <w:tcPr>
                  <w:tcW w:w="1499" w:type="dxa"/>
                  <w:tcBorders>
                    <w:tl2br w:val="nil"/>
                    <w:tr2bl w:val="nil"/>
                  </w:tcBorders>
                  <w:vAlign w:val="center"/>
                </w:tcPr>
                <w:p w14:paraId="6A97C718">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default" w:ascii="Times New Roman" w:hAnsi="Times New Roman" w:eastAsia="宋体" w:cs="Times New Roman"/>
                      <w:color w:val="auto"/>
                      <w:kern w:val="0"/>
                      <w:sz w:val="21"/>
                      <w:szCs w:val="21"/>
                      <w:highlight w:val="none"/>
                      <w:u w:val="none" w:color="auto"/>
                      <w:lang w:val="en-US" w:eastAsia="zh-CN" w:bidi="en-US"/>
                    </w:rPr>
                    <w:t>南宁三玖脑科医院</w:t>
                  </w:r>
                  <w:r>
                    <w:rPr>
                      <w:rFonts w:hint="eastAsia" w:cs="Times New Roman"/>
                      <w:color w:val="auto"/>
                      <w:kern w:val="0"/>
                      <w:sz w:val="21"/>
                      <w:szCs w:val="21"/>
                      <w:highlight w:val="none"/>
                      <w:u w:val="none" w:color="auto"/>
                      <w:lang w:val="en-US" w:eastAsia="zh-CN" w:bidi="en-US"/>
                    </w:rPr>
                    <w:t>（拟建）</w:t>
                  </w:r>
                </w:p>
              </w:tc>
              <w:tc>
                <w:tcPr>
                  <w:tcW w:w="1074" w:type="dxa"/>
                  <w:tcBorders>
                    <w:tl2br w:val="nil"/>
                    <w:tr2bl w:val="nil"/>
                  </w:tcBorders>
                  <w:vAlign w:val="center"/>
                </w:tcPr>
                <w:p w14:paraId="68A1E2D8">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eastAsia" w:ascii="Times New Roman" w:hAnsi="Times New Roman" w:eastAsia="宋体" w:cs="Times New Roman"/>
                      <w:color w:val="auto"/>
                      <w:kern w:val="0"/>
                      <w:sz w:val="21"/>
                      <w:szCs w:val="21"/>
                      <w:highlight w:val="none"/>
                      <w:u w:val="none" w:color="auto"/>
                      <w:lang w:val="zh-CN" w:eastAsia="zh-CN" w:bidi="en-US"/>
                    </w:rPr>
                  </w:pPr>
                  <w:r>
                    <w:rPr>
                      <w:rFonts w:hint="eastAsia" w:cs="Times New Roman"/>
                      <w:color w:val="auto"/>
                      <w:kern w:val="0"/>
                      <w:sz w:val="21"/>
                      <w:szCs w:val="21"/>
                      <w:highlight w:val="none"/>
                      <w:u w:val="none" w:color="auto"/>
                      <w:lang w:val="en-US" w:eastAsia="zh-CN" w:bidi="en-US"/>
                    </w:rPr>
                    <w:t>医院</w:t>
                  </w:r>
                </w:p>
              </w:tc>
              <w:tc>
                <w:tcPr>
                  <w:tcW w:w="1053" w:type="dxa"/>
                  <w:tcBorders>
                    <w:tl2br w:val="nil"/>
                    <w:tr2bl w:val="nil"/>
                  </w:tcBorders>
                  <w:vAlign w:val="center"/>
                </w:tcPr>
                <w:p w14:paraId="3F0C8BD7">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医生、病人</w:t>
                  </w:r>
                </w:p>
              </w:tc>
              <w:tc>
                <w:tcPr>
                  <w:tcW w:w="916" w:type="dxa"/>
                  <w:tcBorders>
                    <w:tl2br w:val="nil"/>
                    <w:tr2bl w:val="nil"/>
                  </w:tcBorders>
                  <w:vAlign w:val="center"/>
                </w:tcPr>
                <w:p w14:paraId="1A9072C0">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zh-CN" w:bidi="en-US"/>
                    </w:rPr>
                  </w:pPr>
                  <w:r>
                    <w:rPr>
                      <w:rFonts w:hint="eastAsia" w:cs="Times New Roman"/>
                      <w:color w:val="auto"/>
                      <w:kern w:val="0"/>
                      <w:sz w:val="21"/>
                      <w:szCs w:val="21"/>
                      <w:highlight w:val="none"/>
                      <w:u w:val="none" w:color="auto"/>
                      <w:lang w:val="en-US" w:eastAsia="zh-CN" w:bidi="en-US"/>
                    </w:rPr>
                    <w:t>430人</w:t>
                  </w:r>
                </w:p>
              </w:tc>
              <w:tc>
                <w:tcPr>
                  <w:tcW w:w="730" w:type="dxa"/>
                  <w:tcBorders>
                    <w:tl2br w:val="nil"/>
                    <w:tr2bl w:val="nil"/>
                  </w:tcBorders>
                  <w:vAlign w:val="center"/>
                </w:tcPr>
                <w:p w14:paraId="572CA50C">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eastAsia" w:ascii="Times New Roman" w:hAnsi="Times New Roman" w:eastAsia="宋体" w:cs="Times New Roman"/>
                      <w:color w:val="auto"/>
                      <w:kern w:val="0"/>
                      <w:sz w:val="21"/>
                      <w:szCs w:val="21"/>
                      <w:highlight w:val="none"/>
                      <w:u w:val="none" w:color="auto"/>
                      <w:lang w:val="zh-CN" w:eastAsia="zh-CN" w:bidi="en-US"/>
                    </w:rPr>
                  </w:pPr>
                  <w:r>
                    <w:rPr>
                      <w:rFonts w:hint="eastAsia" w:cs="Times New Roman"/>
                      <w:color w:val="auto"/>
                      <w:kern w:val="0"/>
                      <w:sz w:val="21"/>
                      <w:szCs w:val="21"/>
                      <w:highlight w:val="none"/>
                      <w:u w:val="none" w:color="auto"/>
                      <w:lang w:val="en-US" w:eastAsia="zh-CN" w:bidi="en-US"/>
                    </w:rPr>
                    <w:t>南</w:t>
                  </w:r>
                </w:p>
              </w:tc>
              <w:tc>
                <w:tcPr>
                  <w:tcW w:w="722" w:type="dxa"/>
                  <w:tcBorders>
                    <w:tl2br w:val="nil"/>
                    <w:tr2bl w:val="nil"/>
                  </w:tcBorders>
                  <w:vAlign w:val="center"/>
                </w:tcPr>
                <w:p w14:paraId="132F90E6">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6m</w:t>
                  </w:r>
                </w:p>
              </w:tc>
              <w:tc>
                <w:tcPr>
                  <w:tcW w:w="2324" w:type="dxa"/>
                  <w:vMerge w:val="restart"/>
                  <w:tcBorders>
                    <w:tl2br w:val="nil"/>
                    <w:tr2bl w:val="nil"/>
                  </w:tcBorders>
                  <w:vAlign w:val="center"/>
                </w:tcPr>
                <w:p w14:paraId="37142E5E">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zh-CN" w:bidi="en-US"/>
                    </w:rPr>
                  </w:pPr>
                  <w:r>
                    <w:rPr>
                      <w:rFonts w:hint="default" w:ascii="Times New Roman" w:hAnsi="Times New Roman" w:eastAsia="宋体" w:cs="Times New Roman"/>
                      <w:color w:val="auto"/>
                      <w:kern w:val="0"/>
                      <w:sz w:val="21"/>
                      <w:szCs w:val="21"/>
                      <w:highlight w:val="none"/>
                      <w:u w:val="none" w:color="auto"/>
                      <w:lang w:val="zh-CN" w:eastAsia="zh-CN" w:bidi="en-US"/>
                    </w:rPr>
                    <w:t>GB3096-2008《声环境质量标准》2类标准</w:t>
                  </w:r>
                  <w:r>
                    <w:rPr>
                      <w:rFonts w:hint="eastAsia" w:eastAsia="宋体" w:cs="Times New Roman"/>
                      <w:color w:val="auto"/>
                      <w:kern w:val="0"/>
                      <w:sz w:val="21"/>
                      <w:szCs w:val="21"/>
                      <w:highlight w:val="none"/>
                      <w:u w:val="none" w:color="auto"/>
                      <w:lang w:val="zh-CN" w:eastAsia="zh-CN" w:bidi="en-US"/>
                    </w:rPr>
                    <w:t>（项目所在楼房面向交通干线一侧至交通干线边界线的区域定为4a类声环境功能区）、</w:t>
                  </w:r>
                  <w:r>
                    <w:rPr>
                      <w:rFonts w:hint="default" w:ascii="Times New Roman" w:hAnsi="Times New Roman" w:eastAsia="宋体" w:cs="Times New Roman"/>
                      <w:color w:val="auto"/>
                      <w:kern w:val="0"/>
                      <w:sz w:val="21"/>
                      <w:szCs w:val="21"/>
                      <w:highlight w:val="none"/>
                      <w:u w:val="none" w:color="auto"/>
                      <w:lang w:val="zh-CN" w:eastAsia="zh-CN" w:bidi="en-US"/>
                    </w:rPr>
                    <w:t>GB3095-2012《环境空气质量标准》及其修改单二级标准</w:t>
                  </w:r>
                </w:p>
              </w:tc>
            </w:tr>
            <w:tr w14:paraId="715A6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04" w:type="dxa"/>
                  <w:vMerge w:val="continue"/>
                  <w:tcBorders>
                    <w:tl2br w:val="nil"/>
                    <w:tr2bl w:val="nil"/>
                  </w:tcBorders>
                  <w:vAlign w:val="center"/>
                </w:tcPr>
                <w:p w14:paraId="312BB84D">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p>
              </w:tc>
              <w:tc>
                <w:tcPr>
                  <w:tcW w:w="449" w:type="dxa"/>
                  <w:tcBorders>
                    <w:tl2br w:val="nil"/>
                    <w:tr2bl w:val="nil"/>
                  </w:tcBorders>
                  <w:vAlign w:val="center"/>
                </w:tcPr>
                <w:p w14:paraId="6D86E722">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w:t>
                  </w:r>
                </w:p>
              </w:tc>
              <w:tc>
                <w:tcPr>
                  <w:tcW w:w="1499" w:type="dxa"/>
                  <w:tcBorders>
                    <w:tl2br w:val="nil"/>
                    <w:tr2bl w:val="nil"/>
                  </w:tcBorders>
                  <w:vAlign w:val="center"/>
                </w:tcPr>
                <w:p w14:paraId="3D3D043B">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default" w:ascii="Times New Roman" w:hAnsi="Times New Roman" w:eastAsia="宋体" w:cs="Times New Roman"/>
                      <w:color w:val="auto"/>
                      <w:kern w:val="0"/>
                      <w:sz w:val="21"/>
                      <w:szCs w:val="21"/>
                      <w:highlight w:val="none"/>
                      <w:u w:val="none" w:color="auto"/>
                      <w:lang w:val="en-US" w:eastAsia="zh-CN" w:bidi="en-US"/>
                    </w:rPr>
                    <w:t>九斗</w:t>
                  </w:r>
                  <w:r>
                    <w:rPr>
                      <w:rFonts w:hint="eastAsia" w:cs="Times New Roman"/>
                      <w:color w:val="auto"/>
                      <w:kern w:val="0"/>
                      <w:sz w:val="21"/>
                      <w:szCs w:val="21"/>
                      <w:highlight w:val="none"/>
                      <w:u w:val="none" w:color="auto"/>
                      <w:lang w:val="en-US" w:eastAsia="zh-CN" w:bidi="en-US"/>
                    </w:rPr>
                    <w:t>坡</w:t>
                  </w:r>
                </w:p>
              </w:tc>
              <w:tc>
                <w:tcPr>
                  <w:tcW w:w="1074" w:type="dxa"/>
                  <w:tcBorders>
                    <w:tl2br w:val="nil"/>
                    <w:tr2bl w:val="nil"/>
                  </w:tcBorders>
                  <w:vAlign w:val="center"/>
                </w:tcPr>
                <w:p w14:paraId="073B12F8">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eastAsia"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村屯</w:t>
                  </w:r>
                </w:p>
              </w:tc>
              <w:tc>
                <w:tcPr>
                  <w:tcW w:w="1053" w:type="dxa"/>
                  <w:tcBorders>
                    <w:tl2br w:val="nil"/>
                    <w:tr2bl w:val="nil"/>
                  </w:tcBorders>
                  <w:vAlign w:val="center"/>
                </w:tcPr>
                <w:p w14:paraId="4A87B124">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eastAsia"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村民</w:t>
                  </w:r>
                </w:p>
              </w:tc>
              <w:tc>
                <w:tcPr>
                  <w:tcW w:w="916" w:type="dxa"/>
                  <w:tcBorders>
                    <w:tl2br w:val="nil"/>
                    <w:tr2bl w:val="nil"/>
                  </w:tcBorders>
                  <w:vAlign w:val="center"/>
                </w:tcPr>
                <w:p w14:paraId="6E533DF7">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eastAsia"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40</w:t>
                  </w:r>
                  <w:r>
                    <w:rPr>
                      <w:rFonts w:hint="default" w:ascii="Times New Roman" w:hAnsi="Times New Roman" w:eastAsia="宋体" w:cs="Times New Roman"/>
                      <w:color w:val="auto"/>
                      <w:kern w:val="0"/>
                      <w:sz w:val="21"/>
                      <w:szCs w:val="21"/>
                      <w:highlight w:val="none"/>
                      <w:u w:val="none" w:color="auto"/>
                      <w:lang w:val="zh-CN" w:bidi="en-US"/>
                    </w:rPr>
                    <w:t>人</w:t>
                  </w:r>
                </w:p>
              </w:tc>
              <w:tc>
                <w:tcPr>
                  <w:tcW w:w="730" w:type="dxa"/>
                  <w:tcBorders>
                    <w:tl2br w:val="nil"/>
                    <w:tr2bl w:val="nil"/>
                  </w:tcBorders>
                  <w:vAlign w:val="center"/>
                </w:tcPr>
                <w:p w14:paraId="55FD4A3B">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eastAsia"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西</w:t>
                  </w:r>
                </w:p>
              </w:tc>
              <w:tc>
                <w:tcPr>
                  <w:tcW w:w="722" w:type="dxa"/>
                  <w:tcBorders>
                    <w:tl2br w:val="nil"/>
                    <w:tr2bl w:val="nil"/>
                  </w:tcBorders>
                  <w:vAlign w:val="center"/>
                </w:tcPr>
                <w:p w14:paraId="5B699319">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eastAsia"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65</w:t>
                  </w:r>
                  <w:r>
                    <w:rPr>
                      <w:rFonts w:hint="default" w:ascii="Times New Roman" w:hAnsi="Times New Roman" w:eastAsia="宋体" w:cs="Times New Roman"/>
                      <w:color w:val="auto"/>
                      <w:kern w:val="0"/>
                      <w:sz w:val="21"/>
                      <w:szCs w:val="21"/>
                      <w:highlight w:val="none"/>
                      <w:u w:val="none" w:color="auto"/>
                      <w:lang w:val="zh-CN" w:bidi="en-US"/>
                    </w:rPr>
                    <w:t>m</w:t>
                  </w:r>
                </w:p>
              </w:tc>
              <w:tc>
                <w:tcPr>
                  <w:tcW w:w="2324" w:type="dxa"/>
                  <w:vMerge w:val="continue"/>
                  <w:tcBorders>
                    <w:tl2br w:val="nil"/>
                    <w:tr2bl w:val="nil"/>
                  </w:tcBorders>
                  <w:vAlign w:val="center"/>
                </w:tcPr>
                <w:p w14:paraId="1223BED8">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zh-CN" w:eastAsia="zh-CN" w:bidi="en-US"/>
                    </w:rPr>
                  </w:pPr>
                </w:p>
              </w:tc>
            </w:tr>
            <w:tr w14:paraId="68DF55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04" w:type="dxa"/>
                  <w:vMerge w:val="continue"/>
                  <w:tcBorders>
                    <w:tl2br w:val="nil"/>
                    <w:tr2bl w:val="nil"/>
                  </w:tcBorders>
                  <w:vAlign w:val="center"/>
                </w:tcPr>
                <w:p w14:paraId="7C322BAC">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p>
              </w:tc>
              <w:tc>
                <w:tcPr>
                  <w:tcW w:w="449" w:type="dxa"/>
                  <w:tcBorders>
                    <w:tl2br w:val="nil"/>
                    <w:tr2bl w:val="nil"/>
                  </w:tcBorders>
                  <w:vAlign w:val="center"/>
                </w:tcPr>
                <w:p w14:paraId="1051DF00">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ascii="Times New Roman" w:hAnsi="Times New Roman" w:eastAsia="宋体" w:cs="Times New Roman"/>
                      <w:color w:val="auto"/>
                      <w:kern w:val="0"/>
                      <w:sz w:val="21"/>
                      <w:szCs w:val="21"/>
                      <w:highlight w:val="none"/>
                      <w:u w:val="none" w:color="auto"/>
                      <w:lang w:val="en-US" w:eastAsia="zh-CN" w:bidi="en-US"/>
                    </w:rPr>
                    <w:t>/</w:t>
                  </w:r>
                </w:p>
              </w:tc>
              <w:tc>
                <w:tcPr>
                  <w:tcW w:w="1499" w:type="dxa"/>
                  <w:tcBorders>
                    <w:tl2br w:val="nil"/>
                    <w:tr2bl w:val="nil"/>
                  </w:tcBorders>
                  <w:vAlign w:val="center"/>
                </w:tcPr>
                <w:p w14:paraId="44550FAC">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大雷坪</w:t>
                  </w:r>
                </w:p>
              </w:tc>
              <w:tc>
                <w:tcPr>
                  <w:tcW w:w="1074" w:type="dxa"/>
                  <w:tcBorders>
                    <w:tl2br w:val="nil"/>
                    <w:tr2bl w:val="nil"/>
                  </w:tcBorders>
                  <w:vAlign w:val="center"/>
                </w:tcPr>
                <w:p w14:paraId="2C69EDA4">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eastAsia" w:ascii="Times New Roman" w:hAnsi="Times New Roman" w:eastAsia="宋体"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村屯</w:t>
                  </w:r>
                </w:p>
              </w:tc>
              <w:tc>
                <w:tcPr>
                  <w:tcW w:w="1053" w:type="dxa"/>
                  <w:tcBorders>
                    <w:tl2br w:val="nil"/>
                    <w:tr2bl w:val="nil"/>
                  </w:tcBorders>
                  <w:vAlign w:val="center"/>
                </w:tcPr>
                <w:p w14:paraId="50AEB1B0">
                  <w:pPr>
                    <w:keepNext w:val="0"/>
                    <w:keepLines w:val="0"/>
                    <w:pageBreakBefore w:val="0"/>
                    <w:widowControl w:val="0"/>
                    <w:kinsoku/>
                    <w:wordWrap/>
                    <w:overflowPunct w:val="0"/>
                    <w:topLinePunct w:val="0"/>
                    <w:autoSpaceDE/>
                    <w:autoSpaceDN/>
                    <w:bidi w:val="0"/>
                    <w:adjustRightInd w:val="0"/>
                    <w:snapToGrid w:val="0"/>
                    <w:spacing w:line="320" w:lineRule="exact"/>
                    <w:ind w:left="0" w:leftChars="0" w:firstLine="0" w:firstLineChars="0"/>
                    <w:jc w:val="center"/>
                    <w:textAlignment w:val="baseline"/>
                    <w:rPr>
                      <w:rFonts w:hint="eastAsia"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村民</w:t>
                  </w:r>
                </w:p>
              </w:tc>
              <w:tc>
                <w:tcPr>
                  <w:tcW w:w="916" w:type="dxa"/>
                  <w:tcBorders>
                    <w:tl2br w:val="nil"/>
                    <w:tr2bl w:val="nil"/>
                  </w:tcBorders>
                  <w:vAlign w:val="center"/>
                </w:tcPr>
                <w:p w14:paraId="4747A579">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150人</w:t>
                  </w:r>
                </w:p>
              </w:tc>
              <w:tc>
                <w:tcPr>
                  <w:tcW w:w="730" w:type="dxa"/>
                  <w:tcBorders>
                    <w:tl2br w:val="nil"/>
                    <w:tr2bl w:val="nil"/>
                  </w:tcBorders>
                  <w:vAlign w:val="center"/>
                </w:tcPr>
                <w:p w14:paraId="1ED8B645">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南</w:t>
                  </w:r>
                </w:p>
              </w:tc>
              <w:tc>
                <w:tcPr>
                  <w:tcW w:w="722" w:type="dxa"/>
                  <w:tcBorders>
                    <w:tl2br w:val="nil"/>
                    <w:tr2bl w:val="nil"/>
                  </w:tcBorders>
                  <w:vAlign w:val="center"/>
                </w:tcPr>
                <w:p w14:paraId="41740324">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210m</w:t>
                  </w:r>
                </w:p>
              </w:tc>
              <w:tc>
                <w:tcPr>
                  <w:tcW w:w="2324" w:type="dxa"/>
                  <w:vMerge w:val="continue"/>
                  <w:tcBorders>
                    <w:tl2br w:val="nil"/>
                    <w:tr2bl w:val="nil"/>
                  </w:tcBorders>
                  <w:vAlign w:val="center"/>
                </w:tcPr>
                <w:p w14:paraId="0B1144E1">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zh-CN" w:eastAsia="zh-CN" w:bidi="en-US"/>
                    </w:rPr>
                  </w:pPr>
                </w:p>
              </w:tc>
            </w:tr>
            <w:tr w14:paraId="1C667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04" w:type="dxa"/>
                  <w:vMerge w:val="continue"/>
                  <w:tcBorders>
                    <w:tl2br w:val="nil"/>
                    <w:tr2bl w:val="nil"/>
                  </w:tcBorders>
                  <w:vAlign w:val="center"/>
                </w:tcPr>
                <w:p w14:paraId="25311F51">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p>
              </w:tc>
              <w:tc>
                <w:tcPr>
                  <w:tcW w:w="449" w:type="dxa"/>
                  <w:tcBorders>
                    <w:tl2br w:val="nil"/>
                    <w:tr2bl w:val="nil"/>
                  </w:tcBorders>
                  <w:vAlign w:val="center"/>
                </w:tcPr>
                <w:p w14:paraId="62196C1D">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w:t>
                  </w:r>
                </w:p>
              </w:tc>
              <w:tc>
                <w:tcPr>
                  <w:tcW w:w="1499" w:type="dxa"/>
                  <w:tcBorders>
                    <w:tl2br w:val="nil"/>
                    <w:tr2bl w:val="nil"/>
                  </w:tcBorders>
                  <w:vAlign w:val="center"/>
                </w:tcPr>
                <w:p w14:paraId="7F8BBE18">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四厦村</w:t>
                  </w:r>
                </w:p>
              </w:tc>
              <w:tc>
                <w:tcPr>
                  <w:tcW w:w="1074" w:type="dxa"/>
                  <w:tcBorders>
                    <w:tl2br w:val="nil"/>
                    <w:tr2bl w:val="nil"/>
                  </w:tcBorders>
                  <w:vAlign w:val="center"/>
                </w:tcPr>
                <w:p w14:paraId="5DFE1417">
                  <w:pPr>
                    <w:keepNext w:val="0"/>
                    <w:keepLines w:val="0"/>
                    <w:pageBreakBefore w:val="0"/>
                    <w:widowControl w:val="0"/>
                    <w:kinsoku/>
                    <w:wordWrap/>
                    <w:overflowPunct w:val="0"/>
                    <w:topLinePunct w:val="0"/>
                    <w:autoSpaceDE/>
                    <w:autoSpaceDN/>
                    <w:bidi w:val="0"/>
                    <w:adjustRightInd w:val="0"/>
                    <w:snapToGrid w:val="0"/>
                    <w:spacing w:line="320" w:lineRule="exact"/>
                    <w:ind w:left="0" w:leftChars="0" w:firstLine="0" w:firstLineChars="0"/>
                    <w:jc w:val="center"/>
                    <w:textAlignment w:val="baseline"/>
                    <w:rPr>
                      <w:rFonts w:hint="eastAsia"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村屯</w:t>
                  </w:r>
                </w:p>
              </w:tc>
              <w:tc>
                <w:tcPr>
                  <w:tcW w:w="1053" w:type="dxa"/>
                  <w:tcBorders>
                    <w:tl2br w:val="nil"/>
                    <w:tr2bl w:val="nil"/>
                  </w:tcBorders>
                  <w:vAlign w:val="center"/>
                </w:tcPr>
                <w:p w14:paraId="14873CA2">
                  <w:pPr>
                    <w:keepNext w:val="0"/>
                    <w:keepLines w:val="0"/>
                    <w:pageBreakBefore w:val="0"/>
                    <w:widowControl w:val="0"/>
                    <w:kinsoku/>
                    <w:wordWrap/>
                    <w:overflowPunct w:val="0"/>
                    <w:topLinePunct w:val="0"/>
                    <w:autoSpaceDE/>
                    <w:autoSpaceDN/>
                    <w:bidi w:val="0"/>
                    <w:adjustRightInd w:val="0"/>
                    <w:snapToGrid w:val="0"/>
                    <w:spacing w:line="320" w:lineRule="exact"/>
                    <w:ind w:left="0" w:leftChars="0" w:firstLine="0" w:firstLineChars="0"/>
                    <w:jc w:val="center"/>
                    <w:textAlignment w:val="baseline"/>
                    <w:rPr>
                      <w:rFonts w:hint="eastAsia"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村民</w:t>
                  </w:r>
                </w:p>
              </w:tc>
              <w:tc>
                <w:tcPr>
                  <w:tcW w:w="916" w:type="dxa"/>
                  <w:tcBorders>
                    <w:tl2br w:val="nil"/>
                    <w:tr2bl w:val="nil"/>
                  </w:tcBorders>
                  <w:vAlign w:val="center"/>
                </w:tcPr>
                <w:p w14:paraId="57937AD7">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350人</w:t>
                  </w:r>
                </w:p>
              </w:tc>
              <w:tc>
                <w:tcPr>
                  <w:tcW w:w="730" w:type="dxa"/>
                  <w:tcBorders>
                    <w:tl2br w:val="nil"/>
                    <w:tr2bl w:val="nil"/>
                  </w:tcBorders>
                  <w:vAlign w:val="center"/>
                </w:tcPr>
                <w:p w14:paraId="613870AD">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东</w:t>
                  </w:r>
                </w:p>
              </w:tc>
              <w:tc>
                <w:tcPr>
                  <w:tcW w:w="722" w:type="dxa"/>
                  <w:tcBorders>
                    <w:tl2br w:val="nil"/>
                    <w:tr2bl w:val="nil"/>
                  </w:tcBorders>
                  <w:vAlign w:val="center"/>
                </w:tcPr>
                <w:p w14:paraId="40F6ED7E">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400m</w:t>
                  </w:r>
                </w:p>
              </w:tc>
              <w:tc>
                <w:tcPr>
                  <w:tcW w:w="2324" w:type="dxa"/>
                  <w:vMerge w:val="continue"/>
                  <w:tcBorders>
                    <w:tl2br w:val="nil"/>
                    <w:tr2bl w:val="nil"/>
                  </w:tcBorders>
                  <w:vAlign w:val="center"/>
                </w:tcPr>
                <w:p w14:paraId="685223D6">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zh-CN" w:eastAsia="zh-CN" w:bidi="en-US"/>
                    </w:rPr>
                  </w:pPr>
                </w:p>
              </w:tc>
            </w:tr>
            <w:tr w14:paraId="5E0A1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04" w:type="dxa"/>
                  <w:vMerge w:val="continue"/>
                  <w:tcBorders>
                    <w:tl2br w:val="nil"/>
                    <w:tr2bl w:val="nil"/>
                  </w:tcBorders>
                  <w:vAlign w:val="center"/>
                </w:tcPr>
                <w:p w14:paraId="3A5A0827">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p>
              </w:tc>
              <w:tc>
                <w:tcPr>
                  <w:tcW w:w="449" w:type="dxa"/>
                  <w:tcBorders>
                    <w:tl2br w:val="nil"/>
                    <w:tr2bl w:val="nil"/>
                  </w:tcBorders>
                  <w:vAlign w:val="center"/>
                </w:tcPr>
                <w:p w14:paraId="780F5AB6">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ascii="Times New Roman" w:hAnsi="Times New Roman" w:eastAsia="宋体" w:cs="Times New Roman"/>
                      <w:color w:val="auto"/>
                      <w:kern w:val="0"/>
                      <w:sz w:val="21"/>
                      <w:szCs w:val="21"/>
                      <w:highlight w:val="none"/>
                      <w:u w:val="none" w:color="auto"/>
                      <w:lang w:val="en-US" w:eastAsia="zh-CN" w:bidi="en-US"/>
                    </w:rPr>
                    <w:t>/</w:t>
                  </w:r>
                </w:p>
              </w:tc>
              <w:tc>
                <w:tcPr>
                  <w:tcW w:w="1499" w:type="dxa"/>
                  <w:tcBorders>
                    <w:tl2br w:val="nil"/>
                    <w:tr2bl w:val="nil"/>
                  </w:tcBorders>
                  <w:vAlign w:val="center"/>
                </w:tcPr>
                <w:p w14:paraId="6B2D8636">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default" w:ascii="Times New Roman" w:hAnsi="Times New Roman" w:eastAsia="宋体" w:cs="Times New Roman"/>
                      <w:color w:val="auto"/>
                      <w:kern w:val="0"/>
                      <w:sz w:val="21"/>
                      <w:szCs w:val="21"/>
                      <w:highlight w:val="none"/>
                      <w:u w:val="none" w:color="auto"/>
                      <w:lang w:val="en-US" w:eastAsia="zh-CN" w:bidi="en-US"/>
                    </w:rPr>
                    <w:t>高岭村零散住户</w:t>
                  </w:r>
                </w:p>
              </w:tc>
              <w:tc>
                <w:tcPr>
                  <w:tcW w:w="1074" w:type="dxa"/>
                  <w:tcBorders>
                    <w:tl2br w:val="nil"/>
                    <w:tr2bl w:val="nil"/>
                  </w:tcBorders>
                  <w:vAlign w:val="center"/>
                </w:tcPr>
                <w:p w14:paraId="3682FF51">
                  <w:pPr>
                    <w:keepNext w:val="0"/>
                    <w:keepLines w:val="0"/>
                    <w:pageBreakBefore w:val="0"/>
                    <w:widowControl w:val="0"/>
                    <w:kinsoku/>
                    <w:wordWrap/>
                    <w:overflowPunct w:val="0"/>
                    <w:topLinePunct w:val="0"/>
                    <w:autoSpaceDE/>
                    <w:autoSpaceDN/>
                    <w:bidi w:val="0"/>
                    <w:adjustRightInd w:val="0"/>
                    <w:snapToGrid w:val="0"/>
                    <w:spacing w:line="320" w:lineRule="exact"/>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zh-CN" w:bidi="en-US"/>
                    </w:rPr>
                  </w:pPr>
                  <w:r>
                    <w:rPr>
                      <w:rFonts w:hint="eastAsia" w:cs="Times New Roman"/>
                      <w:color w:val="auto"/>
                      <w:kern w:val="0"/>
                      <w:sz w:val="21"/>
                      <w:szCs w:val="21"/>
                      <w:highlight w:val="none"/>
                      <w:u w:val="none" w:color="auto"/>
                      <w:lang w:val="en-US" w:eastAsia="zh-CN" w:bidi="en-US"/>
                    </w:rPr>
                    <w:t>村屯</w:t>
                  </w:r>
                </w:p>
              </w:tc>
              <w:tc>
                <w:tcPr>
                  <w:tcW w:w="1053" w:type="dxa"/>
                  <w:tcBorders>
                    <w:tl2br w:val="nil"/>
                    <w:tr2bl w:val="nil"/>
                  </w:tcBorders>
                  <w:vAlign w:val="center"/>
                </w:tcPr>
                <w:p w14:paraId="4FEB56BA">
                  <w:pPr>
                    <w:keepNext w:val="0"/>
                    <w:keepLines w:val="0"/>
                    <w:pageBreakBefore w:val="0"/>
                    <w:widowControl w:val="0"/>
                    <w:kinsoku/>
                    <w:wordWrap/>
                    <w:overflowPunct w:val="0"/>
                    <w:topLinePunct w:val="0"/>
                    <w:autoSpaceDE/>
                    <w:autoSpaceDN/>
                    <w:bidi w:val="0"/>
                    <w:adjustRightInd w:val="0"/>
                    <w:snapToGrid w:val="0"/>
                    <w:spacing w:line="320" w:lineRule="exact"/>
                    <w:ind w:left="0" w:leftChars="0" w:firstLine="0" w:firstLineChars="0"/>
                    <w:jc w:val="center"/>
                    <w:textAlignment w:val="baseline"/>
                    <w:rPr>
                      <w:rFonts w:hint="eastAsia"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村民</w:t>
                  </w:r>
                </w:p>
              </w:tc>
              <w:tc>
                <w:tcPr>
                  <w:tcW w:w="916" w:type="dxa"/>
                  <w:tcBorders>
                    <w:tl2br w:val="nil"/>
                    <w:tr2bl w:val="nil"/>
                  </w:tcBorders>
                  <w:vAlign w:val="center"/>
                </w:tcPr>
                <w:p w14:paraId="41E2611D">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50人</w:t>
                  </w:r>
                </w:p>
              </w:tc>
              <w:tc>
                <w:tcPr>
                  <w:tcW w:w="730" w:type="dxa"/>
                  <w:tcBorders>
                    <w:tl2br w:val="nil"/>
                    <w:tr2bl w:val="nil"/>
                  </w:tcBorders>
                  <w:vAlign w:val="center"/>
                </w:tcPr>
                <w:p w14:paraId="75AA3615">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东</w:t>
                  </w:r>
                </w:p>
              </w:tc>
              <w:tc>
                <w:tcPr>
                  <w:tcW w:w="722" w:type="dxa"/>
                  <w:tcBorders>
                    <w:tl2br w:val="nil"/>
                    <w:tr2bl w:val="nil"/>
                  </w:tcBorders>
                  <w:vAlign w:val="center"/>
                </w:tcPr>
                <w:p w14:paraId="45FB3764">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110m</w:t>
                  </w:r>
                </w:p>
              </w:tc>
              <w:tc>
                <w:tcPr>
                  <w:tcW w:w="2324" w:type="dxa"/>
                  <w:vMerge w:val="continue"/>
                  <w:tcBorders>
                    <w:tl2br w:val="nil"/>
                    <w:tr2bl w:val="nil"/>
                  </w:tcBorders>
                  <w:vAlign w:val="center"/>
                </w:tcPr>
                <w:p w14:paraId="75A2C4A1">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zh-CN" w:eastAsia="zh-CN" w:bidi="en-US"/>
                    </w:rPr>
                  </w:pPr>
                </w:p>
              </w:tc>
            </w:tr>
            <w:tr w14:paraId="6DBBB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04" w:type="dxa"/>
                  <w:vMerge w:val="continue"/>
                  <w:tcBorders>
                    <w:tl2br w:val="nil"/>
                    <w:tr2bl w:val="nil"/>
                  </w:tcBorders>
                  <w:vAlign w:val="center"/>
                </w:tcPr>
                <w:p w14:paraId="0FEACA9D">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p>
              </w:tc>
              <w:tc>
                <w:tcPr>
                  <w:tcW w:w="449" w:type="dxa"/>
                  <w:tcBorders>
                    <w:tl2br w:val="nil"/>
                    <w:tr2bl w:val="nil"/>
                  </w:tcBorders>
                  <w:vAlign w:val="center"/>
                </w:tcPr>
                <w:p w14:paraId="393498F6">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w:t>
                  </w:r>
                </w:p>
              </w:tc>
              <w:tc>
                <w:tcPr>
                  <w:tcW w:w="1499" w:type="dxa"/>
                  <w:tcBorders>
                    <w:tl2br w:val="nil"/>
                    <w:tr2bl w:val="nil"/>
                  </w:tcBorders>
                  <w:vAlign w:val="center"/>
                </w:tcPr>
                <w:p w14:paraId="40964DCE">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bookmarkStart w:id="15" w:name="OLE_LINK6"/>
                  <w:r>
                    <w:rPr>
                      <w:rFonts w:hint="eastAsia" w:cs="Times New Roman"/>
                      <w:color w:val="auto"/>
                      <w:kern w:val="0"/>
                      <w:sz w:val="21"/>
                      <w:szCs w:val="21"/>
                      <w:highlight w:val="none"/>
                      <w:u w:val="none" w:color="auto"/>
                      <w:lang w:val="en-US" w:eastAsia="zh-CN" w:bidi="en-US"/>
                    </w:rPr>
                    <w:t>良凤江国家森林公园</w:t>
                  </w:r>
                  <w:bookmarkEnd w:id="15"/>
                </w:p>
              </w:tc>
              <w:tc>
                <w:tcPr>
                  <w:tcW w:w="2127" w:type="dxa"/>
                  <w:gridSpan w:val="2"/>
                  <w:tcBorders>
                    <w:tl2br w:val="nil"/>
                    <w:tr2bl w:val="nil"/>
                  </w:tcBorders>
                  <w:vAlign w:val="center"/>
                </w:tcPr>
                <w:p w14:paraId="185BFF1B">
                  <w:pPr>
                    <w:keepNext w:val="0"/>
                    <w:keepLines w:val="0"/>
                    <w:pageBreakBefore w:val="0"/>
                    <w:widowControl w:val="0"/>
                    <w:kinsoku/>
                    <w:wordWrap/>
                    <w:overflowPunct w:val="0"/>
                    <w:topLinePunct w:val="0"/>
                    <w:autoSpaceDE/>
                    <w:autoSpaceDN/>
                    <w:bidi w:val="0"/>
                    <w:adjustRightInd w:val="0"/>
                    <w:snapToGrid w:val="0"/>
                    <w:spacing w:line="320" w:lineRule="exact"/>
                    <w:ind w:left="0" w:leftChars="0" w:firstLine="0" w:firstLineChars="0"/>
                    <w:jc w:val="center"/>
                    <w:textAlignment w:val="baseline"/>
                    <w:rPr>
                      <w:rFonts w:hint="eastAsia"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国家森林公园</w:t>
                  </w:r>
                </w:p>
              </w:tc>
              <w:tc>
                <w:tcPr>
                  <w:tcW w:w="916" w:type="dxa"/>
                  <w:tcBorders>
                    <w:tl2br w:val="nil"/>
                    <w:tr2bl w:val="nil"/>
                  </w:tcBorders>
                  <w:vAlign w:val="center"/>
                </w:tcPr>
                <w:p w14:paraId="62AEB8BB">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w:t>
                  </w:r>
                </w:p>
              </w:tc>
              <w:tc>
                <w:tcPr>
                  <w:tcW w:w="730" w:type="dxa"/>
                  <w:tcBorders>
                    <w:tl2br w:val="nil"/>
                    <w:tr2bl w:val="nil"/>
                  </w:tcBorders>
                  <w:vAlign w:val="center"/>
                </w:tcPr>
                <w:p w14:paraId="2951AF51">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南</w:t>
                  </w:r>
                </w:p>
              </w:tc>
              <w:tc>
                <w:tcPr>
                  <w:tcW w:w="722" w:type="dxa"/>
                  <w:tcBorders>
                    <w:tl2br w:val="nil"/>
                    <w:tr2bl w:val="nil"/>
                  </w:tcBorders>
                  <w:vAlign w:val="center"/>
                </w:tcPr>
                <w:p w14:paraId="343218EE">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210m</w:t>
                  </w:r>
                </w:p>
              </w:tc>
              <w:tc>
                <w:tcPr>
                  <w:tcW w:w="2324" w:type="dxa"/>
                  <w:tcBorders>
                    <w:tl2br w:val="nil"/>
                    <w:tr2bl w:val="nil"/>
                  </w:tcBorders>
                  <w:vAlign w:val="center"/>
                </w:tcPr>
                <w:p w14:paraId="1345BC9F">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zh-CN" w:eastAsia="zh-CN" w:bidi="en-US"/>
                    </w:rPr>
                  </w:pPr>
                  <w:r>
                    <w:rPr>
                      <w:rFonts w:hint="default" w:ascii="Times New Roman" w:hAnsi="Times New Roman" w:eastAsia="宋体" w:cs="Times New Roman"/>
                      <w:color w:val="auto"/>
                      <w:kern w:val="0"/>
                      <w:sz w:val="21"/>
                      <w:szCs w:val="21"/>
                      <w:highlight w:val="none"/>
                      <w:u w:val="none" w:color="auto"/>
                      <w:lang w:val="zh-CN" w:eastAsia="zh-CN" w:bidi="en-US"/>
                    </w:rPr>
                    <w:t>GB3095-2012《环境空气质量标准》及其修改单</w:t>
                  </w:r>
                  <w:r>
                    <w:rPr>
                      <w:rFonts w:hint="eastAsia" w:cs="Times New Roman"/>
                      <w:color w:val="auto"/>
                      <w:kern w:val="0"/>
                      <w:sz w:val="21"/>
                      <w:szCs w:val="21"/>
                      <w:highlight w:val="none"/>
                      <w:u w:val="none" w:color="auto"/>
                      <w:lang w:val="en-US" w:eastAsia="zh-CN" w:bidi="en-US"/>
                    </w:rPr>
                    <w:t>二</w:t>
                  </w:r>
                  <w:r>
                    <w:rPr>
                      <w:rFonts w:hint="default" w:ascii="Times New Roman" w:hAnsi="Times New Roman" w:eastAsia="宋体" w:cs="Times New Roman"/>
                      <w:color w:val="auto"/>
                      <w:kern w:val="0"/>
                      <w:sz w:val="21"/>
                      <w:szCs w:val="21"/>
                      <w:highlight w:val="none"/>
                      <w:u w:val="none" w:color="auto"/>
                      <w:lang w:val="zh-CN" w:eastAsia="zh-CN" w:bidi="en-US"/>
                    </w:rPr>
                    <w:t>级标准</w:t>
                  </w:r>
                </w:p>
              </w:tc>
            </w:tr>
            <w:tr w14:paraId="4B2E0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352" w:type="dxa"/>
                  <w:gridSpan w:val="3"/>
                  <w:tcBorders>
                    <w:tl2br w:val="nil"/>
                    <w:tr2bl w:val="nil"/>
                  </w:tcBorders>
                  <w:vAlign w:val="center"/>
                </w:tcPr>
                <w:p w14:paraId="5A0AC90C">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ascii="Times New Roman" w:hAnsi="Times New Roman" w:eastAsia="宋体" w:cs="Times New Roman"/>
                      <w:color w:val="auto"/>
                      <w:kern w:val="0"/>
                      <w:sz w:val="21"/>
                      <w:szCs w:val="21"/>
                      <w:highlight w:val="none"/>
                      <w:u w:val="none" w:color="auto"/>
                      <w:lang w:val="en-US" w:eastAsia="zh-CN" w:bidi="en-US"/>
                    </w:rPr>
                    <w:t>水环境</w:t>
                  </w:r>
                </w:p>
              </w:tc>
              <w:tc>
                <w:tcPr>
                  <w:tcW w:w="1074" w:type="dxa"/>
                  <w:tcBorders>
                    <w:tl2br w:val="nil"/>
                    <w:tr2bl w:val="nil"/>
                  </w:tcBorders>
                  <w:vAlign w:val="center"/>
                </w:tcPr>
                <w:p w14:paraId="0008667A">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eastAsia" w:ascii="Times New Roman" w:hAnsi="Times New Roman" w:eastAsia="宋体" w:cs="Times New Roman"/>
                      <w:color w:val="auto"/>
                      <w:kern w:val="0"/>
                      <w:sz w:val="21"/>
                      <w:szCs w:val="21"/>
                      <w:highlight w:val="none"/>
                      <w:u w:val="none" w:color="auto"/>
                      <w:lang w:val="zh-CN" w:eastAsia="zh-CN" w:bidi="en-US"/>
                    </w:rPr>
                  </w:pPr>
                  <w:r>
                    <w:rPr>
                      <w:rFonts w:hint="eastAsia" w:cs="Times New Roman"/>
                      <w:color w:val="auto"/>
                      <w:kern w:val="0"/>
                      <w:sz w:val="21"/>
                      <w:szCs w:val="21"/>
                      <w:highlight w:val="none"/>
                      <w:u w:val="none" w:color="auto"/>
                      <w:lang w:val="en-US" w:eastAsia="zh-CN" w:bidi="en-US"/>
                    </w:rPr>
                    <w:t>/</w:t>
                  </w:r>
                </w:p>
              </w:tc>
              <w:tc>
                <w:tcPr>
                  <w:tcW w:w="1053" w:type="dxa"/>
                  <w:tcBorders>
                    <w:tl2br w:val="nil"/>
                    <w:tr2bl w:val="nil"/>
                  </w:tcBorders>
                  <w:vAlign w:val="center"/>
                </w:tcPr>
                <w:p w14:paraId="6FDB5852">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良凤江</w:t>
                  </w:r>
                </w:p>
              </w:tc>
              <w:tc>
                <w:tcPr>
                  <w:tcW w:w="916" w:type="dxa"/>
                  <w:tcBorders>
                    <w:tl2br w:val="nil"/>
                    <w:tr2bl w:val="nil"/>
                  </w:tcBorders>
                  <w:vAlign w:val="center"/>
                </w:tcPr>
                <w:p w14:paraId="682BAB72">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地表水</w:t>
                  </w:r>
                </w:p>
              </w:tc>
              <w:tc>
                <w:tcPr>
                  <w:tcW w:w="730" w:type="dxa"/>
                  <w:tcBorders>
                    <w:tl2br w:val="nil"/>
                    <w:tr2bl w:val="nil"/>
                  </w:tcBorders>
                  <w:vAlign w:val="center"/>
                </w:tcPr>
                <w:p w14:paraId="2D45EA70">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eastAsia" w:ascii="Times New Roman" w:hAnsi="Times New Roman" w:eastAsia="宋体" w:cs="Times New Roman"/>
                      <w:color w:val="auto"/>
                      <w:kern w:val="0"/>
                      <w:sz w:val="21"/>
                      <w:szCs w:val="21"/>
                      <w:highlight w:val="none"/>
                      <w:u w:val="none" w:color="auto"/>
                      <w:lang w:val="zh-CN" w:eastAsia="zh-CN" w:bidi="en-US"/>
                    </w:rPr>
                  </w:pPr>
                  <w:r>
                    <w:rPr>
                      <w:rFonts w:hint="eastAsia" w:cs="Times New Roman"/>
                      <w:color w:val="auto"/>
                      <w:kern w:val="0"/>
                      <w:sz w:val="21"/>
                      <w:szCs w:val="21"/>
                      <w:highlight w:val="none"/>
                      <w:u w:val="none" w:color="auto"/>
                      <w:lang w:val="en-US" w:eastAsia="zh-CN" w:bidi="en-US"/>
                    </w:rPr>
                    <w:t>东</w:t>
                  </w:r>
                </w:p>
              </w:tc>
              <w:tc>
                <w:tcPr>
                  <w:tcW w:w="722" w:type="dxa"/>
                  <w:tcBorders>
                    <w:tl2br w:val="nil"/>
                    <w:tr2bl w:val="nil"/>
                  </w:tcBorders>
                  <w:vAlign w:val="center"/>
                </w:tcPr>
                <w:p w14:paraId="50AE9BCA">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cs="Times New Roman"/>
                      <w:color w:val="auto"/>
                      <w:kern w:val="0"/>
                      <w:sz w:val="21"/>
                      <w:szCs w:val="21"/>
                      <w:highlight w:val="none"/>
                      <w:u w:val="none" w:color="auto"/>
                      <w:lang w:val="en-US" w:eastAsia="zh-CN" w:bidi="en-US"/>
                    </w:rPr>
                    <w:t>150m</w:t>
                  </w:r>
                </w:p>
              </w:tc>
              <w:tc>
                <w:tcPr>
                  <w:tcW w:w="2324" w:type="dxa"/>
                  <w:tcBorders>
                    <w:tl2br w:val="nil"/>
                    <w:tr2bl w:val="nil"/>
                  </w:tcBorders>
                  <w:vAlign w:val="center"/>
                </w:tcPr>
                <w:p w14:paraId="135DB3E5">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zh-CN" w:eastAsia="zh-CN" w:bidi="en-US"/>
                    </w:rPr>
                  </w:pPr>
                  <w:r>
                    <w:rPr>
                      <w:rFonts w:hint="default" w:ascii="Times New Roman" w:hAnsi="Times New Roman" w:eastAsia="宋体" w:cs="Times New Roman"/>
                      <w:color w:val="auto"/>
                      <w:kern w:val="0"/>
                      <w:sz w:val="21"/>
                      <w:szCs w:val="21"/>
                      <w:highlight w:val="none"/>
                      <w:u w:val="none" w:color="auto"/>
                      <w:lang w:val="zh-CN" w:eastAsia="zh-CN" w:bidi="en-US"/>
                    </w:rPr>
                    <w:t>《地表水环境质量标准》（GB 3838-2002）Ⅳ类标准</w:t>
                  </w:r>
                </w:p>
              </w:tc>
            </w:tr>
          </w:tbl>
          <w:p w14:paraId="0DBF1FAF">
            <w:pPr>
              <w:adjustRightInd w:val="0"/>
              <w:snapToGrid w:val="0"/>
              <w:ind w:firstLine="480"/>
              <w:rPr>
                <w:rFonts w:hint="default" w:eastAsia="宋体"/>
                <w:color w:val="auto"/>
                <w:kern w:val="0"/>
                <w:szCs w:val="21"/>
                <w:u w:val="none" w:color="auto"/>
                <w:lang w:val="en-US" w:eastAsia="zh-CN"/>
              </w:rPr>
            </w:pPr>
            <w:r>
              <w:rPr>
                <w:rFonts w:hint="eastAsia"/>
                <w:color w:val="auto"/>
                <w:kern w:val="0"/>
                <w:szCs w:val="21"/>
                <w:u w:val="none" w:color="auto"/>
                <w:lang w:val="en-US" w:eastAsia="zh-CN"/>
              </w:rPr>
              <w:t>备注：周边居民饮用水由城区供水，水源为邕江。</w:t>
            </w:r>
          </w:p>
          <w:p w14:paraId="3F274DBE">
            <w:pPr>
              <w:pStyle w:val="29"/>
              <w:keepNext w:val="0"/>
              <w:keepLines w:val="0"/>
              <w:pageBreakBefore w:val="0"/>
              <w:kinsoku/>
              <w:wordWrap/>
              <w:overflowPunct/>
              <w:topLinePunct w:val="0"/>
              <w:bidi w:val="0"/>
              <w:snapToGrid/>
              <w:spacing w:line="480" w:lineRule="exact"/>
              <w:ind w:firstLine="480" w:firstLineChars="200"/>
              <w:textAlignment w:val="auto"/>
              <w:rPr>
                <w:color w:val="auto"/>
                <w:kern w:val="0"/>
                <w:szCs w:val="21"/>
                <w:u w:val="none" w:color="auto"/>
              </w:rPr>
            </w:pPr>
          </w:p>
          <w:p w14:paraId="1760E382">
            <w:pPr>
              <w:pStyle w:val="29"/>
              <w:rPr>
                <w:color w:val="auto"/>
                <w:kern w:val="0"/>
                <w:szCs w:val="21"/>
                <w:u w:val="none" w:color="auto"/>
              </w:rPr>
            </w:pPr>
          </w:p>
        </w:tc>
      </w:tr>
      <w:tr w14:paraId="3CA42A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6" w:hRule="atLeast"/>
          <w:jc w:val="center"/>
        </w:trPr>
        <w:tc>
          <w:tcPr>
            <w:tcW w:w="456" w:type="dxa"/>
            <w:tcMar>
              <w:left w:w="28" w:type="dxa"/>
              <w:right w:w="28" w:type="dxa"/>
            </w:tcMar>
            <w:vAlign w:val="center"/>
          </w:tcPr>
          <w:p w14:paraId="42A5E37F">
            <w:pPr>
              <w:adjustRightInd w:val="0"/>
              <w:snapToGrid w:val="0"/>
              <w:ind w:firstLine="0" w:firstLineChars="0"/>
              <w:jc w:val="center"/>
              <w:rPr>
                <w:color w:val="auto"/>
                <w:kern w:val="0"/>
                <w:szCs w:val="21"/>
                <w:u w:val="none" w:color="auto"/>
              </w:rPr>
            </w:pPr>
            <w:r>
              <w:rPr>
                <w:color w:val="auto"/>
                <w:kern w:val="0"/>
                <w:szCs w:val="21"/>
                <w:u w:val="none" w:color="auto"/>
              </w:rPr>
              <w:t>污染</w:t>
            </w:r>
          </w:p>
          <w:p w14:paraId="7E939A58">
            <w:pPr>
              <w:adjustRightInd w:val="0"/>
              <w:snapToGrid w:val="0"/>
              <w:ind w:firstLine="0" w:firstLineChars="0"/>
              <w:jc w:val="center"/>
              <w:rPr>
                <w:color w:val="auto"/>
                <w:kern w:val="0"/>
                <w:szCs w:val="21"/>
                <w:u w:val="none" w:color="auto"/>
              </w:rPr>
            </w:pPr>
            <w:r>
              <w:rPr>
                <w:color w:val="auto"/>
                <w:kern w:val="0"/>
                <w:szCs w:val="21"/>
                <w:u w:val="none" w:color="auto"/>
              </w:rPr>
              <w:t>物排</w:t>
            </w:r>
          </w:p>
          <w:p w14:paraId="44D127F2">
            <w:pPr>
              <w:adjustRightInd w:val="0"/>
              <w:snapToGrid w:val="0"/>
              <w:ind w:firstLine="0" w:firstLineChars="0"/>
              <w:jc w:val="center"/>
              <w:rPr>
                <w:color w:val="auto"/>
                <w:kern w:val="0"/>
                <w:szCs w:val="21"/>
                <w:u w:val="none" w:color="auto"/>
              </w:rPr>
            </w:pPr>
            <w:r>
              <w:rPr>
                <w:color w:val="auto"/>
                <w:kern w:val="0"/>
                <w:szCs w:val="21"/>
                <w:u w:val="none" w:color="auto"/>
              </w:rPr>
              <w:t>放控</w:t>
            </w:r>
          </w:p>
          <w:p w14:paraId="62E69196">
            <w:pPr>
              <w:adjustRightInd w:val="0"/>
              <w:snapToGrid w:val="0"/>
              <w:ind w:firstLine="0" w:firstLineChars="0"/>
              <w:jc w:val="center"/>
              <w:rPr>
                <w:color w:val="auto"/>
                <w:kern w:val="0"/>
                <w:szCs w:val="21"/>
                <w:u w:val="none" w:color="auto"/>
              </w:rPr>
            </w:pPr>
            <w:r>
              <w:rPr>
                <w:color w:val="auto"/>
                <w:kern w:val="0"/>
                <w:szCs w:val="21"/>
                <w:u w:val="none" w:color="auto"/>
              </w:rPr>
              <w:t>制标</w:t>
            </w:r>
          </w:p>
          <w:p w14:paraId="09E56863">
            <w:pPr>
              <w:adjustRightInd w:val="0"/>
              <w:snapToGrid w:val="0"/>
              <w:ind w:firstLine="0" w:firstLineChars="0"/>
              <w:jc w:val="center"/>
              <w:rPr>
                <w:color w:val="auto"/>
                <w:kern w:val="0"/>
                <w:szCs w:val="21"/>
                <w:u w:val="none" w:color="auto"/>
              </w:rPr>
            </w:pPr>
            <w:r>
              <w:rPr>
                <w:color w:val="auto"/>
                <w:kern w:val="0"/>
                <w:szCs w:val="21"/>
                <w:u w:val="none" w:color="auto"/>
              </w:rPr>
              <w:t>准</w:t>
            </w:r>
          </w:p>
        </w:tc>
        <w:tc>
          <w:tcPr>
            <w:tcW w:w="9544" w:type="dxa"/>
            <w:vAlign w:val="center"/>
          </w:tcPr>
          <w:p w14:paraId="4D546E3D">
            <w:pPr>
              <w:numPr>
                <w:ilvl w:val="0"/>
                <w:numId w:val="9"/>
              </w:numPr>
              <w:tabs>
                <w:tab w:val="left" w:pos="3978"/>
                <w:tab w:val="center" w:pos="4931"/>
              </w:tabs>
              <w:adjustRightInd w:val="0"/>
              <w:snapToGrid w:val="0"/>
              <w:ind w:firstLine="480"/>
              <w:jc w:val="left"/>
              <w:rPr>
                <w:color w:val="auto"/>
                <w:u w:val="none" w:color="auto"/>
              </w:rPr>
            </w:pPr>
            <w:r>
              <w:rPr>
                <w:color w:val="auto"/>
                <w:u w:val="none" w:color="auto"/>
                <w:lang w:bidi="ar"/>
              </w:rPr>
              <w:t>大气污染物排放标准</w:t>
            </w:r>
          </w:p>
          <w:p w14:paraId="1C8CB18C">
            <w:pPr>
              <w:tabs>
                <w:tab w:val="left" w:pos="3978"/>
                <w:tab w:val="center" w:pos="4931"/>
              </w:tabs>
              <w:adjustRightInd w:val="0"/>
              <w:snapToGrid w:val="0"/>
              <w:ind w:firstLine="480"/>
              <w:jc w:val="left"/>
              <w:rPr>
                <w:rFonts w:hint="default"/>
                <w:color w:val="auto"/>
                <w:u w:val="none" w:color="auto"/>
                <w:lang w:val="en-US" w:eastAsia="zh-CN" w:bidi="ar"/>
              </w:rPr>
            </w:pPr>
            <w:r>
              <w:rPr>
                <w:rFonts w:hint="eastAsia"/>
                <w:color w:val="auto"/>
                <w:u w:val="none" w:color="auto"/>
                <w:lang w:eastAsia="zh-CN" w:bidi="ar"/>
              </w:rPr>
              <w:t>（</w:t>
            </w:r>
            <w:r>
              <w:rPr>
                <w:rFonts w:hint="eastAsia"/>
                <w:color w:val="auto"/>
                <w:u w:val="none" w:color="auto"/>
                <w:lang w:val="en-US" w:eastAsia="zh-CN" w:bidi="ar"/>
              </w:rPr>
              <w:t>1</w:t>
            </w:r>
            <w:r>
              <w:rPr>
                <w:rFonts w:hint="eastAsia"/>
                <w:color w:val="auto"/>
                <w:u w:val="none" w:color="auto"/>
                <w:lang w:eastAsia="zh-CN" w:bidi="ar"/>
              </w:rPr>
              <w:t>）</w:t>
            </w:r>
            <w:r>
              <w:rPr>
                <w:rFonts w:hint="eastAsia"/>
                <w:color w:val="auto"/>
                <w:u w:val="none" w:color="auto"/>
                <w:lang w:val="en-US" w:eastAsia="zh-CN" w:bidi="ar"/>
              </w:rPr>
              <w:t>施工期</w:t>
            </w:r>
          </w:p>
          <w:p w14:paraId="0A438F2C">
            <w:pPr>
              <w:tabs>
                <w:tab w:val="left" w:pos="3978"/>
                <w:tab w:val="center" w:pos="4931"/>
              </w:tabs>
              <w:adjustRightInd w:val="0"/>
              <w:snapToGrid w:val="0"/>
              <w:ind w:firstLine="480"/>
              <w:jc w:val="left"/>
              <w:rPr>
                <w:rFonts w:hint="eastAsia" w:eastAsia="宋体"/>
                <w:color w:val="auto"/>
                <w:u w:val="none" w:color="auto"/>
                <w:lang w:eastAsia="zh-CN" w:bidi="ar"/>
              </w:rPr>
            </w:pPr>
            <w:r>
              <w:rPr>
                <w:color w:val="auto"/>
                <w:u w:val="none" w:color="auto"/>
                <w:lang w:bidi="ar"/>
              </w:rPr>
              <w:t>项目施工期污染物主要为颗粒物，颗粒物参照执行《大气污染物综合排放标准》（GB16297-1996）中表2的颗粒物无组织排放监控浓度限值要求，详见下表</w:t>
            </w:r>
            <w:r>
              <w:rPr>
                <w:rFonts w:hint="eastAsia"/>
                <w:color w:val="auto"/>
                <w:u w:val="none" w:color="auto"/>
                <w:lang w:eastAsia="zh-CN" w:bidi="ar"/>
              </w:rPr>
              <w:t>：</w:t>
            </w:r>
          </w:p>
          <w:p w14:paraId="22FCABC2">
            <w:pPr>
              <w:pStyle w:val="10"/>
              <w:numPr>
                <w:ilvl w:val="0"/>
                <w:numId w:val="3"/>
              </w:numPr>
              <w:ind w:left="0" w:firstLine="0" w:firstLineChars="0"/>
              <w:jc w:val="center"/>
              <w:rPr>
                <w:rFonts w:ascii="黑体" w:hAnsi="黑体" w:eastAsia="黑体"/>
                <w:b w:val="0"/>
                <w:color w:val="auto"/>
                <w:u w:val="none" w:color="auto"/>
              </w:rPr>
            </w:pPr>
            <w:r>
              <w:rPr>
                <w:rFonts w:ascii="黑体" w:hAnsi="黑体" w:eastAsia="黑体"/>
                <w:b w:val="0"/>
                <w:color w:val="auto"/>
                <w:u w:val="none" w:color="auto"/>
              </w:rPr>
              <w:t>《大气污染物综合排放标准》（GB16297-1996）</w:t>
            </w:r>
          </w:p>
          <w:tbl>
            <w:tblPr>
              <w:tblStyle w:val="2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7"/>
              <w:gridCol w:w="3842"/>
              <w:gridCol w:w="2595"/>
            </w:tblGrid>
            <w:tr w14:paraId="2FB59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6C351D3">
                  <w:pPr>
                    <w:spacing w:line="240" w:lineRule="auto"/>
                    <w:ind w:firstLine="0" w:firstLineChars="0"/>
                    <w:jc w:val="center"/>
                    <w:rPr>
                      <w:color w:val="auto"/>
                      <w:sz w:val="21"/>
                      <w:szCs w:val="21"/>
                      <w:u w:val="none" w:color="auto"/>
                    </w:rPr>
                  </w:pPr>
                  <w:r>
                    <w:rPr>
                      <w:color w:val="auto"/>
                      <w:sz w:val="21"/>
                      <w:szCs w:val="21"/>
                      <w:u w:val="none" w:color="auto"/>
                    </w:rPr>
                    <w:t>污染物</w:t>
                  </w:r>
                </w:p>
              </w:tc>
              <w:tc>
                <w:tcPr>
                  <w:tcW w:w="64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751CE18">
                  <w:pPr>
                    <w:spacing w:line="240" w:lineRule="auto"/>
                    <w:ind w:firstLine="0" w:firstLineChars="0"/>
                    <w:jc w:val="center"/>
                    <w:rPr>
                      <w:color w:val="auto"/>
                      <w:sz w:val="21"/>
                      <w:szCs w:val="21"/>
                      <w:u w:val="none" w:color="auto"/>
                    </w:rPr>
                  </w:pPr>
                  <w:r>
                    <w:rPr>
                      <w:color w:val="auto"/>
                      <w:sz w:val="21"/>
                      <w:szCs w:val="21"/>
                      <w:u w:val="none" w:color="auto"/>
                    </w:rPr>
                    <w:t>无组织排放监控浓度限值</w:t>
                  </w:r>
                </w:p>
              </w:tc>
            </w:tr>
            <w:tr w14:paraId="6FB05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14A860">
                  <w:pPr>
                    <w:spacing w:line="240" w:lineRule="auto"/>
                    <w:ind w:firstLine="0" w:firstLineChars="0"/>
                    <w:jc w:val="center"/>
                    <w:rPr>
                      <w:color w:val="auto"/>
                      <w:sz w:val="21"/>
                      <w:szCs w:val="21"/>
                      <w:u w:val="none" w:color="auto"/>
                    </w:rPr>
                  </w:pPr>
                </w:p>
              </w:tc>
              <w:tc>
                <w:tcPr>
                  <w:tcW w:w="3842" w:type="dxa"/>
                  <w:tcBorders>
                    <w:top w:val="single" w:color="auto" w:sz="4" w:space="0"/>
                    <w:left w:val="single" w:color="auto" w:sz="4" w:space="0"/>
                    <w:bottom w:val="single" w:color="auto" w:sz="4" w:space="0"/>
                    <w:right w:val="single" w:color="auto" w:sz="4" w:space="0"/>
                  </w:tcBorders>
                  <w:shd w:val="clear" w:color="auto" w:fill="auto"/>
                  <w:vAlign w:val="center"/>
                </w:tcPr>
                <w:p w14:paraId="2ACAB52D">
                  <w:pPr>
                    <w:spacing w:line="240" w:lineRule="auto"/>
                    <w:ind w:firstLine="0" w:firstLineChars="0"/>
                    <w:jc w:val="center"/>
                    <w:rPr>
                      <w:color w:val="auto"/>
                      <w:sz w:val="21"/>
                      <w:szCs w:val="21"/>
                      <w:u w:val="none" w:color="auto"/>
                    </w:rPr>
                  </w:pPr>
                  <w:r>
                    <w:rPr>
                      <w:color w:val="auto"/>
                      <w:sz w:val="21"/>
                      <w:szCs w:val="21"/>
                      <w:u w:val="none" w:color="auto"/>
                    </w:rPr>
                    <w:t>监控点</w:t>
                  </w:r>
                </w:p>
              </w:tc>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14:paraId="6C8EF5EE">
                  <w:pPr>
                    <w:spacing w:line="240" w:lineRule="auto"/>
                    <w:ind w:firstLine="0" w:firstLineChars="0"/>
                    <w:jc w:val="center"/>
                    <w:rPr>
                      <w:color w:val="auto"/>
                      <w:sz w:val="21"/>
                      <w:szCs w:val="21"/>
                      <w:u w:val="none" w:color="auto"/>
                    </w:rPr>
                  </w:pPr>
                  <w:r>
                    <w:rPr>
                      <w:color w:val="auto"/>
                      <w:sz w:val="21"/>
                      <w:szCs w:val="21"/>
                      <w:u w:val="none" w:color="auto"/>
                    </w:rPr>
                    <w:t>浓度（mg/m</w:t>
                  </w:r>
                  <w:r>
                    <w:rPr>
                      <w:color w:val="auto"/>
                      <w:sz w:val="21"/>
                      <w:szCs w:val="21"/>
                      <w:u w:val="none" w:color="auto"/>
                      <w:vertAlign w:val="superscript"/>
                    </w:rPr>
                    <w:t>3</w:t>
                  </w:r>
                  <w:r>
                    <w:rPr>
                      <w:color w:val="auto"/>
                      <w:sz w:val="21"/>
                      <w:szCs w:val="21"/>
                      <w:u w:val="none" w:color="auto"/>
                    </w:rPr>
                    <w:t>）</w:t>
                  </w:r>
                </w:p>
              </w:tc>
            </w:tr>
            <w:tr w14:paraId="3DBF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7" w:type="dxa"/>
                  <w:tcBorders>
                    <w:top w:val="single" w:color="auto" w:sz="4" w:space="0"/>
                    <w:left w:val="single" w:color="auto" w:sz="4" w:space="0"/>
                    <w:bottom w:val="single" w:color="auto" w:sz="4" w:space="0"/>
                    <w:right w:val="single" w:color="auto" w:sz="4" w:space="0"/>
                  </w:tcBorders>
                  <w:shd w:val="clear" w:color="auto" w:fill="auto"/>
                  <w:vAlign w:val="center"/>
                </w:tcPr>
                <w:p w14:paraId="5F487E00">
                  <w:pPr>
                    <w:spacing w:line="240" w:lineRule="auto"/>
                    <w:ind w:firstLine="0" w:firstLineChars="0"/>
                    <w:jc w:val="center"/>
                    <w:rPr>
                      <w:color w:val="auto"/>
                      <w:sz w:val="21"/>
                      <w:szCs w:val="21"/>
                      <w:u w:val="none" w:color="auto"/>
                    </w:rPr>
                  </w:pPr>
                  <w:r>
                    <w:rPr>
                      <w:color w:val="auto"/>
                      <w:sz w:val="21"/>
                      <w:szCs w:val="21"/>
                      <w:u w:val="none" w:color="auto"/>
                    </w:rPr>
                    <w:t>颗粒物</w:t>
                  </w:r>
                </w:p>
              </w:tc>
              <w:tc>
                <w:tcPr>
                  <w:tcW w:w="3842" w:type="dxa"/>
                  <w:tcBorders>
                    <w:top w:val="single" w:color="auto" w:sz="4" w:space="0"/>
                    <w:left w:val="single" w:color="auto" w:sz="4" w:space="0"/>
                    <w:bottom w:val="single" w:color="auto" w:sz="4" w:space="0"/>
                    <w:right w:val="single" w:color="auto" w:sz="4" w:space="0"/>
                  </w:tcBorders>
                  <w:shd w:val="clear" w:color="auto" w:fill="auto"/>
                  <w:vAlign w:val="center"/>
                </w:tcPr>
                <w:p w14:paraId="45B082AC">
                  <w:pPr>
                    <w:spacing w:line="240" w:lineRule="auto"/>
                    <w:ind w:firstLine="0" w:firstLineChars="0"/>
                    <w:jc w:val="center"/>
                    <w:rPr>
                      <w:color w:val="auto"/>
                      <w:sz w:val="21"/>
                      <w:szCs w:val="21"/>
                      <w:u w:val="none" w:color="auto"/>
                    </w:rPr>
                  </w:pPr>
                  <w:r>
                    <w:rPr>
                      <w:color w:val="auto"/>
                      <w:sz w:val="21"/>
                      <w:szCs w:val="21"/>
                      <w:u w:val="none" w:color="auto"/>
                    </w:rPr>
                    <w:t>周界外浓度最高点</w:t>
                  </w:r>
                </w:p>
              </w:tc>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14:paraId="133F6D34">
                  <w:pPr>
                    <w:spacing w:line="240" w:lineRule="auto"/>
                    <w:ind w:firstLine="0" w:firstLineChars="0"/>
                    <w:jc w:val="center"/>
                    <w:rPr>
                      <w:color w:val="auto"/>
                      <w:sz w:val="21"/>
                      <w:szCs w:val="21"/>
                      <w:u w:val="none" w:color="auto"/>
                    </w:rPr>
                  </w:pPr>
                  <w:r>
                    <w:rPr>
                      <w:color w:val="auto"/>
                      <w:sz w:val="21"/>
                      <w:szCs w:val="21"/>
                      <w:u w:val="none" w:color="auto"/>
                    </w:rPr>
                    <w:t>1.0</w:t>
                  </w:r>
                </w:p>
              </w:tc>
            </w:tr>
          </w:tbl>
          <w:p w14:paraId="6D0B0D5E">
            <w:pPr>
              <w:numPr>
                <w:ilvl w:val="0"/>
                <w:numId w:val="10"/>
              </w:numPr>
              <w:tabs>
                <w:tab w:val="left" w:pos="3978"/>
                <w:tab w:val="center" w:pos="4931"/>
              </w:tabs>
              <w:adjustRightInd w:val="0"/>
              <w:snapToGrid w:val="0"/>
              <w:spacing w:before="120" w:beforeLines="50"/>
              <w:ind w:firstLine="480"/>
              <w:jc w:val="left"/>
              <w:rPr>
                <w:rFonts w:hint="eastAsia"/>
                <w:color w:val="auto"/>
                <w:u w:val="none" w:color="auto"/>
                <w:lang w:val="en-US" w:eastAsia="zh-CN"/>
              </w:rPr>
            </w:pPr>
            <w:r>
              <w:rPr>
                <w:rFonts w:hint="eastAsia"/>
                <w:color w:val="auto"/>
                <w:u w:val="none" w:color="auto"/>
                <w:lang w:val="en-US" w:eastAsia="zh-CN"/>
              </w:rPr>
              <w:t>运营期</w:t>
            </w:r>
          </w:p>
          <w:p w14:paraId="276E6133">
            <w:pPr>
              <w:bidi w:val="0"/>
              <w:rPr>
                <w:rFonts w:hint="eastAsia" w:eastAsia="宋体"/>
                <w:color w:val="auto"/>
                <w:u w:val="none" w:color="auto"/>
                <w:lang w:eastAsia="zh-CN"/>
              </w:rPr>
            </w:pPr>
            <w:r>
              <w:rPr>
                <w:rFonts w:hint="eastAsia"/>
                <w:color w:val="auto"/>
                <w:u w:val="none" w:color="auto"/>
              </w:rPr>
              <w:t>项目</w:t>
            </w:r>
            <w:r>
              <w:rPr>
                <w:rFonts w:hint="eastAsia"/>
                <w:color w:val="auto"/>
                <w:u w:val="none" w:color="auto"/>
                <w:lang w:val="en-US" w:eastAsia="zh-CN"/>
              </w:rPr>
              <w:t>运营期污水处理站周边空气中的污染物执行</w:t>
            </w:r>
            <w:r>
              <w:rPr>
                <w:rFonts w:hint="eastAsia"/>
                <w:color w:val="auto"/>
                <w:u w:val="none" w:color="auto"/>
              </w:rPr>
              <w:t>《医疗机构水污染物排放标准》（GB 18466-2005）表3中污水处理站周边大气污染物最高允许浓度</w:t>
            </w:r>
            <w:r>
              <w:rPr>
                <w:rFonts w:hint="eastAsia"/>
                <w:color w:val="auto"/>
                <w:u w:val="none" w:color="auto"/>
                <w:lang w:eastAsia="zh-CN"/>
              </w:rPr>
              <w:t>，</w:t>
            </w:r>
            <w:r>
              <w:rPr>
                <w:rFonts w:hint="eastAsia"/>
                <w:color w:val="auto"/>
                <w:u w:val="none" w:color="auto"/>
              </w:rPr>
              <w:t>具体见下表</w:t>
            </w:r>
            <w:r>
              <w:rPr>
                <w:rFonts w:hint="eastAsia"/>
                <w:color w:val="auto"/>
                <w:u w:val="none" w:color="auto"/>
                <w:lang w:eastAsia="zh-CN"/>
              </w:rPr>
              <w:t>：</w:t>
            </w:r>
          </w:p>
          <w:p w14:paraId="3B0E8AAD">
            <w:pPr>
              <w:pStyle w:val="10"/>
              <w:numPr>
                <w:ilvl w:val="0"/>
                <w:numId w:val="3"/>
              </w:numPr>
              <w:ind w:left="0" w:firstLine="0" w:firstLineChars="0"/>
              <w:jc w:val="center"/>
              <w:rPr>
                <w:rFonts w:hint="eastAsia" w:ascii="黑体" w:hAnsi="黑体" w:eastAsia="黑体"/>
                <w:b w:val="0"/>
                <w:color w:val="auto"/>
                <w:u w:val="none" w:color="auto"/>
              </w:rPr>
            </w:pPr>
            <w:r>
              <w:rPr>
                <w:rFonts w:hint="eastAsia" w:ascii="黑体" w:hAnsi="黑体" w:eastAsia="黑体"/>
                <w:b w:val="0"/>
                <w:color w:val="auto"/>
                <w:u w:val="none" w:color="auto"/>
              </w:rPr>
              <w:t>《医疗机构水污染物排放标准》</w:t>
            </w:r>
          </w:p>
          <w:tbl>
            <w:tblPr>
              <w:tblStyle w:val="22"/>
              <w:tblW w:w="850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887"/>
              <w:gridCol w:w="5617"/>
            </w:tblGrid>
            <w:tr w14:paraId="3A1E42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2887" w:type="dxa"/>
                  <w:tcBorders>
                    <w:top w:val="single" w:color="auto" w:sz="6" w:space="0"/>
                    <w:left w:val="single" w:color="auto" w:sz="0" w:space="0"/>
                  </w:tcBorders>
                  <w:vAlign w:val="center"/>
                </w:tcPr>
                <w:p w14:paraId="0DE741B6">
                  <w:pPr>
                    <w:pStyle w:val="3"/>
                    <w:keepNext/>
                    <w:keepLines/>
                    <w:pageBreakBefore w:val="0"/>
                    <w:widowControl w:val="0"/>
                    <w:kinsoku/>
                    <w:wordWrap/>
                    <w:overflowPunct/>
                    <w:topLinePunct w:val="0"/>
                    <w:autoSpaceDE/>
                    <w:autoSpaceDN/>
                    <w:bidi w:val="0"/>
                    <w:adjustRightInd/>
                    <w:snapToGrid/>
                    <w:spacing w:before="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lang w:val="zh-CN"/>
                    </w:rPr>
                    <w:t>污染物</w:t>
                  </w:r>
                </w:p>
              </w:tc>
              <w:tc>
                <w:tcPr>
                  <w:tcW w:w="5617" w:type="dxa"/>
                  <w:tcBorders>
                    <w:top w:val="single" w:color="auto" w:sz="6" w:space="0"/>
                    <w:right w:val="single" w:color="auto" w:sz="6" w:space="0"/>
                  </w:tcBorders>
                  <w:vAlign w:val="center"/>
                </w:tcPr>
                <w:p w14:paraId="6929B1F6">
                  <w:pPr>
                    <w:pStyle w:val="3"/>
                    <w:keepNext/>
                    <w:keepLines/>
                    <w:pageBreakBefore w:val="0"/>
                    <w:widowControl w:val="0"/>
                    <w:kinsoku/>
                    <w:wordWrap/>
                    <w:overflowPunct/>
                    <w:topLinePunct w:val="0"/>
                    <w:autoSpaceDE/>
                    <w:autoSpaceDN/>
                    <w:bidi w:val="0"/>
                    <w:adjustRightInd/>
                    <w:snapToGrid/>
                    <w:spacing w:before="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lang w:val="zh-CN"/>
                    </w:rPr>
                    <w:t>标准值（mg/m</w:t>
                  </w:r>
                  <w:r>
                    <w:rPr>
                      <w:rFonts w:hint="default" w:ascii="Times New Roman" w:hAnsi="Times New Roman" w:eastAsia="宋体" w:cs="Times New Roman"/>
                      <w:b w:val="0"/>
                      <w:bCs w:val="0"/>
                      <w:color w:val="auto"/>
                      <w:sz w:val="21"/>
                      <w:szCs w:val="21"/>
                      <w:u w:val="none" w:color="auto"/>
                      <w:vertAlign w:val="superscript"/>
                      <w:lang w:val="zh-CN"/>
                    </w:rPr>
                    <w:t>3</w:t>
                  </w:r>
                  <w:r>
                    <w:rPr>
                      <w:rFonts w:hint="default" w:ascii="Times New Roman" w:hAnsi="Times New Roman" w:eastAsia="宋体" w:cs="Times New Roman"/>
                      <w:b w:val="0"/>
                      <w:bCs w:val="0"/>
                      <w:color w:val="auto"/>
                      <w:sz w:val="21"/>
                      <w:szCs w:val="21"/>
                      <w:u w:val="none" w:color="auto"/>
                      <w:lang w:val="zh-CN"/>
                    </w:rPr>
                    <w:t>）</w:t>
                  </w:r>
                </w:p>
              </w:tc>
            </w:tr>
            <w:tr w14:paraId="2856D1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2887" w:type="dxa"/>
                  <w:tcBorders>
                    <w:left w:val="single" w:color="auto" w:sz="4" w:space="0"/>
                  </w:tcBorders>
                  <w:vAlign w:val="center"/>
                </w:tcPr>
                <w:p w14:paraId="0B4D95D6">
                  <w:pPr>
                    <w:pStyle w:val="3"/>
                    <w:keepNext/>
                    <w:keepLines/>
                    <w:pageBreakBefore w:val="0"/>
                    <w:widowControl w:val="0"/>
                    <w:kinsoku/>
                    <w:wordWrap/>
                    <w:overflowPunct/>
                    <w:topLinePunct w:val="0"/>
                    <w:autoSpaceDE/>
                    <w:autoSpaceDN/>
                    <w:bidi w:val="0"/>
                    <w:adjustRightInd/>
                    <w:snapToGrid/>
                    <w:spacing w:before="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rPr>
                    <w:t>氨</w:t>
                  </w:r>
                </w:p>
              </w:tc>
              <w:tc>
                <w:tcPr>
                  <w:tcW w:w="5617" w:type="dxa"/>
                  <w:tcBorders>
                    <w:right w:val="single" w:color="auto" w:sz="6" w:space="0"/>
                  </w:tcBorders>
                  <w:vAlign w:val="center"/>
                </w:tcPr>
                <w:p w14:paraId="0967633B">
                  <w:pPr>
                    <w:pStyle w:val="3"/>
                    <w:keepNext/>
                    <w:keepLines/>
                    <w:pageBreakBefore w:val="0"/>
                    <w:widowControl w:val="0"/>
                    <w:kinsoku/>
                    <w:wordWrap/>
                    <w:overflowPunct/>
                    <w:topLinePunct w:val="0"/>
                    <w:autoSpaceDE/>
                    <w:autoSpaceDN/>
                    <w:bidi w:val="0"/>
                    <w:adjustRightInd/>
                    <w:snapToGrid/>
                    <w:spacing w:before="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rPr>
                    <w:t>1.0</w:t>
                  </w:r>
                </w:p>
              </w:tc>
            </w:tr>
            <w:tr w14:paraId="6482C3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2887" w:type="dxa"/>
                  <w:tcBorders>
                    <w:left w:val="single" w:color="auto" w:sz="4" w:space="0"/>
                  </w:tcBorders>
                  <w:vAlign w:val="center"/>
                </w:tcPr>
                <w:p w14:paraId="40DA92FB">
                  <w:pPr>
                    <w:pStyle w:val="3"/>
                    <w:keepNext/>
                    <w:keepLines/>
                    <w:pageBreakBefore w:val="0"/>
                    <w:widowControl w:val="0"/>
                    <w:kinsoku/>
                    <w:wordWrap/>
                    <w:overflowPunct/>
                    <w:topLinePunct w:val="0"/>
                    <w:autoSpaceDE/>
                    <w:autoSpaceDN/>
                    <w:bidi w:val="0"/>
                    <w:adjustRightInd/>
                    <w:snapToGrid/>
                    <w:spacing w:before="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rPr>
                    <w:t>硫化氢</w:t>
                  </w:r>
                </w:p>
              </w:tc>
              <w:tc>
                <w:tcPr>
                  <w:tcW w:w="5617" w:type="dxa"/>
                  <w:tcBorders>
                    <w:right w:val="single" w:color="auto" w:sz="6" w:space="0"/>
                  </w:tcBorders>
                  <w:vAlign w:val="center"/>
                </w:tcPr>
                <w:p w14:paraId="6082183C">
                  <w:pPr>
                    <w:pStyle w:val="3"/>
                    <w:keepNext/>
                    <w:keepLines/>
                    <w:pageBreakBefore w:val="0"/>
                    <w:widowControl w:val="0"/>
                    <w:kinsoku/>
                    <w:wordWrap/>
                    <w:overflowPunct/>
                    <w:topLinePunct w:val="0"/>
                    <w:autoSpaceDE/>
                    <w:autoSpaceDN/>
                    <w:bidi w:val="0"/>
                    <w:adjustRightInd/>
                    <w:snapToGrid/>
                    <w:spacing w:before="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rPr>
                    <w:t>0.03</w:t>
                  </w:r>
                </w:p>
              </w:tc>
            </w:tr>
            <w:tr w14:paraId="603A63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2887" w:type="dxa"/>
                  <w:tcBorders>
                    <w:left w:val="single" w:color="auto" w:sz="4" w:space="0"/>
                  </w:tcBorders>
                  <w:vAlign w:val="center"/>
                </w:tcPr>
                <w:p w14:paraId="1651B3CC">
                  <w:pPr>
                    <w:pStyle w:val="3"/>
                    <w:keepNext/>
                    <w:keepLines/>
                    <w:pageBreakBefore w:val="0"/>
                    <w:widowControl w:val="0"/>
                    <w:kinsoku/>
                    <w:wordWrap/>
                    <w:overflowPunct/>
                    <w:topLinePunct w:val="0"/>
                    <w:autoSpaceDE/>
                    <w:autoSpaceDN/>
                    <w:bidi w:val="0"/>
                    <w:adjustRightInd/>
                    <w:snapToGrid/>
                    <w:spacing w:before="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rPr>
                    <w:t>臭气浓度</w:t>
                  </w:r>
                </w:p>
              </w:tc>
              <w:tc>
                <w:tcPr>
                  <w:tcW w:w="5617" w:type="dxa"/>
                  <w:tcBorders>
                    <w:right w:val="single" w:color="auto" w:sz="6" w:space="0"/>
                  </w:tcBorders>
                  <w:vAlign w:val="center"/>
                </w:tcPr>
                <w:p w14:paraId="67883599">
                  <w:pPr>
                    <w:pStyle w:val="3"/>
                    <w:keepNext/>
                    <w:keepLines/>
                    <w:pageBreakBefore w:val="0"/>
                    <w:widowControl w:val="0"/>
                    <w:kinsoku/>
                    <w:wordWrap/>
                    <w:overflowPunct/>
                    <w:topLinePunct w:val="0"/>
                    <w:autoSpaceDE/>
                    <w:autoSpaceDN/>
                    <w:bidi w:val="0"/>
                    <w:adjustRightInd/>
                    <w:snapToGrid/>
                    <w:spacing w:before="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rPr>
                    <w:t>10（无量纲）</w:t>
                  </w:r>
                </w:p>
              </w:tc>
            </w:tr>
            <w:tr w14:paraId="3952D3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2887" w:type="dxa"/>
                  <w:tcBorders>
                    <w:left w:val="single" w:color="auto" w:sz="4" w:space="0"/>
                    <w:bottom w:val="single" w:color="auto" w:sz="6" w:space="0"/>
                  </w:tcBorders>
                  <w:vAlign w:val="center"/>
                </w:tcPr>
                <w:p w14:paraId="561B9B1D">
                  <w:pPr>
                    <w:pStyle w:val="3"/>
                    <w:keepNext/>
                    <w:keepLines/>
                    <w:pageBreakBefore w:val="0"/>
                    <w:widowControl w:val="0"/>
                    <w:kinsoku/>
                    <w:wordWrap/>
                    <w:overflowPunct/>
                    <w:topLinePunct w:val="0"/>
                    <w:autoSpaceDE/>
                    <w:autoSpaceDN/>
                    <w:bidi w:val="0"/>
                    <w:adjustRightInd/>
                    <w:snapToGrid/>
                    <w:spacing w:before="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甲烷</w:t>
                  </w:r>
                </w:p>
              </w:tc>
              <w:tc>
                <w:tcPr>
                  <w:tcW w:w="5617" w:type="dxa"/>
                  <w:tcBorders>
                    <w:bottom w:val="single" w:color="auto" w:sz="6" w:space="0"/>
                    <w:right w:val="single" w:color="auto" w:sz="6" w:space="0"/>
                  </w:tcBorders>
                  <w:vAlign w:val="center"/>
                </w:tcPr>
                <w:p w14:paraId="51907853">
                  <w:pPr>
                    <w:pStyle w:val="3"/>
                    <w:keepNext/>
                    <w:keepLines/>
                    <w:pageBreakBefore w:val="0"/>
                    <w:widowControl w:val="0"/>
                    <w:kinsoku/>
                    <w:wordWrap/>
                    <w:overflowPunct/>
                    <w:topLinePunct w:val="0"/>
                    <w:autoSpaceDE/>
                    <w:autoSpaceDN/>
                    <w:bidi w:val="0"/>
                    <w:adjustRightInd/>
                    <w:snapToGrid/>
                    <w:spacing w:before="0" w:after="0" w:line="240" w:lineRule="atLeast"/>
                    <w:ind w:firstLine="0" w:firstLineChars="0"/>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1%（处理站内最高气体体积百分百）</w:t>
                  </w:r>
                </w:p>
              </w:tc>
            </w:tr>
          </w:tbl>
          <w:p w14:paraId="580324C4">
            <w:pPr>
              <w:bidi w:val="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场界</w:t>
            </w:r>
            <w:r>
              <w:rPr>
                <w:rFonts w:hint="eastAsia" w:cs="Times New Roman"/>
                <w:color w:val="auto"/>
                <w:u w:val="none" w:color="auto"/>
                <w:lang w:val="en-US" w:eastAsia="zh-CN"/>
              </w:rPr>
              <w:t>臭气浓度等恶臭因子</w:t>
            </w:r>
            <w:r>
              <w:rPr>
                <w:rFonts w:hint="eastAsia" w:ascii="Times New Roman" w:hAnsi="Times New Roman" w:eastAsia="宋体" w:cs="Times New Roman"/>
                <w:color w:val="auto"/>
                <w:u w:val="none" w:color="auto"/>
              </w:rPr>
              <w:t>执行《恶臭污染物排放标准》</w:t>
            </w:r>
            <w:r>
              <w:rPr>
                <w:rFonts w:hint="eastAsia" w:ascii="Times New Roman" w:hAnsi="Times New Roman" w:eastAsia="宋体" w:cs="Times New Roman"/>
                <w:color w:val="auto"/>
                <w:u w:val="none" w:color="auto"/>
                <w:lang w:eastAsia="zh-CN"/>
              </w:rPr>
              <w:t>（</w:t>
            </w:r>
            <w:r>
              <w:rPr>
                <w:rFonts w:hint="eastAsia" w:ascii="Times New Roman" w:hAnsi="Times New Roman" w:eastAsia="宋体" w:cs="Times New Roman"/>
                <w:color w:val="auto"/>
                <w:u w:val="none" w:color="auto"/>
              </w:rPr>
              <w:t>GB14554-93</w:t>
            </w:r>
            <w:r>
              <w:rPr>
                <w:rFonts w:hint="eastAsia" w:ascii="Times New Roman" w:hAnsi="Times New Roman" w:eastAsia="宋体" w:cs="Times New Roman"/>
                <w:color w:val="auto"/>
                <w:u w:val="none" w:color="auto"/>
                <w:lang w:eastAsia="zh-CN"/>
              </w:rPr>
              <w:t>）</w:t>
            </w:r>
            <w:r>
              <w:rPr>
                <w:rFonts w:hint="eastAsia" w:ascii="Times New Roman" w:hAnsi="Times New Roman" w:eastAsia="宋体" w:cs="Times New Roman"/>
                <w:color w:val="auto"/>
                <w:u w:val="none" w:color="auto"/>
                <w:lang w:val="en-US" w:eastAsia="zh-CN"/>
              </w:rPr>
              <w:t>表1</w:t>
            </w:r>
            <w:r>
              <w:rPr>
                <w:rFonts w:hint="eastAsia" w:cs="Times New Roman"/>
                <w:color w:val="auto"/>
                <w:u w:val="none" w:color="auto"/>
                <w:lang w:val="en-US" w:eastAsia="zh-CN"/>
              </w:rPr>
              <w:t>一级</w:t>
            </w:r>
            <w:r>
              <w:rPr>
                <w:rFonts w:hint="eastAsia" w:ascii="Times New Roman" w:hAnsi="Times New Roman" w:eastAsia="宋体" w:cs="Times New Roman"/>
                <w:color w:val="auto"/>
                <w:u w:val="none" w:color="auto"/>
                <w:lang w:val="en-US" w:eastAsia="zh-CN"/>
              </w:rPr>
              <w:t>标准限值</w:t>
            </w:r>
            <w:r>
              <w:rPr>
                <w:rFonts w:hint="eastAsia" w:ascii="Times New Roman" w:hAnsi="Times New Roman" w:eastAsia="宋体" w:cs="Times New Roman"/>
                <w:color w:val="auto"/>
                <w:u w:val="none" w:color="auto"/>
                <w:lang w:eastAsia="zh-CN"/>
              </w:rPr>
              <w:t>，</w:t>
            </w:r>
            <w:r>
              <w:rPr>
                <w:rFonts w:hint="eastAsia" w:ascii="Times New Roman" w:hAnsi="Times New Roman" w:eastAsia="宋体" w:cs="Times New Roman"/>
                <w:color w:val="auto"/>
                <w:u w:val="none" w:color="auto"/>
                <w:lang w:val="en-US" w:eastAsia="zh-CN"/>
              </w:rPr>
              <w:t>具体如下：</w:t>
            </w:r>
          </w:p>
          <w:p w14:paraId="25C81688">
            <w:pPr>
              <w:pStyle w:val="10"/>
              <w:numPr>
                <w:ilvl w:val="0"/>
                <w:numId w:val="3"/>
              </w:numPr>
              <w:ind w:left="0" w:firstLine="0" w:firstLineChars="0"/>
              <w:jc w:val="center"/>
              <w:rPr>
                <w:rFonts w:hint="eastAsia" w:ascii="黑体" w:hAnsi="黑体" w:eastAsia="黑体"/>
                <w:b w:val="0"/>
                <w:color w:val="auto"/>
                <w:u w:val="none" w:color="auto"/>
                <w:lang w:val="en-US" w:eastAsia="zh-CN"/>
              </w:rPr>
            </w:pPr>
            <w:r>
              <w:rPr>
                <w:rFonts w:hint="eastAsia" w:ascii="黑体" w:hAnsi="黑体" w:eastAsia="黑体"/>
                <w:b w:val="0"/>
                <w:color w:val="auto"/>
                <w:u w:val="none" w:color="auto"/>
                <w:lang w:val="en-US" w:eastAsia="zh-CN"/>
              </w:rPr>
              <w:t>《恶臭污染物排放标准》（GB14554-93）摘录</w:t>
            </w:r>
          </w:p>
          <w:tbl>
            <w:tblPr>
              <w:tblStyle w:val="22"/>
              <w:tblW w:w="8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7"/>
              <w:gridCol w:w="4249"/>
            </w:tblGrid>
            <w:tr w14:paraId="4BA0B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97" w:type="dxa"/>
                  <w:shd w:val="clear" w:color="auto" w:fill="auto"/>
                  <w:vAlign w:val="center"/>
                </w:tcPr>
                <w:p w14:paraId="0F852430">
                  <w:pPr>
                    <w:pStyle w:val="57"/>
                    <w:rPr>
                      <w:color w:val="auto"/>
                      <w:u w:val="none" w:color="auto"/>
                    </w:rPr>
                  </w:pPr>
                  <w:r>
                    <w:rPr>
                      <w:color w:val="auto"/>
                      <w:u w:val="none" w:color="auto"/>
                    </w:rPr>
                    <w:t>污染物</w:t>
                  </w:r>
                </w:p>
              </w:tc>
              <w:tc>
                <w:tcPr>
                  <w:tcW w:w="4249" w:type="dxa"/>
                  <w:shd w:val="clear" w:color="auto" w:fill="auto"/>
                  <w:vAlign w:val="center"/>
                </w:tcPr>
                <w:p w14:paraId="6E93ECA5">
                  <w:pPr>
                    <w:pStyle w:val="57"/>
                    <w:rPr>
                      <w:color w:val="auto"/>
                      <w:u w:val="none" w:color="auto"/>
                    </w:rPr>
                  </w:pPr>
                  <w:r>
                    <w:rPr>
                      <w:rFonts w:hint="eastAsia"/>
                      <w:color w:val="auto"/>
                      <w:u w:val="none" w:color="auto"/>
                      <w:lang w:val="en-US" w:eastAsia="zh-CN"/>
                    </w:rPr>
                    <w:t>场</w:t>
                  </w:r>
                  <w:r>
                    <w:rPr>
                      <w:color w:val="auto"/>
                      <w:u w:val="none" w:color="auto"/>
                    </w:rPr>
                    <w:t>界标准值</w:t>
                  </w:r>
                </w:p>
              </w:tc>
            </w:tr>
            <w:tr w14:paraId="2C267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597" w:type="dxa"/>
                  <w:shd w:val="clear" w:color="auto" w:fill="auto"/>
                  <w:vAlign w:val="center"/>
                </w:tcPr>
                <w:p w14:paraId="78B3ED9B">
                  <w:pPr>
                    <w:pStyle w:val="57"/>
                    <w:rPr>
                      <w:color w:val="auto"/>
                      <w:u w:val="none" w:color="auto"/>
                    </w:rPr>
                  </w:pPr>
                  <w:r>
                    <w:rPr>
                      <w:color w:val="auto"/>
                      <w:u w:val="none" w:color="auto"/>
                    </w:rPr>
                    <w:t>臭气浓度</w:t>
                  </w:r>
                </w:p>
              </w:tc>
              <w:tc>
                <w:tcPr>
                  <w:tcW w:w="4249" w:type="dxa"/>
                  <w:shd w:val="clear" w:color="auto" w:fill="auto"/>
                  <w:vAlign w:val="center"/>
                </w:tcPr>
                <w:p w14:paraId="79D6D3DD">
                  <w:pPr>
                    <w:pStyle w:val="57"/>
                    <w:rPr>
                      <w:color w:val="auto"/>
                      <w:u w:val="none" w:color="auto"/>
                    </w:rPr>
                  </w:pPr>
                  <w:r>
                    <w:rPr>
                      <w:rFonts w:hint="eastAsia"/>
                      <w:color w:val="auto"/>
                      <w:u w:val="none" w:color="auto"/>
                      <w:lang w:val="en-US" w:eastAsia="zh-CN"/>
                    </w:rPr>
                    <w:t>10</w:t>
                  </w:r>
                  <w:r>
                    <w:rPr>
                      <w:rFonts w:hint="eastAsia"/>
                      <w:color w:val="auto"/>
                      <w:u w:val="none" w:color="auto"/>
                    </w:rPr>
                    <w:t>（无量纲）</w:t>
                  </w:r>
                </w:p>
              </w:tc>
            </w:tr>
            <w:tr w14:paraId="290A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597" w:type="dxa"/>
                  <w:shd w:val="clear" w:color="auto" w:fill="auto"/>
                  <w:vAlign w:val="center"/>
                </w:tcPr>
                <w:p w14:paraId="4C5027A6">
                  <w:pPr>
                    <w:pStyle w:val="57"/>
                    <w:rPr>
                      <w:rFonts w:hint="eastAsia" w:eastAsia="宋体"/>
                      <w:color w:val="auto"/>
                      <w:u w:val="none" w:color="auto"/>
                      <w:lang w:val="en-US" w:eastAsia="zh-CN"/>
                    </w:rPr>
                  </w:pPr>
                  <w:r>
                    <w:rPr>
                      <w:rFonts w:hint="eastAsia"/>
                      <w:color w:val="auto"/>
                      <w:u w:val="none" w:color="auto"/>
                      <w:lang w:val="en-US" w:eastAsia="zh-CN"/>
                    </w:rPr>
                    <w:t>氨</w:t>
                  </w:r>
                </w:p>
              </w:tc>
              <w:tc>
                <w:tcPr>
                  <w:tcW w:w="4249" w:type="dxa"/>
                  <w:shd w:val="clear" w:color="auto" w:fill="auto"/>
                  <w:vAlign w:val="center"/>
                </w:tcPr>
                <w:p w14:paraId="07614FC8">
                  <w:pPr>
                    <w:pStyle w:val="57"/>
                    <w:rPr>
                      <w:rFonts w:hint="default" w:eastAsia="宋体"/>
                      <w:color w:val="auto"/>
                      <w:u w:val="none" w:color="auto"/>
                      <w:lang w:val="en-US" w:eastAsia="zh-CN"/>
                    </w:rPr>
                  </w:pPr>
                  <w:r>
                    <w:rPr>
                      <w:rFonts w:hint="eastAsia"/>
                      <w:color w:val="auto"/>
                      <w:u w:val="none" w:color="auto"/>
                      <w:lang w:val="en-US" w:eastAsia="zh-CN"/>
                    </w:rPr>
                    <w:t>1.0</w:t>
                  </w:r>
                  <w:r>
                    <w:rPr>
                      <w:rFonts w:hint="default" w:ascii="Times New Roman" w:hAnsi="Times New Roman" w:eastAsia="宋体" w:cs="Times New Roman"/>
                      <w:b w:val="0"/>
                      <w:bCs w:val="0"/>
                      <w:color w:val="auto"/>
                      <w:sz w:val="21"/>
                      <w:szCs w:val="21"/>
                      <w:u w:val="none" w:color="auto"/>
                      <w:lang w:val="zh-CN"/>
                    </w:rPr>
                    <w:t>mg/m</w:t>
                  </w:r>
                  <w:r>
                    <w:rPr>
                      <w:rFonts w:hint="default" w:ascii="Times New Roman" w:hAnsi="Times New Roman" w:eastAsia="宋体" w:cs="Times New Roman"/>
                      <w:b w:val="0"/>
                      <w:bCs w:val="0"/>
                      <w:color w:val="auto"/>
                      <w:sz w:val="21"/>
                      <w:szCs w:val="21"/>
                      <w:u w:val="none" w:color="auto"/>
                      <w:vertAlign w:val="superscript"/>
                      <w:lang w:val="zh-CN"/>
                    </w:rPr>
                    <w:t>3</w:t>
                  </w:r>
                </w:p>
              </w:tc>
            </w:tr>
            <w:tr w14:paraId="03908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597" w:type="dxa"/>
                  <w:shd w:val="clear" w:color="auto" w:fill="auto"/>
                  <w:vAlign w:val="center"/>
                </w:tcPr>
                <w:p w14:paraId="42367340">
                  <w:pPr>
                    <w:pStyle w:val="57"/>
                    <w:rPr>
                      <w:rFonts w:hint="eastAsia" w:eastAsia="宋体"/>
                      <w:color w:val="auto"/>
                      <w:u w:val="none" w:color="auto"/>
                      <w:lang w:val="en-US" w:eastAsia="zh-CN"/>
                    </w:rPr>
                  </w:pPr>
                  <w:r>
                    <w:rPr>
                      <w:rFonts w:hint="eastAsia"/>
                      <w:color w:val="auto"/>
                      <w:u w:val="none" w:color="auto"/>
                      <w:lang w:val="en-US" w:eastAsia="zh-CN"/>
                    </w:rPr>
                    <w:t>硫化氢</w:t>
                  </w:r>
                </w:p>
              </w:tc>
              <w:tc>
                <w:tcPr>
                  <w:tcW w:w="4249" w:type="dxa"/>
                  <w:shd w:val="clear" w:color="auto" w:fill="auto"/>
                  <w:vAlign w:val="center"/>
                </w:tcPr>
                <w:p w14:paraId="171AF4A6">
                  <w:pPr>
                    <w:pStyle w:val="57"/>
                    <w:rPr>
                      <w:rFonts w:hint="default" w:eastAsia="宋体"/>
                      <w:color w:val="auto"/>
                      <w:u w:val="none" w:color="auto"/>
                      <w:lang w:val="en-US" w:eastAsia="zh-CN"/>
                    </w:rPr>
                  </w:pPr>
                  <w:r>
                    <w:rPr>
                      <w:rFonts w:hint="eastAsia"/>
                      <w:color w:val="auto"/>
                      <w:u w:val="none" w:color="auto"/>
                      <w:lang w:val="en-US" w:eastAsia="zh-CN"/>
                    </w:rPr>
                    <w:t>0.03</w:t>
                  </w:r>
                  <w:r>
                    <w:rPr>
                      <w:rFonts w:hint="default" w:ascii="Times New Roman" w:hAnsi="Times New Roman" w:eastAsia="宋体" w:cs="Times New Roman"/>
                      <w:b w:val="0"/>
                      <w:bCs w:val="0"/>
                      <w:color w:val="auto"/>
                      <w:sz w:val="21"/>
                      <w:szCs w:val="21"/>
                      <w:u w:val="none" w:color="auto"/>
                      <w:lang w:val="zh-CN"/>
                    </w:rPr>
                    <w:t>mg/m</w:t>
                  </w:r>
                  <w:r>
                    <w:rPr>
                      <w:rFonts w:hint="default" w:ascii="Times New Roman" w:hAnsi="Times New Roman" w:eastAsia="宋体" w:cs="Times New Roman"/>
                      <w:b w:val="0"/>
                      <w:bCs w:val="0"/>
                      <w:color w:val="auto"/>
                      <w:sz w:val="21"/>
                      <w:szCs w:val="21"/>
                      <w:u w:val="none" w:color="auto"/>
                      <w:vertAlign w:val="superscript"/>
                      <w:lang w:val="zh-CN"/>
                    </w:rPr>
                    <w:t>3</w:t>
                  </w:r>
                </w:p>
              </w:tc>
            </w:tr>
          </w:tbl>
          <w:p w14:paraId="5360D976">
            <w:pPr>
              <w:pStyle w:val="29"/>
              <w:rPr>
                <w:rFonts w:hint="default"/>
                <w:color w:val="auto"/>
                <w:u w:val="none" w:color="auto"/>
                <w:lang w:val="en-US" w:eastAsia="zh-CN"/>
              </w:rPr>
            </w:pPr>
          </w:p>
          <w:p w14:paraId="54FB9D38">
            <w:pPr>
              <w:numPr>
                <w:ilvl w:val="0"/>
                <w:numId w:val="9"/>
              </w:numPr>
              <w:tabs>
                <w:tab w:val="left" w:pos="3978"/>
                <w:tab w:val="center" w:pos="4931"/>
              </w:tabs>
              <w:adjustRightInd w:val="0"/>
              <w:snapToGrid w:val="0"/>
              <w:ind w:firstLine="480"/>
              <w:jc w:val="left"/>
              <w:rPr>
                <w:color w:val="auto"/>
                <w:u w:val="none" w:color="auto"/>
              </w:rPr>
            </w:pPr>
            <w:r>
              <w:rPr>
                <w:color w:val="auto"/>
                <w:u w:val="none" w:color="auto"/>
                <w:lang w:bidi="ar"/>
              </w:rPr>
              <w:t>污水排放标准</w:t>
            </w:r>
          </w:p>
          <w:p w14:paraId="6C9EE2D1">
            <w:pPr>
              <w:pStyle w:val="63"/>
              <w:spacing w:line="480" w:lineRule="exact"/>
              <w:ind w:firstLine="480"/>
              <w:rPr>
                <w:rFonts w:hint="eastAsia" w:cs="Times New Roman"/>
                <w:color w:val="auto"/>
                <w:szCs w:val="24"/>
                <w:u w:val="none" w:color="auto"/>
              </w:rPr>
            </w:pPr>
            <w:r>
              <w:rPr>
                <w:rFonts w:hint="eastAsia" w:cs="Times New Roman"/>
                <w:color w:val="auto"/>
                <w:szCs w:val="24"/>
                <w:u w:val="none" w:color="auto"/>
                <w:lang w:eastAsia="zh-CN"/>
              </w:rPr>
              <w:t>（</w:t>
            </w:r>
            <w:r>
              <w:rPr>
                <w:rFonts w:hint="eastAsia" w:cs="Times New Roman"/>
                <w:color w:val="auto"/>
                <w:szCs w:val="24"/>
                <w:u w:val="none" w:color="auto"/>
                <w:lang w:val="en-US" w:eastAsia="zh-CN"/>
              </w:rPr>
              <w:t>1</w:t>
            </w:r>
            <w:r>
              <w:rPr>
                <w:rFonts w:hint="eastAsia" w:cs="Times New Roman"/>
                <w:color w:val="auto"/>
                <w:szCs w:val="24"/>
                <w:u w:val="none" w:color="auto"/>
                <w:lang w:eastAsia="zh-CN"/>
              </w:rPr>
              <w:t>）</w:t>
            </w:r>
            <w:r>
              <w:rPr>
                <w:rFonts w:hint="eastAsia" w:cs="Times New Roman"/>
                <w:color w:val="auto"/>
                <w:szCs w:val="24"/>
                <w:u w:val="none" w:color="auto"/>
              </w:rPr>
              <w:t>施工期</w:t>
            </w:r>
          </w:p>
          <w:p w14:paraId="3B96E179">
            <w:pPr>
              <w:keepNext w:val="0"/>
              <w:keepLines w:val="0"/>
              <w:pageBreakBefore w:val="0"/>
              <w:widowControl w:val="0"/>
              <w:kinsoku/>
              <w:wordWrap/>
              <w:overflowPunct/>
              <w:topLinePunct w:val="0"/>
              <w:autoSpaceDE/>
              <w:autoSpaceDN/>
              <w:bidi w:val="0"/>
              <w:adjustRightInd/>
              <w:snapToGrid/>
              <w:spacing w:line="480" w:lineRule="exact"/>
              <w:ind w:leftChars="0" w:firstLine="480" w:firstLineChars="200"/>
              <w:textAlignment w:val="auto"/>
              <w:rPr>
                <w:strike w:val="0"/>
                <w:dstrike w:val="0"/>
                <w:color w:val="auto"/>
                <w:u w:val="none" w:color="auto"/>
              </w:rPr>
            </w:pPr>
            <w:r>
              <w:rPr>
                <w:rFonts w:hint="eastAsia"/>
                <w:color w:val="auto"/>
                <w:u w:val="none" w:color="auto"/>
                <w:lang w:val="en-US" w:eastAsia="zh-CN"/>
              </w:rPr>
              <w:t>施工期生活污水经化粪池处理达到</w:t>
            </w:r>
            <w:r>
              <w:rPr>
                <w:rFonts w:hint="eastAsia"/>
                <w:color w:val="auto"/>
                <w:u w:val="none" w:color="auto"/>
              </w:rPr>
              <w:t>《污水综合排放标准》（G</w:t>
            </w:r>
            <w:r>
              <w:rPr>
                <w:color w:val="auto"/>
                <w:u w:val="none" w:color="auto"/>
              </w:rPr>
              <w:t>B8978-1996</w:t>
            </w:r>
            <w:r>
              <w:rPr>
                <w:rFonts w:hint="eastAsia"/>
                <w:color w:val="auto"/>
                <w:u w:val="none" w:color="auto"/>
              </w:rPr>
              <w:t>）表4三级标准</w:t>
            </w:r>
            <w:r>
              <w:rPr>
                <w:rFonts w:hint="eastAsia"/>
                <w:color w:val="auto"/>
                <w:u w:val="none" w:color="auto"/>
                <w:lang w:val="en-US" w:eastAsia="zh-CN"/>
              </w:rPr>
              <w:t>及江南区污水处理厂纳管标准从严值后外排</w:t>
            </w:r>
            <w:r>
              <w:rPr>
                <w:rFonts w:hint="eastAsia"/>
                <w:strike w:val="0"/>
                <w:dstrike w:val="0"/>
                <w:color w:val="auto"/>
                <w:u w:val="none" w:color="auto"/>
                <w:lang w:eastAsia="zh-CN"/>
              </w:rPr>
              <w:t>，</w:t>
            </w:r>
            <w:r>
              <w:rPr>
                <w:rFonts w:hint="eastAsia"/>
                <w:strike w:val="0"/>
                <w:dstrike w:val="0"/>
                <w:color w:val="auto"/>
                <w:u w:val="none" w:color="auto"/>
              </w:rPr>
              <w:t>具体如下：</w:t>
            </w:r>
          </w:p>
          <w:p w14:paraId="62D3FCDE">
            <w:pPr>
              <w:pStyle w:val="61"/>
              <w:bidi w:val="0"/>
              <w:rPr>
                <w:rFonts w:hint="default"/>
                <w:color w:val="auto"/>
                <w:u w:val="none" w:color="auto"/>
                <w:lang w:val="en-US" w:eastAsia="zh-CN"/>
              </w:rPr>
            </w:pPr>
            <w:r>
              <w:rPr>
                <w:color w:val="auto"/>
                <w:u w:val="none" w:color="auto"/>
              </w:rPr>
              <w:t xml:space="preserve">表 </w:t>
            </w:r>
            <w:r>
              <w:rPr>
                <w:color w:val="auto"/>
                <w:u w:val="none" w:color="auto"/>
              </w:rPr>
              <w:fldChar w:fldCharType="begin"/>
            </w:r>
            <w:r>
              <w:rPr>
                <w:color w:val="auto"/>
                <w:u w:val="none" w:color="auto"/>
              </w:rPr>
              <w:instrText xml:space="preserve"> STYLEREF 1 \s </w:instrText>
            </w:r>
            <w:r>
              <w:rPr>
                <w:color w:val="auto"/>
                <w:u w:val="none" w:color="auto"/>
              </w:rPr>
              <w:fldChar w:fldCharType="separate"/>
            </w:r>
            <w:r>
              <w:rPr>
                <w:color w:val="auto"/>
                <w:u w:val="none" w:color="auto"/>
              </w:rPr>
              <w:t>3</w:t>
            </w:r>
            <w:r>
              <w:rPr>
                <w:color w:val="auto"/>
                <w:u w:val="none" w:color="auto"/>
              </w:rPr>
              <w:fldChar w:fldCharType="end"/>
            </w:r>
            <w:r>
              <w:rPr>
                <w:rFonts w:hint="eastAsia"/>
                <w:color w:val="auto"/>
                <w:u w:val="none" w:color="auto"/>
                <w:lang w:eastAsia="zh-CN"/>
              </w:rPr>
              <w:t>-</w:t>
            </w:r>
            <w:r>
              <w:rPr>
                <w:color w:val="auto"/>
                <w:u w:val="none" w:color="auto"/>
              </w:rPr>
              <w:fldChar w:fldCharType="begin"/>
            </w:r>
            <w:r>
              <w:rPr>
                <w:color w:val="auto"/>
                <w:u w:val="none" w:color="auto"/>
              </w:rPr>
              <w:instrText xml:space="preserve"> SEQ 表 \* ARABIC \s 1 </w:instrText>
            </w:r>
            <w:r>
              <w:rPr>
                <w:color w:val="auto"/>
                <w:u w:val="none" w:color="auto"/>
              </w:rPr>
              <w:fldChar w:fldCharType="separate"/>
            </w:r>
            <w:r>
              <w:rPr>
                <w:color w:val="auto"/>
                <w:u w:val="none" w:color="auto"/>
              </w:rPr>
              <w:t>7</w:t>
            </w:r>
            <w:r>
              <w:rPr>
                <w:color w:val="auto"/>
                <w:u w:val="none" w:color="auto"/>
              </w:rPr>
              <w:fldChar w:fldCharType="end"/>
            </w:r>
            <w:r>
              <w:rPr>
                <w:color w:val="auto"/>
                <w:u w:val="none" w:color="auto"/>
              </w:rPr>
              <w:t xml:space="preserve"> </w:t>
            </w:r>
            <w:r>
              <w:rPr>
                <w:rFonts w:hint="eastAsia"/>
                <w:color w:val="auto"/>
                <w:u w:val="none" w:color="auto"/>
              </w:rPr>
              <w:t xml:space="preserve"> </w:t>
            </w:r>
            <w:r>
              <w:rPr>
                <w:rFonts w:hint="eastAsia"/>
                <w:color w:val="auto"/>
                <w:u w:val="none" w:color="auto"/>
                <w:lang w:val="en-US" w:eastAsia="zh-CN"/>
              </w:rPr>
              <w:t xml:space="preserve">项目污水执行标准  </w:t>
            </w:r>
            <w:r>
              <w:rPr>
                <w:rFonts w:hint="default"/>
                <w:color w:val="auto"/>
                <w:u w:val="none" w:color="auto"/>
                <w:lang w:val="en-US" w:eastAsia="zh-CN"/>
              </w:rPr>
              <w:t xml:space="preserve"> </w:t>
            </w:r>
            <w:r>
              <w:rPr>
                <w:rFonts w:hint="eastAsia"/>
                <w:color w:val="auto"/>
                <w:u w:val="none" w:color="auto"/>
                <w:lang w:val="en-US" w:eastAsia="zh-CN"/>
              </w:rPr>
              <w:t>单位：</w:t>
            </w:r>
            <w:r>
              <w:rPr>
                <w:rFonts w:hint="default"/>
                <w:color w:val="auto"/>
                <w:u w:val="none" w:color="auto"/>
                <w:lang w:val="en-US" w:eastAsia="zh-CN"/>
              </w:rPr>
              <w:t>mg/L</w:t>
            </w:r>
          </w:p>
          <w:tbl>
            <w:tblPr>
              <w:tblStyle w:val="22"/>
              <w:tblW w:w="86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9"/>
              <w:gridCol w:w="1605"/>
              <w:gridCol w:w="915"/>
              <w:gridCol w:w="780"/>
              <w:gridCol w:w="682"/>
              <w:gridCol w:w="1120"/>
            </w:tblGrid>
            <w:tr w14:paraId="47E9E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9" w:type="dxa"/>
                  <w:vAlign w:val="center"/>
                </w:tcPr>
                <w:p w14:paraId="2A247C0F">
                  <w:pPr>
                    <w:pStyle w:val="34"/>
                    <w:keepNext w:val="0"/>
                    <w:keepLines w:val="0"/>
                    <w:pageBreakBefore w:val="0"/>
                    <w:widowControl w:val="0"/>
                    <w:kinsoku/>
                    <w:wordWrap/>
                    <w:overflowPunct/>
                    <w:topLinePunct w:val="0"/>
                    <w:autoSpaceDE/>
                    <w:autoSpaceDN/>
                    <w:bidi w:val="0"/>
                    <w:adjustRightInd w:val="0"/>
                    <w:snapToGrid w:val="0"/>
                    <w:spacing w:beforeLines="0" w:afterLines="0" w:line="320" w:lineRule="exac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污染物</w:t>
                  </w:r>
                </w:p>
              </w:tc>
              <w:tc>
                <w:tcPr>
                  <w:tcW w:w="1605" w:type="dxa"/>
                  <w:vAlign w:val="center"/>
                </w:tcPr>
                <w:p w14:paraId="28EE6C0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z w:val="21"/>
                      <w:szCs w:val="21"/>
                      <w:highlight w:val="none"/>
                      <w:u w:val="none" w:color="auto"/>
                      <w:lang w:val="en-US" w:eastAsia="zh-CN"/>
                    </w:rPr>
                    <w:t>pH值(无量纲)</w:t>
                  </w:r>
                </w:p>
              </w:tc>
              <w:tc>
                <w:tcPr>
                  <w:tcW w:w="915" w:type="dxa"/>
                  <w:vAlign w:val="center"/>
                </w:tcPr>
                <w:p w14:paraId="2217F5C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z w:val="21"/>
                      <w:szCs w:val="21"/>
                      <w:highlight w:val="none"/>
                      <w:u w:val="none" w:color="auto"/>
                      <w:lang w:val="en-US" w:eastAsia="zh-CN"/>
                    </w:rPr>
                    <w:t>C</w:t>
                  </w:r>
                  <w:r>
                    <w:rPr>
                      <w:rFonts w:hint="default" w:ascii="Times New Roman" w:hAnsi="Times New Roman" w:eastAsia="宋体" w:cs="Times New Roman"/>
                      <w:b/>
                      <w:bCs/>
                      <w:color w:val="auto"/>
                      <w:sz w:val="21"/>
                      <w:szCs w:val="21"/>
                      <w:highlight w:val="none"/>
                      <w:u w:val="none" w:color="auto"/>
                    </w:rPr>
                    <w:cr/>
                  </w:r>
                  <w:r>
                    <w:rPr>
                      <w:rFonts w:hint="default" w:ascii="Times New Roman" w:hAnsi="Times New Roman" w:eastAsia="宋体" w:cs="Times New Roman"/>
                      <w:b/>
                      <w:bCs/>
                      <w:color w:val="auto"/>
                      <w:sz w:val="21"/>
                      <w:szCs w:val="21"/>
                      <w:highlight w:val="none"/>
                      <w:u w:val="none" w:color="auto"/>
                    </w:rPr>
                    <w:t>OD</w:t>
                  </w:r>
                </w:p>
              </w:tc>
              <w:tc>
                <w:tcPr>
                  <w:tcW w:w="780" w:type="dxa"/>
                  <w:vAlign w:val="center"/>
                </w:tcPr>
                <w:p w14:paraId="5606735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z w:val="21"/>
                      <w:szCs w:val="21"/>
                      <w:highlight w:val="none"/>
                      <w:u w:val="none" w:color="auto"/>
                    </w:rPr>
                    <w:t>BOD</w:t>
                  </w:r>
                  <w:r>
                    <w:rPr>
                      <w:rFonts w:hint="default" w:ascii="Times New Roman" w:hAnsi="Times New Roman" w:eastAsia="宋体" w:cs="Times New Roman"/>
                      <w:b/>
                      <w:bCs/>
                      <w:color w:val="auto"/>
                      <w:sz w:val="21"/>
                      <w:szCs w:val="21"/>
                      <w:highlight w:val="none"/>
                      <w:u w:val="none" w:color="auto"/>
                      <w:vertAlign w:val="subscript"/>
                    </w:rPr>
                    <w:t>5</w:t>
                  </w:r>
                </w:p>
              </w:tc>
              <w:tc>
                <w:tcPr>
                  <w:tcW w:w="682" w:type="dxa"/>
                  <w:vAlign w:val="center"/>
                </w:tcPr>
                <w:p w14:paraId="53FD8EB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z w:val="21"/>
                      <w:szCs w:val="21"/>
                      <w:highlight w:val="none"/>
                      <w:u w:val="none" w:color="auto"/>
                    </w:rPr>
                    <w:t>SS</w:t>
                  </w:r>
                </w:p>
              </w:tc>
              <w:tc>
                <w:tcPr>
                  <w:tcW w:w="1120" w:type="dxa"/>
                  <w:vAlign w:val="center"/>
                </w:tcPr>
                <w:p w14:paraId="014B028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z w:val="21"/>
                      <w:szCs w:val="21"/>
                      <w:highlight w:val="none"/>
                      <w:u w:val="none" w:color="auto"/>
                      <w:lang w:val="en-US" w:eastAsia="zh-CN"/>
                    </w:rPr>
                    <w:t>NH</w:t>
                  </w:r>
                  <w:r>
                    <w:rPr>
                      <w:rFonts w:hint="default" w:ascii="Times New Roman" w:hAnsi="Times New Roman" w:eastAsia="宋体" w:cs="Times New Roman"/>
                      <w:b/>
                      <w:bCs/>
                      <w:color w:val="auto"/>
                      <w:sz w:val="21"/>
                      <w:szCs w:val="21"/>
                      <w:highlight w:val="none"/>
                      <w:u w:val="none" w:color="auto"/>
                      <w:vertAlign w:val="subscript"/>
                      <w:lang w:val="en-US" w:eastAsia="zh-CN"/>
                    </w:rPr>
                    <w:t>3</w:t>
                  </w:r>
                  <w:r>
                    <w:rPr>
                      <w:rFonts w:hint="default" w:ascii="Times New Roman" w:hAnsi="Times New Roman" w:eastAsia="宋体" w:cs="Times New Roman"/>
                      <w:b/>
                      <w:bCs/>
                      <w:color w:val="auto"/>
                      <w:sz w:val="21"/>
                      <w:szCs w:val="21"/>
                      <w:highlight w:val="none"/>
                      <w:u w:val="none" w:color="auto"/>
                      <w:lang w:val="en-US" w:eastAsia="zh-CN"/>
                    </w:rPr>
                    <w:t>-N</w:t>
                  </w:r>
                </w:p>
              </w:tc>
            </w:tr>
            <w:tr w14:paraId="39DD1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9" w:type="dxa"/>
                  <w:vAlign w:val="center"/>
                </w:tcPr>
                <w:p w14:paraId="616A81E5">
                  <w:pPr>
                    <w:pStyle w:val="34"/>
                    <w:keepNext w:val="0"/>
                    <w:keepLines w:val="0"/>
                    <w:pageBreakBefore w:val="0"/>
                    <w:widowControl w:val="0"/>
                    <w:kinsoku/>
                    <w:wordWrap/>
                    <w:overflowPunct/>
                    <w:topLinePunct w:val="0"/>
                    <w:autoSpaceDE/>
                    <w:autoSpaceDN/>
                    <w:bidi w:val="0"/>
                    <w:adjustRightInd w:val="0"/>
                    <w:snapToGrid w:val="0"/>
                    <w:spacing w:beforeLines="0" w:afterLines="0"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GB8978-1996《污水综合排放标准》</w:t>
                  </w:r>
                </w:p>
              </w:tc>
              <w:tc>
                <w:tcPr>
                  <w:tcW w:w="1605" w:type="dxa"/>
                  <w:vAlign w:val="center"/>
                </w:tcPr>
                <w:p w14:paraId="52EEA498">
                  <w:pPr>
                    <w:pStyle w:val="34"/>
                    <w:keepNext w:val="0"/>
                    <w:keepLines w:val="0"/>
                    <w:pageBreakBefore w:val="0"/>
                    <w:widowControl w:val="0"/>
                    <w:kinsoku/>
                    <w:wordWrap/>
                    <w:overflowPunct/>
                    <w:topLinePunct w:val="0"/>
                    <w:autoSpaceDE/>
                    <w:autoSpaceDN/>
                    <w:bidi w:val="0"/>
                    <w:adjustRightInd w:val="0"/>
                    <w:snapToGrid w:val="0"/>
                    <w:spacing w:beforeLines="0" w:afterLines="0"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6~9</w:t>
                  </w:r>
                </w:p>
              </w:tc>
              <w:tc>
                <w:tcPr>
                  <w:tcW w:w="915" w:type="dxa"/>
                  <w:vAlign w:val="center"/>
                </w:tcPr>
                <w:p w14:paraId="547BC886">
                  <w:pPr>
                    <w:pStyle w:val="34"/>
                    <w:keepNext w:val="0"/>
                    <w:keepLines w:val="0"/>
                    <w:pageBreakBefore w:val="0"/>
                    <w:widowControl w:val="0"/>
                    <w:kinsoku/>
                    <w:wordWrap/>
                    <w:overflowPunct/>
                    <w:topLinePunct w:val="0"/>
                    <w:autoSpaceDE/>
                    <w:autoSpaceDN/>
                    <w:bidi w:val="0"/>
                    <w:adjustRightInd w:val="0"/>
                    <w:snapToGrid w:val="0"/>
                    <w:spacing w:beforeLines="0" w:afterLines="0"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500</w:t>
                  </w:r>
                </w:p>
              </w:tc>
              <w:tc>
                <w:tcPr>
                  <w:tcW w:w="780" w:type="dxa"/>
                  <w:vAlign w:val="center"/>
                </w:tcPr>
                <w:p w14:paraId="65536870">
                  <w:pPr>
                    <w:pStyle w:val="34"/>
                    <w:keepNext w:val="0"/>
                    <w:keepLines w:val="0"/>
                    <w:pageBreakBefore w:val="0"/>
                    <w:widowControl w:val="0"/>
                    <w:kinsoku/>
                    <w:wordWrap/>
                    <w:overflowPunct/>
                    <w:topLinePunct w:val="0"/>
                    <w:autoSpaceDE/>
                    <w:autoSpaceDN/>
                    <w:bidi w:val="0"/>
                    <w:adjustRightInd w:val="0"/>
                    <w:snapToGrid w:val="0"/>
                    <w:spacing w:beforeLines="0" w:afterLines="0"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300</w:t>
                  </w:r>
                </w:p>
              </w:tc>
              <w:tc>
                <w:tcPr>
                  <w:tcW w:w="682" w:type="dxa"/>
                  <w:vAlign w:val="center"/>
                </w:tcPr>
                <w:p w14:paraId="79D64A03">
                  <w:pPr>
                    <w:pStyle w:val="34"/>
                    <w:keepNext w:val="0"/>
                    <w:keepLines w:val="0"/>
                    <w:pageBreakBefore w:val="0"/>
                    <w:widowControl w:val="0"/>
                    <w:kinsoku/>
                    <w:wordWrap/>
                    <w:overflowPunct/>
                    <w:topLinePunct w:val="0"/>
                    <w:autoSpaceDE/>
                    <w:autoSpaceDN/>
                    <w:bidi w:val="0"/>
                    <w:adjustRightInd w:val="0"/>
                    <w:snapToGrid w:val="0"/>
                    <w:spacing w:beforeLines="0" w:afterLines="0"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400</w:t>
                  </w:r>
                </w:p>
              </w:tc>
              <w:tc>
                <w:tcPr>
                  <w:tcW w:w="1120" w:type="dxa"/>
                  <w:vAlign w:val="center"/>
                </w:tcPr>
                <w:p w14:paraId="379E3A48">
                  <w:pPr>
                    <w:pStyle w:val="34"/>
                    <w:keepNext w:val="0"/>
                    <w:keepLines w:val="0"/>
                    <w:pageBreakBefore w:val="0"/>
                    <w:widowControl w:val="0"/>
                    <w:kinsoku/>
                    <w:wordWrap/>
                    <w:overflowPunct/>
                    <w:topLinePunct w:val="0"/>
                    <w:autoSpaceDE/>
                    <w:autoSpaceDN/>
                    <w:bidi w:val="0"/>
                    <w:adjustRightInd w:val="0"/>
                    <w:snapToGrid w:val="0"/>
                    <w:spacing w:beforeLines="0" w:afterLines="0"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2BB1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9" w:type="dxa"/>
                  <w:vAlign w:val="center"/>
                </w:tcPr>
                <w:p w14:paraId="425B5284">
                  <w:pPr>
                    <w:pStyle w:val="34"/>
                    <w:keepNext w:val="0"/>
                    <w:keepLines w:val="0"/>
                    <w:pageBreakBefore w:val="0"/>
                    <w:widowControl w:val="0"/>
                    <w:kinsoku/>
                    <w:wordWrap/>
                    <w:overflowPunct/>
                    <w:topLinePunct w:val="0"/>
                    <w:autoSpaceDE/>
                    <w:autoSpaceDN/>
                    <w:bidi w:val="0"/>
                    <w:adjustRightInd w:val="0"/>
                    <w:snapToGrid w:val="0"/>
                    <w:spacing w:beforeLines="0" w:afterLines="0"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江南区污水处理厂接管标准</w:t>
                  </w:r>
                </w:p>
              </w:tc>
              <w:tc>
                <w:tcPr>
                  <w:tcW w:w="1605" w:type="dxa"/>
                  <w:vAlign w:val="center"/>
                </w:tcPr>
                <w:p w14:paraId="67C55B50">
                  <w:pPr>
                    <w:pStyle w:val="34"/>
                    <w:keepNext w:val="0"/>
                    <w:keepLines w:val="0"/>
                    <w:pageBreakBefore w:val="0"/>
                    <w:widowControl w:val="0"/>
                    <w:kinsoku/>
                    <w:wordWrap/>
                    <w:overflowPunct/>
                    <w:topLinePunct w:val="0"/>
                    <w:autoSpaceDE/>
                    <w:autoSpaceDN/>
                    <w:bidi w:val="0"/>
                    <w:adjustRightInd w:val="0"/>
                    <w:snapToGrid w:val="0"/>
                    <w:spacing w:beforeLines="0" w:afterLines="0"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w:t>
                  </w:r>
                </w:p>
              </w:tc>
              <w:tc>
                <w:tcPr>
                  <w:tcW w:w="915" w:type="dxa"/>
                  <w:vAlign w:val="center"/>
                </w:tcPr>
                <w:p w14:paraId="4AB7B60C">
                  <w:pPr>
                    <w:pStyle w:val="34"/>
                    <w:keepNext w:val="0"/>
                    <w:keepLines w:val="0"/>
                    <w:pageBreakBefore w:val="0"/>
                    <w:widowControl w:val="0"/>
                    <w:kinsoku/>
                    <w:wordWrap/>
                    <w:overflowPunct/>
                    <w:topLinePunct w:val="0"/>
                    <w:autoSpaceDE/>
                    <w:autoSpaceDN/>
                    <w:bidi w:val="0"/>
                    <w:adjustRightInd w:val="0"/>
                    <w:snapToGrid w:val="0"/>
                    <w:spacing w:beforeLines="0" w:afterLines="0"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400</w:t>
                  </w:r>
                </w:p>
              </w:tc>
              <w:tc>
                <w:tcPr>
                  <w:tcW w:w="780" w:type="dxa"/>
                  <w:vAlign w:val="center"/>
                </w:tcPr>
                <w:p w14:paraId="7669CBBF">
                  <w:pPr>
                    <w:pStyle w:val="34"/>
                    <w:keepNext w:val="0"/>
                    <w:keepLines w:val="0"/>
                    <w:pageBreakBefore w:val="0"/>
                    <w:widowControl w:val="0"/>
                    <w:kinsoku/>
                    <w:wordWrap/>
                    <w:overflowPunct/>
                    <w:topLinePunct w:val="0"/>
                    <w:autoSpaceDE/>
                    <w:autoSpaceDN/>
                    <w:bidi w:val="0"/>
                    <w:adjustRightInd w:val="0"/>
                    <w:snapToGrid w:val="0"/>
                    <w:spacing w:beforeLines="0" w:afterLines="0"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180</w:t>
                  </w:r>
                </w:p>
              </w:tc>
              <w:tc>
                <w:tcPr>
                  <w:tcW w:w="682" w:type="dxa"/>
                  <w:vAlign w:val="center"/>
                </w:tcPr>
                <w:p w14:paraId="32198F4D">
                  <w:pPr>
                    <w:pStyle w:val="34"/>
                    <w:keepNext w:val="0"/>
                    <w:keepLines w:val="0"/>
                    <w:pageBreakBefore w:val="0"/>
                    <w:widowControl w:val="0"/>
                    <w:kinsoku/>
                    <w:wordWrap/>
                    <w:overflowPunct/>
                    <w:topLinePunct w:val="0"/>
                    <w:autoSpaceDE/>
                    <w:autoSpaceDN/>
                    <w:bidi w:val="0"/>
                    <w:adjustRightInd w:val="0"/>
                    <w:snapToGrid w:val="0"/>
                    <w:spacing w:beforeLines="0" w:afterLines="0"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230</w:t>
                  </w:r>
                </w:p>
              </w:tc>
              <w:tc>
                <w:tcPr>
                  <w:tcW w:w="1120" w:type="dxa"/>
                  <w:vAlign w:val="center"/>
                </w:tcPr>
                <w:p w14:paraId="5E63852B">
                  <w:pPr>
                    <w:pStyle w:val="34"/>
                    <w:keepNext w:val="0"/>
                    <w:keepLines w:val="0"/>
                    <w:pageBreakBefore w:val="0"/>
                    <w:widowControl w:val="0"/>
                    <w:kinsoku/>
                    <w:wordWrap/>
                    <w:overflowPunct/>
                    <w:topLinePunct w:val="0"/>
                    <w:autoSpaceDE/>
                    <w:autoSpaceDN/>
                    <w:bidi w:val="0"/>
                    <w:adjustRightInd w:val="0"/>
                    <w:snapToGrid w:val="0"/>
                    <w:spacing w:beforeLines="0" w:afterLines="0"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30</w:t>
                  </w:r>
                </w:p>
              </w:tc>
            </w:tr>
            <w:tr w14:paraId="33F0A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9" w:type="dxa"/>
                  <w:vAlign w:val="center"/>
                </w:tcPr>
                <w:p w14:paraId="7D508A18">
                  <w:pPr>
                    <w:pStyle w:val="34"/>
                    <w:keepNext w:val="0"/>
                    <w:keepLines w:val="0"/>
                    <w:pageBreakBefore w:val="0"/>
                    <w:widowControl w:val="0"/>
                    <w:kinsoku/>
                    <w:wordWrap/>
                    <w:overflowPunct/>
                    <w:topLinePunct w:val="0"/>
                    <w:autoSpaceDE/>
                    <w:autoSpaceDN/>
                    <w:bidi w:val="0"/>
                    <w:adjustRightInd w:val="0"/>
                    <w:snapToGrid w:val="0"/>
                    <w:spacing w:beforeLines="0" w:afterLines="0" w:line="320" w:lineRule="exact"/>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从严取值</w:t>
                  </w:r>
                </w:p>
              </w:tc>
              <w:tc>
                <w:tcPr>
                  <w:tcW w:w="1605" w:type="dxa"/>
                  <w:vAlign w:val="center"/>
                </w:tcPr>
                <w:p w14:paraId="55B03BE1">
                  <w:pPr>
                    <w:pStyle w:val="34"/>
                    <w:keepNext w:val="0"/>
                    <w:keepLines w:val="0"/>
                    <w:pageBreakBefore w:val="0"/>
                    <w:widowControl w:val="0"/>
                    <w:kinsoku/>
                    <w:wordWrap/>
                    <w:overflowPunct/>
                    <w:topLinePunct w:val="0"/>
                    <w:autoSpaceDE/>
                    <w:autoSpaceDN/>
                    <w:bidi w:val="0"/>
                    <w:adjustRightInd w:val="0"/>
                    <w:snapToGrid w:val="0"/>
                    <w:spacing w:beforeLines="0" w:afterLines="0" w:line="320" w:lineRule="exact"/>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6~9</w:t>
                  </w:r>
                </w:p>
              </w:tc>
              <w:tc>
                <w:tcPr>
                  <w:tcW w:w="915" w:type="dxa"/>
                  <w:vAlign w:val="center"/>
                </w:tcPr>
                <w:p w14:paraId="7268725D">
                  <w:pPr>
                    <w:pStyle w:val="34"/>
                    <w:keepNext w:val="0"/>
                    <w:keepLines w:val="0"/>
                    <w:pageBreakBefore w:val="0"/>
                    <w:widowControl w:val="0"/>
                    <w:kinsoku/>
                    <w:wordWrap/>
                    <w:overflowPunct/>
                    <w:topLinePunct w:val="0"/>
                    <w:autoSpaceDE/>
                    <w:autoSpaceDN/>
                    <w:bidi w:val="0"/>
                    <w:adjustRightInd w:val="0"/>
                    <w:snapToGrid w:val="0"/>
                    <w:spacing w:beforeLines="0" w:afterLines="0" w:line="320" w:lineRule="exact"/>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w:t>
                  </w:r>
                  <w:r>
                    <w:rPr>
                      <w:rFonts w:hint="default" w:ascii="Times New Roman" w:hAnsi="Times New Roman" w:eastAsia="宋体" w:cs="Times New Roman"/>
                      <w:color w:val="auto"/>
                      <w:sz w:val="21"/>
                      <w:szCs w:val="21"/>
                      <w:u w:val="none" w:color="auto"/>
                    </w:rPr>
                    <w:t>00</w:t>
                  </w:r>
                </w:p>
              </w:tc>
              <w:tc>
                <w:tcPr>
                  <w:tcW w:w="780" w:type="dxa"/>
                  <w:vAlign w:val="center"/>
                </w:tcPr>
                <w:p w14:paraId="0BC10479">
                  <w:pPr>
                    <w:pStyle w:val="34"/>
                    <w:keepNext w:val="0"/>
                    <w:keepLines w:val="0"/>
                    <w:pageBreakBefore w:val="0"/>
                    <w:widowControl w:val="0"/>
                    <w:kinsoku/>
                    <w:wordWrap/>
                    <w:overflowPunct/>
                    <w:topLinePunct w:val="0"/>
                    <w:autoSpaceDE/>
                    <w:autoSpaceDN/>
                    <w:bidi w:val="0"/>
                    <w:adjustRightInd w:val="0"/>
                    <w:snapToGrid w:val="0"/>
                    <w:spacing w:beforeLines="0" w:afterLines="0" w:line="320" w:lineRule="exact"/>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18</w:t>
                  </w:r>
                  <w:r>
                    <w:rPr>
                      <w:rFonts w:hint="default" w:ascii="Times New Roman" w:hAnsi="Times New Roman" w:eastAsia="宋体" w:cs="Times New Roman"/>
                      <w:color w:val="auto"/>
                      <w:sz w:val="21"/>
                      <w:szCs w:val="21"/>
                      <w:u w:val="none" w:color="auto"/>
                    </w:rPr>
                    <w:t>0</w:t>
                  </w:r>
                </w:p>
              </w:tc>
              <w:tc>
                <w:tcPr>
                  <w:tcW w:w="682" w:type="dxa"/>
                  <w:vAlign w:val="center"/>
                </w:tcPr>
                <w:p w14:paraId="161B3BD2">
                  <w:pPr>
                    <w:pStyle w:val="34"/>
                    <w:keepNext w:val="0"/>
                    <w:keepLines w:val="0"/>
                    <w:pageBreakBefore w:val="0"/>
                    <w:widowControl w:val="0"/>
                    <w:kinsoku/>
                    <w:wordWrap/>
                    <w:overflowPunct/>
                    <w:topLinePunct w:val="0"/>
                    <w:autoSpaceDE/>
                    <w:autoSpaceDN/>
                    <w:bidi w:val="0"/>
                    <w:adjustRightInd w:val="0"/>
                    <w:snapToGrid w:val="0"/>
                    <w:spacing w:beforeLines="0" w:afterLines="0" w:line="320" w:lineRule="exact"/>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23</w:t>
                  </w:r>
                  <w:r>
                    <w:rPr>
                      <w:rFonts w:hint="default" w:ascii="Times New Roman" w:hAnsi="Times New Roman" w:eastAsia="宋体" w:cs="Times New Roman"/>
                      <w:color w:val="auto"/>
                      <w:sz w:val="21"/>
                      <w:szCs w:val="21"/>
                      <w:u w:val="none" w:color="auto"/>
                    </w:rPr>
                    <w:t>0</w:t>
                  </w:r>
                </w:p>
              </w:tc>
              <w:tc>
                <w:tcPr>
                  <w:tcW w:w="1120" w:type="dxa"/>
                  <w:vAlign w:val="center"/>
                </w:tcPr>
                <w:p w14:paraId="1F44DC0B">
                  <w:pPr>
                    <w:pStyle w:val="34"/>
                    <w:keepNext w:val="0"/>
                    <w:keepLines w:val="0"/>
                    <w:pageBreakBefore w:val="0"/>
                    <w:widowControl w:val="0"/>
                    <w:kinsoku/>
                    <w:wordWrap/>
                    <w:overflowPunct/>
                    <w:topLinePunct w:val="0"/>
                    <w:autoSpaceDE/>
                    <w:autoSpaceDN/>
                    <w:bidi w:val="0"/>
                    <w:adjustRightInd w:val="0"/>
                    <w:snapToGrid w:val="0"/>
                    <w:spacing w:beforeLines="0" w:afterLines="0" w:line="320" w:lineRule="exact"/>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30</w:t>
                  </w:r>
                </w:p>
              </w:tc>
            </w:tr>
          </w:tbl>
          <w:p w14:paraId="5DAC39A5">
            <w:pPr>
              <w:spacing w:line="480" w:lineRule="exact"/>
              <w:ind w:firstLine="480" w:firstLineChars="200"/>
              <w:rPr>
                <w:rFonts w:hint="default" w:hAnsi="宋体"/>
                <w:color w:val="auto"/>
                <w:sz w:val="24"/>
                <w:u w:val="none" w:color="auto"/>
                <w:lang w:val="en-US" w:eastAsia="zh-CN"/>
              </w:rPr>
            </w:pPr>
            <w:r>
              <w:rPr>
                <w:rFonts w:hint="eastAsia" w:hAnsi="宋体"/>
                <w:color w:val="auto"/>
                <w:sz w:val="24"/>
                <w:u w:val="none" w:color="auto"/>
                <w:lang w:val="en-US" w:eastAsia="zh-CN"/>
              </w:rPr>
              <w:t>（2）运营期</w:t>
            </w:r>
          </w:p>
          <w:p w14:paraId="5D610C8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color w:val="auto"/>
                <w:sz w:val="24"/>
                <w:u w:val="none" w:color="auto"/>
              </w:rPr>
            </w:pPr>
            <w:r>
              <w:rPr>
                <w:rFonts w:hint="eastAsia" w:hAnsi="宋体"/>
                <w:color w:val="auto"/>
                <w:sz w:val="24"/>
                <w:u w:val="none" w:color="auto"/>
                <w:lang w:val="en-US" w:eastAsia="zh-CN"/>
              </w:rPr>
              <w:t>项目为精神病专科医院，主要治疗的疾病是精神疾病，不设置其他疾病及发热科室等，2号楼产生的各项污、废水均列入医疗废水，主要污染因子为</w:t>
            </w:r>
            <w:r>
              <w:rPr>
                <w:rFonts w:ascii="Times New Roman" w:hAnsi="Times New Roman"/>
                <w:color w:val="auto"/>
                <w:sz w:val="24"/>
                <w:u w:val="none" w:color="auto"/>
              </w:rPr>
              <w:t>pH</w:t>
            </w:r>
            <w:r>
              <w:rPr>
                <w:rFonts w:ascii="Times New Roman" w:hAnsi="宋体"/>
                <w:color w:val="auto"/>
                <w:sz w:val="24"/>
                <w:u w:val="none" w:color="auto"/>
              </w:rPr>
              <w:t>值、</w:t>
            </w:r>
            <w:r>
              <w:rPr>
                <w:rFonts w:ascii="Times New Roman" w:hAnsi="Times New Roman"/>
                <w:color w:val="auto"/>
                <w:sz w:val="24"/>
                <w:u w:val="none" w:color="auto"/>
              </w:rPr>
              <w:t>SS</w:t>
            </w:r>
            <w:r>
              <w:rPr>
                <w:rFonts w:ascii="Times New Roman" w:hAnsi="宋体"/>
                <w:color w:val="auto"/>
                <w:sz w:val="24"/>
                <w:u w:val="none" w:color="auto"/>
              </w:rPr>
              <w:t>、</w:t>
            </w:r>
            <w:r>
              <w:rPr>
                <w:rFonts w:ascii="Times New Roman" w:hAnsi="Times New Roman"/>
                <w:color w:val="auto"/>
                <w:sz w:val="24"/>
                <w:u w:val="none" w:color="auto"/>
              </w:rPr>
              <w:t>COD</w:t>
            </w:r>
            <w:r>
              <w:rPr>
                <w:rFonts w:ascii="Times New Roman" w:hAnsi="Times New Roman"/>
                <w:color w:val="auto"/>
                <w:sz w:val="24"/>
                <w:u w:val="none" w:color="auto"/>
                <w:vertAlign w:val="subscript"/>
              </w:rPr>
              <w:t>cr</w:t>
            </w:r>
            <w:r>
              <w:rPr>
                <w:rFonts w:ascii="Times New Roman" w:hAnsi="宋体"/>
                <w:color w:val="auto"/>
                <w:sz w:val="24"/>
                <w:u w:val="none" w:color="auto"/>
              </w:rPr>
              <w:t>、</w:t>
            </w:r>
            <w:r>
              <w:rPr>
                <w:rFonts w:ascii="Times New Roman" w:hAnsi="Times New Roman"/>
                <w:color w:val="auto"/>
                <w:sz w:val="24"/>
                <w:u w:val="none" w:color="auto"/>
              </w:rPr>
              <w:t>BOD</w:t>
            </w:r>
            <w:r>
              <w:rPr>
                <w:rFonts w:ascii="Times New Roman" w:hAnsi="Times New Roman"/>
                <w:color w:val="auto"/>
                <w:sz w:val="24"/>
                <w:u w:val="none" w:color="auto"/>
                <w:vertAlign w:val="subscript"/>
              </w:rPr>
              <w:t>5</w:t>
            </w:r>
            <w:r>
              <w:rPr>
                <w:rFonts w:ascii="Times New Roman" w:hAnsi="宋体"/>
                <w:color w:val="auto"/>
                <w:sz w:val="24"/>
                <w:u w:val="none" w:color="auto"/>
              </w:rPr>
              <w:t>、氨氮、粪大肠菌群</w:t>
            </w:r>
            <w:r>
              <w:rPr>
                <w:rFonts w:hint="eastAsia" w:hAnsi="宋体"/>
                <w:color w:val="auto"/>
                <w:sz w:val="24"/>
                <w:u w:val="none" w:color="auto"/>
                <w:lang w:val="en-US" w:eastAsia="zh-CN"/>
              </w:rPr>
              <w:t>等。特殊医疗废水（为酸性废水）经中和处理后，与其他一般医疗废水经2号楼配套的</w:t>
            </w:r>
            <w:r>
              <w:rPr>
                <w:rFonts w:hint="default" w:ascii="Times New Roman" w:hAnsi="宋体"/>
                <w:color w:val="auto"/>
                <w:sz w:val="24"/>
                <w:u w:val="none" w:color="auto"/>
                <w:lang w:val="en-US" w:eastAsia="zh-CN"/>
              </w:rPr>
              <w:t>2#化粪池+地埋式污水处理站</w:t>
            </w:r>
            <w:r>
              <w:rPr>
                <w:rFonts w:hint="eastAsia" w:hAnsi="宋体"/>
                <w:color w:val="auto"/>
                <w:sz w:val="24"/>
                <w:u w:val="none" w:color="auto"/>
                <w:lang w:val="en-US" w:eastAsia="zh-CN"/>
              </w:rPr>
              <w:t>（格栅+</w:t>
            </w:r>
            <w:r>
              <w:rPr>
                <w:rFonts w:hint="eastAsia"/>
                <w:color w:val="auto"/>
                <w:sz w:val="24"/>
                <w:u w:val="none" w:color="auto"/>
                <w:lang w:val="en-US" w:eastAsia="zh-CN"/>
              </w:rPr>
              <w:t>混凝沉淀</w:t>
            </w:r>
            <w:r>
              <w:rPr>
                <w:rFonts w:ascii="Times New Roman" w:hAnsi="Times New Roman"/>
                <w:color w:val="auto"/>
                <w:sz w:val="24"/>
                <w:u w:val="none" w:color="auto"/>
              </w:rPr>
              <w:t>+</w:t>
            </w:r>
            <w:r>
              <w:rPr>
                <w:rFonts w:hint="eastAsia"/>
                <w:color w:val="auto"/>
                <w:sz w:val="24"/>
                <w:u w:val="none" w:color="auto"/>
                <w:lang w:val="en-US" w:eastAsia="zh-CN"/>
              </w:rPr>
              <w:t>A/O生物接触氧化+</w:t>
            </w:r>
            <w:r>
              <w:rPr>
                <w:rFonts w:hint="eastAsia" w:hAnsi="宋体"/>
                <w:color w:val="auto"/>
                <w:sz w:val="24"/>
                <w:u w:val="none" w:color="auto"/>
                <w:lang w:val="en-US" w:eastAsia="zh-CN"/>
              </w:rPr>
              <w:t>紫外线消毒）处理，</w:t>
            </w:r>
            <w:r>
              <w:rPr>
                <w:rFonts w:ascii="Times New Roman" w:hAnsi="宋体"/>
                <w:color w:val="auto"/>
                <w:sz w:val="24"/>
                <w:u w:val="none" w:color="auto"/>
              </w:rPr>
              <w:t>达</w:t>
            </w:r>
            <w:r>
              <w:rPr>
                <w:rFonts w:hint="eastAsia" w:hAnsi="宋体"/>
                <w:color w:val="auto"/>
                <w:sz w:val="24"/>
                <w:u w:val="none" w:color="auto"/>
                <w:lang w:val="en-US" w:eastAsia="zh-CN"/>
              </w:rPr>
              <w:t>到</w:t>
            </w:r>
            <w:r>
              <w:rPr>
                <w:rFonts w:ascii="Times New Roman" w:hAnsi="宋体"/>
                <w:color w:val="auto"/>
                <w:sz w:val="24"/>
                <w:u w:val="none" w:color="auto"/>
              </w:rPr>
              <w:t>《医疗机构水污染物排放标准》（</w:t>
            </w:r>
            <w:r>
              <w:rPr>
                <w:rFonts w:ascii="Times New Roman" w:hAnsi="Times New Roman"/>
                <w:color w:val="auto"/>
                <w:sz w:val="24"/>
                <w:u w:val="none" w:color="auto"/>
              </w:rPr>
              <w:t>GB18466-2005</w:t>
            </w:r>
            <w:r>
              <w:rPr>
                <w:rFonts w:ascii="Times New Roman" w:hAnsi="宋体"/>
                <w:color w:val="auto"/>
                <w:sz w:val="24"/>
                <w:u w:val="none" w:color="auto"/>
              </w:rPr>
              <w:t>）</w:t>
            </w:r>
            <w:r>
              <w:rPr>
                <w:rFonts w:ascii="Times New Roman" w:hAnsi="宋体"/>
                <w:color w:val="auto"/>
                <w:sz w:val="24"/>
                <w:u w:val="none" w:color="auto"/>
                <w:lang w:val="zh-CN"/>
              </w:rPr>
              <w:t>综合医疗机构和其他医疗机构水污染物</w:t>
            </w:r>
            <w:r>
              <w:rPr>
                <w:rFonts w:hint="eastAsia" w:ascii="Times New Roman" w:hAnsi="宋体"/>
                <w:color w:val="auto"/>
                <w:sz w:val="24"/>
                <w:u w:val="none" w:color="auto"/>
                <w:lang w:val="zh-CN"/>
              </w:rPr>
              <w:t>预处理标准</w:t>
            </w:r>
            <w:r>
              <w:rPr>
                <w:rFonts w:hint="eastAsia" w:hAnsi="宋体"/>
                <w:color w:val="auto"/>
                <w:sz w:val="24"/>
                <w:u w:val="none" w:color="auto"/>
                <w:lang w:val="en-US" w:eastAsia="zh-CN"/>
              </w:rPr>
              <w:t>及</w:t>
            </w:r>
            <w:r>
              <w:rPr>
                <w:rFonts w:hint="eastAsia" w:ascii="宋体" w:hAnsi="宋体" w:eastAsia="宋体" w:cs="宋体"/>
                <w:color w:val="auto"/>
                <w:kern w:val="0"/>
                <w:sz w:val="24"/>
                <w:szCs w:val="24"/>
                <w:u w:val="none" w:color="auto"/>
                <w:lang w:val="en-US" w:eastAsia="zh-CN" w:bidi="ar"/>
              </w:rPr>
              <w:t>南宁市江南污水处理厂接管标准最严格标准</w:t>
            </w:r>
            <w:r>
              <w:rPr>
                <w:rFonts w:hint="eastAsia" w:ascii="宋体" w:hAnsi="宋体" w:cs="宋体"/>
                <w:color w:val="auto"/>
                <w:kern w:val="0"/>
                <w:sz w:val="24"/>
                <w:szCs w:val="24"/>
                <w:u w:val="none" w:color="auto"/>
                <w:lang w:val="en-US" w:eastAsia="zh-CN" w:bidi="ar"/>
              </w:rPr>
              <w:t>后外排</w:t>
            </w:r>
            <w:r>
              <w:rPr>
                <w:rFonts w:hint="eastAsia" w:hAnsi="宋体"/>
                <w:color w:val="auto"/>
                <w:sz w:val="24"/>
                <w:u w:val="none" w:color="auto"/>
                <w:lang w:val="en-US" w:eastAsia="zh-CN"/>
              </w:rPr>
              <w:t>，</w:t>
            </w:r>
            <w:r>
              <w:rPr>
                <w:rFonts w:hint="eastAsia"/>
                <w:color w:val="auto"/>
                <w:sz w:val="24"/>
                <w:u w:val="none" w:color="auto"/>
                <w:lang w:val="en-US" w:eastAsia="zh-CN"/>
              </w:rPr>
              <w:t>标准值具体如下</w:t>
            </w:r>
            <w:r>
              <w:rPr>
                <w:rFonts w:hint="eastAsia"/>
                <w:color w:val="auto"/>
                <w:sz w:val="24"/>
                <w:u w:val="none" w:color="auto"/>
              </w:rPr>
              <w:t>：</w:t>
            </w:r>
          </w:p>
          <w:p w14:paraId="7DFC6C83">
            <w:pPr>
              <w:pStyle w:val="10"/>
              <w:numPr>
                <w:ilvl w:val="0"/>
                <w:numId w:val="3"/>
              </w:numPr>
              <w:ind w:left="0" w:firstLine="0" w:firstLineChars="0"/>
              <w:jc w:val="center"/>
              <w:rPr>
                <w:rFonts w:hint="eastAsia" w:ascii="黑体" w:hAnsi="黑体" w:eastAsia="黑体"/>
                <w:b w:val="0"/>
                <w:color w:val="auto"/>
                <w:u w:val="none" w:color="auto"/>
              </w:rPr>
            </w:pPr>
            <w:bookmarkStart w:id="16" w:name="_Ref522742461"/>
            <w:r>
              <w:rPr>
                <w:rFonts w:ascii="黑体" w:hAnsi="黑体" w:eastAsia="黑体"/>
                <w:b w:val="0"/>
                <w:color w:val="auto"/>
                <w:u w:val="none" w:color="auto"/>
              </w:rPr>
              <w:t>《医疗机构水污染物排放标准》</w:t>
            </w:r>
            <w:r>
              <w:rPr>
                <w:rFonts w:hint="eastAsia" w:ascii="黑体" w:hAnsi="黑体" w:eastAsia="黑体"/>
                <w:b w:val="0"/>
                <w:color w:val="auto"/>
                <w:u w:val="none" w:color="auto"/>
              </w:rPr>
              <w:t>（</w:t>
            </w:r>
            <w:r>
              <w:rPr>
                <w:rFonts w:ascii="黑体" w:hAnsi="黑体" w:eastAsia="黑体"/>
                <w:b w:val="0"/>
                <w:color w:val="auto"/>
                <w:u w:val="none" w:color="auto"/>
              </w:rPr>
              <w:t>GB18466</w:t>
            </w:r>
            <w:r>
              <w:rPr>
                <w:rFonts w:hint="eastAsia" w:ascii="黑体" w:hAnsi="黑体" w:eastAsia="黑体"/>
                <w:b w:val="0"/>
                <w:color w:val="auto"/>
                <w:u w:val="none" w:color="auto"/>
              </w:rPr>
              <w:t>-</w:t>
            </w:r>
            <w:r>
              <w:rPr>
                <w:rFonts w:ascii="黑体" w:hAnsi="黑体" w:eastAsia="黑体"/>
                <w:b w:val="0"/>
                <w:color w:val="auto"/>
                <w:u w:val="none" w:color="auto"/>
              </w:rPr>
              <w:t>2005</w:t>
            </w:r>
            <w:r>
              <w:rPr>
                <w:rFonts w:hint="eastAsia" w:ascii="黑体" w:hAnsi="黑体" w:eastAsia="黑体"/>
                <w:b w:val="0"/>
                <w:color w:val="auto"/>
                <w:u w:val="none" w:color="auto"/>
              </w:rPr>
              <w:t>）</w:t>
            </w:r>
            <w:bookmarkEnd w:id="16"/>
          </w:p>
          <w:tbl>
            <w:tblPr>
              <w:tblStyle w:val="22"/>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5"/>
              <w:gridCol w:w="2017"/>
              <w:gridCol w:w="1929"/>
              <w:gridCol w:w="2155"/>
              <w:gridCol w:w="2155"/>
            </w:tblGrid>
            <w:tr w14:paraId="4919E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815" w:type="dxa"/>
                  <w:tcBorders>
                    <w:top w:val="single" w:color="000000" w:sz="6" w:space="0"/>
                    <w:left w:val="single" w:color="auto" w:sz="0" w:space="0"/>
                    <w:bottom w:val="single" w:color="000000" w:sz="4" w:space="0"/>
                    <w:right w:val="single" w:color="000000" w:sz="4" w:space="0"/>
                  </w:tcBorders>
                  <w:shd w:val="clear" w:color="auto" w:fill="auto"/>
                  <w:vAlign w:val="center"/>
                </w:tcPr>
                <w:p w14:paraId="459EEB2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序号</w:t>
                  </w:r>
                </w:p>
              </w:tc>
              <w:tc>
                <w:tcPr>
                  <w:tcW w:w="2017" w:type="dxa"/>
                  <w:tcBorders>
                    <w:top w:val="single" w:color="000000" w:sz="6" w:space="0"/>
                    <w:left w:val="single" w:color="000000" w:sz="4" w:space="0"/>
                    <w:bottom w:val="single" w:color="000000" w:sz="4" w:space="0"/>
                    <w:right w:val="single" w:color="000000" w:sz="4" w:space="0"/>
                  </w:tcBorders>
                  <w:shd w:val="clear" w:color="auto" w:fill="auto"/>
                  <w:vAlign w:val="center"/>
                </w:tcPr>
                <w:p w14:paraId="6E66089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监测因子</w:t>
                  </w:r>
                </w:p>
              </w:tc>
              <w:tc>
                <w:tcPr>
                  <w:tcW w:w="1929" w:type="dxa"/>
                  <w:tcBorders>
                    <w:top w:val="single" w:color="000000" w:sz="6" w:space="0"/>
                    <w:left w:val="single" w:color="000000" w:sz="4" w:space="0"/>
                    <w:bottom w:val="single" w:color="000000" w:sz="4" w:space="0"/>
                    <w:right w:val="single" w:color="000000" w:sz="4" w:space="0"/>
                  </w:tcBorders>
                  <w:shd w:val="clear" w:color="auto" w:fill="auto"/>
                  <w:vAlign w:val="center"/>
                </w:tcPr>
                <w:p w14:paraId="0DF0F64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《医疗机构水污染物排放标准》（GB18466-2005）浓度限值</w:t>
                  </w:r>
                </w:p>
              </w:tc>
              <w:tc>
                <w:tcPr>
                  <w:tcW w:w="2155" w:type="dxa"/>
                  <w:tcBorders>
                    <w:top w:val="single" w:color="000000" w:sz="6" w:space="0"/>
                    <w:left w:val="single" w:color="000000" w:sz="4" w:space="0"/>
                    <w:bottom w:val="single" w:color="000000" w:sz="4" w:space="0"/>
                    <w:right w:val="single" w:color="000000" w:sz="4" w:space="0"/>
                  </w:tcBorders>
                  <w:shd w:val="clear" w:color="auto" w:fill="auto"/>
                  <w:vAlign w:val="center"/>
                </w:tcPr>
                <w:p w14:paraId="50DE9D9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color w:val="auto"/>
                      <w:sz w:val="21"/>
                      <w:szCs w:val="21"/>
                      <w:u w:val="none" w:color="auto"/>
                      <w:lang w:val="en-US" w:eastAsia="zh-CN"/>
                    </w:rPr>
                    <w:t>江南区污水处理厂接管标准</w:t>
                  </w:r>
                </w:p>
              </w:tc>
              <w:tc>
                <w:tcPr>
                  <w:tcW w:w="2155" w:type="dxa"/>
                  <w:tcBorders>
                    <w:top w:val="single" w:color="000000" w:sz="6" w:space="0"/>
                    <w:left w:val="single" w:color="000000" w:sz="4" w:space="0"/>
                    <w:bottom w:val="single" w:color="000000" w:sz="4" w:space="0"/>
                    <w:right w:val="single" w:color="000000" w:sz="4" w:space="0"/>
                  </w:tcBorders>
                  <w:shd w:val="clear" w:color="auto" w:fill="auto"/>
                  <w:vAlign w:val="center"/>
                </w:tcPr>
                <w:p w14:paraId="54CE977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从严取值</w:t>
                  </w:r>
                </w:p>
              </w:tc>
            </w:tr>
            <w:tr w14:paraId="1A404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5"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5D19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DBB4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COD</w:t>
                  </w:r>
                  <w:r>
                    <w:rPr>
                      <w:rFonts w:hint="default" w:ascii="Times New Roman" w:hAnsi="Times New Roman" w:eastAsia="宋体" w:cs="Times New Roman"/>
                      <w:i w:val="0"/>
                      <w:iCs w:val="0"/>
                      <w:color w:val="auto"/>
                      <w:kern w:val="0"/>
                      <w:sz w:val="21"/>
                      <w:szCs w:val="21"/>
                      <w:u w:val="none" w:color="auto"/>
                      <w:vertAlign w:val="subscript"/>
                      <w:lang w:val="en-US" w:eastAsia="zh-CN" w:bidi="ar"/>
                    </w:rPr>
                    <w:t>Cr</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C701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250</w:t>
                  </w:r>
                  <w:r>
                    <w:rPr>
                      <w:rFonts w:hint="default" w:ascii="Times New Roman" w:hAnsi="Times New Roman" w:eastAsia="宋体" w:cs="Times New Roman"/>
                      <w:i w:val="0"/>
                      <w:iCs w:val="0"/>
                      <w:color w:val="auto"/>
                      <w:kern w:val="0"/>
                      <w:sz w:val="21"/>
                      <w:szCs w:val="21"/>
                      <w:u w:val="none" w:color="auto"/>
                      <w:lang w:val="en-US" w:eastAsia="zh-CN" w:bidi="ar"/>
                    </w:rPr>
                    <w:t>mg/L</w:t>
                  </w: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8AE8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400</w:t>
                  </w:r>
                  <w:r>
                    <w:rPr>
                      <w:rFonts w:hint="default" w:ascii="Times New Roman" w:hAnsi="Times New Roman" w:eastAsia="宋体" w:cs="Times New Roman"/>
                      <w:i w:val="0"/>
                      <w:iCs w:val="0"/>
                      <w:color w:val="auto"/>
                      <w:kern w:val="0"/>
                      <w:sz w:val="21"/>
                      <w:szCs w:val="21"/>
                      <w:u w:val="none" w:color="auto"/>
                      <w:lang w:val="en-US" w:eastAsia="zh-CN" w:bidi="ar"/>
                    </w:rPr>
                    <w:t>mg/L</w:t>
                  </w: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44BD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250</w:t>
                  </w:r>
                  <w:r>
                    <w:rPr>
                      <w:rFonts w:hint="default" w:ascii="Times New Roman" w:hAnsi="Times New Roman" w:eastAsia="宋体" w:cs="Times New Roman"/>
                      <w:i w:val="0"/>
                      <w:iCs w:val="0"/>
                      <w:color w:val="auto"/>
                      <w:kern w:val="0"/>
                      <w:sz w:val="21"/>
                      <w:szCs w:val="21"/>
                      <w:u w:val="none" w:color="auto"/>
                      <w:lang w:val="en-US" w:eastAsia="zh-CN" w:bidi="ar"/>
                    </w:rPr>
                    <w:t>mg/L</w:t>
                  </w:r>
                </w:p>
              </w:tc>
            </w:tr>
            <w:tr w14:paraId="66BE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39CB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10CF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BOD</w:t>
                  </w:r>
                  <w:r>
                    <w:rPr>
                      <w:rFonts w:hint="default" w:ascii="Times New Roman" w:hAnsi="Times New Roman" w:eastAsia="宋体" w:cs="Times New Roman"/>
                      <w:i w:val="0"/>
                      <w:iCs w:val="0"/>
                      <w:color w:val="auto"/>
                      <w:kern w:val="0"/>
                      <w:sz w:val="21"/>
                      <w:szCs w:val="21"/>
                      <w:u w:val="none" w:color="auto"/>
                      <w:vertAlign w:val="subscript"/>
                      <w:lang w:val="en-US" w:eastAsia="zh-CN" w:bidi="ar"/>
                    </w:rPr>
                    <w:t>5</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B7BE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100</w:t>
                  </w:r>
                  <w:r>
                    <w:rPr>
                      <w:rFonts w:hint="default" w:ascii="Times New Roman" w:hAnsi="Times New Roman" w:eastAsia="宋体" w:cs="Times New Roman"/>
                      <w:i w:val="0"/>
                      <w:iCs w:val="0"/>
                      <w:color w:val="auto"/>
                      <w:kern w:val="0"/>
                      <w:sz w:val="21"/>
                      <w:szCs w:val="21"/>
                      <w:u w:val="none" w:color="auto"/>
                      <w:lang w:val="en-US" w:eastAsia="zh-CN" w:bidi="ar"/>
                    </w:rPr>
                    <w:t>mg/L</w:t>
                  </w: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AB2E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180</w:t>
                  </w:r>
                  <w:r>
                    <w:rPr>
                      <w:rFonts w:hint="default" w:ascii="Times New Roman" w:hAnsi="Times New Roman" w:eastAsia="宋体" w:cs="Times New Roman"/>
                      <w:i w:val="0"/>
                      <w:iCs w:val="0"/>
                      <w:color w:val="auto"/>
                      <w:kern w:val="0"/>
                      <w:sz w:val="21"/>
                      <w:szCs w:val="21"/>
                      <w:u w:val="none" w:color="auto"/>
                      <w:lang w:val="en-US" w:eastAsia="zh-CN" w:bidi="ar"/>
                    </w:rPr>
                    <w:t>mg/L</w:t>
                  </w: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AF53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100</w:t>
                  </w:r>
                  <w:r>
                    <w:rPr>
                      <w:rFonts w:hint="default" w:ascii="Times New Roman" w:hAnsi="Times New Roman" w:eastAsia="宋体" w:cs="Times New Roman"/>
                      <w:i w:val="0"/>
                      <w:iCs w:val="0"/>
                      <w:color w:val="auto"/>
                      <w:kern w:val="0"/>
                      <w:sz w:val="21"/>
                      <w:szCs w:val="21"/>
                      <w:u w:val="none" w:color="auto"/>
                      <w:lang w:val="en-US" w:eastAsia="zh-CN" w:bidi="ar"/>
                    </w:rPr>
                    <w:t>mg/L</w:t>
                  </w:r>
                </w:p>
              </w:tc>
            </w:tr>
            <w:tr w14:paraId="3BCE8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C0A8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3</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6E69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SS</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D597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60</w:t>
                  </w:r>
                  <w:r>
                    <w:rPr>
                      <w:rFonts w:hint="default" w:ascii="Times New Roman" w:hAnsi="Times New Roman" w:eastAsia="宋体" w:cs="Times New Roman"/>
                      <w:i w:val="0"/>
                      <w:iCs w:val="0"/>
                      <w:color w:val="auto"/>
                      <w:kern w:val="0"/>
                      <w:sz w:val="21"/>
                      <w:szCs w:val="21"/>
                      <w:u w:val="none" w:color="auto"/>
                      <w:lang w:val="en-US" w:eastAsia="zh-CN" w:bidi="ar"/>
                    </w:rPr>
                    <w:t>mg/L</w:t>
                  </w: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4353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230</w:t>
                  </w:r>
                  <w:r>
                    <w:rPr>
                      <w:rFonts w:hint="default" w:ascii="Times New Roman" w:hAnsi="Times New Roman" w:eastAsia="宋体" w:cs="Times New Roman"/>
                      <w:i w:val="0"/>
                      <w:iCs w:val="0"/>
                      <w:color w:val="auto"/>
                      <w:kern w:val="0"/>
                      <w:sz w:val="21"/>
                      <w:szCs w:val="21"/>
                      <w:u w:val="none" w:color="auto"/>
                      <w:lang w:val="en-US" w:eastAsia="zh-CN" w:bidi="ar"/>
                    </w:rPr>
                    <w:t>mg/L</w:t>
                  </w: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6C4D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60</w:t>
                  </w:r>
                  <w:r>
                    <w:rPr>
                      <w:rFonts w:hint="default" w:ascii="Times New Roman" w:hAnsi="Times New Roman" w:eastAsia="宋体" w:cs="Times New Roman"/>
                      <w:i w:val="0"/>
                      <w:iCs w:val="0"/>
                      <w:color w:val="auto"/>
                      <w:kern w:val="0"/>
                      <w:sz w:val="21"/>
                      <w:szCs w:val="21"/>
                      <w:u w:val="none" w:color="auto"/>
                      <w:lang w:val="en-US" w:eastAsia="zh-CN" w:bidi="ar"/>
                    </w:rPr>
                    <w:t>mg/L</w:t>
                  </w:r>
                </w:p>
              </w:tc>
            </w:tr>
            <w:tr w14:paraId="330DC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A855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4</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D436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氨氮</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F2A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w:t>
                  </w: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3BBB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30</w:t>
                  </w:r>
                  <w:r>
                    <w:rPr>
                      <w:rFonts w:hint="default" w:ascii="Times New Roman" w:hAnsi="Times New Roman" w:eastAsia="宋体" w:cs="Times New Roman"/>
                      <w:i w:val="0"/>
                      <w:iCs w:val="0"/>
                      <w:color w:val="auto"/>
                      <w:kern w:val="0"/>
                      <w:sz w:val="21"/>
                      <w:szCs w:val="21"/>
                      <w:u w:val="none" w:color="auto"/>
                      <w:lang w:val="en-US" w:eastAsia="zh-CN" w:bidi="ar"/>
                    </w:rPr>
                    <w:t>mg/L</w:t>
                  </w: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5A4E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30</w:t>
                  </w:r>
                  <w:r>
                    <w:rPr>
                      <w:rFonts w:hint="default" w:ascii="Times New Roman" w:hAnsi="Times New Roman" w:eastAsia="宋体" w:cs="Times New Roman"/>
                      <w:i w:val="0"/>
                      <w:iCs w:val="0"/>
                      <w:color w:val="auto"/>
                      <w:kern w:val="0"/>
                      <w:sz w:val="21"/>
                      <w:szCs w:val="21"/>
                      <w:u w:val="none" w:color="auto"/>
                      <w:lang w:val="en-US" w:eastAsia="zh-CN" w:bidi="ar"/>
                    </w:rPr>
                    <w:t>mg/L</w:t>
                  </w:r>
                </w:p>
              </w:tc>
            </w:tr>
            <w:tr w14:paraId="02B31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B8BE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5</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B35D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动植物油</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39DC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20</w:t>
                  </w:r>
                  <w:r>
                    <w:rPr>
                      <w:rFonts w:hint="default" w:ascii="Times New Roman" w:hAnsi="Times New Roman" w:eastAsia="宋体" w:cs="Times New Roman"/>
                      <w:i w:val="0"/>
                      <w:iCs w:val="0"/>
                      <w:color w:val="auto"/>
                      <w:kern w:val="0"/>
                      <w:sz w:val="21"/>
                      <w:szCs w:val="21"/>
                      <w:u w:val="none" w:color="auto"/>
                      <w:lang w:val="en-US" w:eastAsia="zh-CN" w:bidi="ar"/>
                    </w:rPr>
                    <w:t>mg/L</w:t>
                  </w: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068D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w:t>
                  </w: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14CA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20</w:t>
                  </w:r>
                  <w:r>
                    <w:rPr>
                      <w:rFonts w:hint="default" w:ascii="Times New Roman" w:hAnsi="Times New Roman" w:eastAsia="宋体" w:cs="Times New Roman"/>
                      <w:i w:val="0"/>
                      <w:iCs w:val="0"/>
                      <w:color w:val="auto"/>
                      <w:kern w:val="0"/>
                      <w:sz w:val="21"/>
                      <w:szCs w:val="21"/>
                      <w:u w:val="none" w:color="auto"/>
                      <w:lang w:val="en-US" w:eastAsia="zh-CN" w:bidi="ar"/>
                    </w:rPr>
                    <w:t>mg/L</w:t>
                  </w:r>
                </w:p>
              </w:tc>
            </w:tr>
            <w:tr w14:paraId="57F27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0AC4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6</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BFA2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粪大肠菌群</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E40E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500</w:t>
                  </w:r>
                  <w:r>
                    <w:rPr>
                      <w:rFonts w:hint="eastAsia" w:cs="Times New Roman"/>
                      <w:i w:val="0"/>
                      <w:iCs w:val="0"/>
                      <w:color w:val="auto"/>
                      <w:kern w:val="0"/>
                      <w:sz w:val="21"/>
                      <w:szCs w:val="21"/>
                      <w:u w:val="none" w:color="auto"/>
                      <w:lang w:val="en-US" w:eastAsia="zh-CN" w:bidi="ar"/>
                    </w:rPr>
                    <w:t>0</w:t>
                  </w:r>
                  <w:r>
                    <w:rPr>
                      <w:rFonts w:hint="default" w:ascii="Times New Roman" w:hAnsi="Times New Roman" w:eastAsia="宋体" w:cs="Times New Roman"/>
                      <w:i w:val="0"/>
                      <w:iCs w:val="0"/>
                      <w:color w:val="auto"/>
                      <w:kern w:val="0"/>
                      <w:sz w:val="21"/>
                      <w:szCs w:val="21"/>
                      <w:u w:val="none" w:color="auto"/>
                      <w:lang w:val="en-US" w:eastAsia="zh-CN" w:bidi="ar"/>
                    </w:rPr>
                    <w:t>MPN/L</w:t>
                  </w: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8858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w:t>
                  </w: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D6AA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500</w:t>
                  </w:r>
                  <w:r>
                    <w:rPr>
                      <w:rFonts w:hint="eastAsia" w:cs="Times New Roman"/>
                      <w:i w:val="0"/>
                      <w:iCs w:val="0"/>
                      <w:color w:val="auto"/>
                      <w:kern w:val="0"/>
                      <w:sz w:val="21"/>
                      <w:szCs w:val="21"/>
                      <w:u w:val="none" w:color="auto"/>
                      <w:lang w:val="en-US" w:eastAsia="zh-CN" w:bidi="ar"/>
                    </w:rPr>
                    <w:t>0</w:t>
                  </w:r>
                  <w:r>
                    <w:rPr>
                      <w:rFonts w:hint="default" w:ascii="Times New Roman" w:hAnsi="Times New Roman" w:eastAsia="宋体" w:cs="Times New Roman"/>
                      <w:i w:val="0"/>
                      <w:iCs w:val="0"/>
                      <w:color w:val="auto"/>
                      <w:kern w:val="0"/>
                      <w:sz w:val="21"/>
                      <w:szCs w:val="21"/>
                      <w:u w:val="none" w:color="auto"/>
                      <w:lang w:val="en-US" w:eastAsia="zh-CN" w:bidi="ar"/>
                    </w:rPr>
                    <w:t>MPN/L</w:t>
                  </w:r>
                </w:p>
              </w:tc>
            </w:tr>
            <w:tr w14:paraId="6056B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3ACF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7</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021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lang w:val="en-US"/>
                    </w:rPr>
                  </w:pPr>
                  <w:r>
                    <w:rPr>
                      <w:rFonts w:hint="default" w:ascii="Times New Roman" w:hAnsi="Times New Roman" w:eastAsia="宋体" w:cs="Times New Roman"/>
                      <w:i w:val="0"/>
                      <w:iCs w:val="0"/>
                      <w:color w:val="auto"/>
                      <w:kern w:val="0"/>
                      <w:sz w:val="21"/>
                      <w:szCs w:val="21"/>
                      <w:u w:val="none" w:color="auto"/>
                      <w:lang w:val="en-US" w:eastAsia="zh-CN" w:bidi="ar"/>
                    </w:rPr>
                    <w:t>pH</w:t>
                  </w:r>
                  <w:r>
                    <w:rPr>
                      <w:rFonts w:hint="eastAsia" w:cs="Times New Roman"/>
                      <w:i w:val="0"/>
                      <w:iCs w:val="0"/>
                      <w:color w:val="auto"/>
                      <w:kern w:val="0"/>
                      <w:sz w:val="21"/>
                      <w:szCs w:val="21"/>
                      <w:u w:val="none" w:color="auto"/>
                      <w:lang w:val="en-US" w:eastAsia="zh-CN" w:bidi="ar"/>
                    </w:rPr>
                    <w:t>值</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68DB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6~9</w:t>
                  </w: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8381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w:t>
                  </w: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3054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6~9</w:t>
                  </w:r>
                </w:p>
              </w:tc>
            </w:tr>
            <w:tr w14:paraId="3AC57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E97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8</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7347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色度</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E413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w:t>
                  </w: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6FCF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w:t>
                  </w: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3277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w:t>
                  </w:r>
                </w:p>
              </w:tc>
            </w:tr>
            <w:tr w14:paraId="387E9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3CBC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9</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BA057">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cs="Times New Roman"/>
                      <w:i w:val="0"/>
                      <w:iCs w:val="0"/>
                      <w:color w:val="auto"/>
                      <w:kern w:val="0"/>
                      <w:sz w:val="21"/>
                      <w:szCs w:val="21"/>
                      <w:u w:val="none" w:color="auto"/>
                      <w:lang w:val="en-US" w:eastAsia="zh-CN" w:bidi="ar"/>
                    </w:rPr>
                  </w:pPr>
                  <w:r>
                    <w:rPr>
                      <w:rFonts w:hint="eastAsia" w:cs="Times New Roman"/>
                      <w:b w:val="0"/>
                      <w:bCs w:val="0"/>
                      <w:i w:val="0"/>
                      <w:iCs w:val="0"/>
                      <w:color w:val="auto"/>
                      <w:kern w:val="0"/>
                      <w:sz w:val="21"/>
                      <w:szCs w:val="21"/>
                      <w:u w:val="none" w:color="auto"/>
                      <w:lang w:val="en-US" w:eastAsia="zh-CN" w:bidi="ar"/>
                    </w:rPr>
                    <w:t>阴离子表面活性剂</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43D3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10</w:t>
                  </w: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F8F8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w:t>
                  </w: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3B11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10</w:t>
                  </w:r>
                </w:p>
              </w:tc>
            </w:tr>
            <w:tr w14:paraId="53697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2B83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10</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28F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cs="Times New Roman"/>
                      <w:i w:val="0"/>
                      <w:iCs w:val="0"/>
                      <w:color w:val="auto"/>
                      <w:kern w:val="0"/>
                      <w:sz w:val="21"/>
                      <w:szCs w:val="21"/>
                      <w:u w:val="none" w:color="auto"/>
                      <w:lang w:val="en-US" w:eastAsia="zh-CN" w:bidi="ar"/>
                    </w:rPr>
                  </w:pPr>
                  <w:r>
                    <w:rPr>
                      <w:rFonts w:hint="eastAsia" w:cs="Times New Roman"/>
                      <w:b w:val="0"/>
                      <w:bCs w:val="0"/>
                      <w:i w:val="0"/>
                      <w:iCs w:val="0"/>
                      <w:color w:val="auto"/>
                      <w:kern w:val="0"/>
                      <w:sz w:val="21"/>
                      <w:szCs w:val="21"/>
                      <w:u w:val="none" w:color="auto"/>
                      <w:lang w:val="en-US" w:eastAsia="zh-CN" w:bidi="ar"/>
                    </w:rPr>
                    <w:t>挥发酚</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7830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1.0</w:t>
                  </w: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73CA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w:t>
                  </w: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893E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1.0</w:t>
                  </w:r>
                </w:p>
              </w:tc>
            </w:tr>
          </w:tbl>
          <w:p w14:paraId="61D745F8">
            <w:pPr>
              <w:widowControl/>
              <w:adjustRightInd w:val="0"/>
              <w:snapToGrid w:val="0"/>
              <w:spacing w:before="156" w:beforeLines="50" w:line="240" w:lineRule="exact"/>
              <w:ind w:firstLine="315" w:firstLineChars="150"/>
              <w:rPr>
                <w:rFonts w:hint="eastAsia"/>
                <w:color w:val="auto"/>
                <w:sz w:val="21"/>
                <w:szCs w:val="18"/>
                <w:highlight w:val="none"/>
                <w:u w:val="none" w:color="auto"/>
              </w:rPr>
            </w:pPr>
            <w:r>
              <w:rPr>
                <w:rFonts w:hint="eastAsia"/>
                <w:color w:val="auto"/>
                <w:sz w:val="21"/>
                <w:szCs w:val="18"/>
                <w:highlight w:val="none"/>
                <w:u w:val="none" w:color="auto"/>
              </w:rPr>
              <w:t>备注：项目使用</w:t>
            </w:r>
            <w:r>
              <w:rPr>
                <w:rFonts w:hint="eastAsia"/>
                <w:color w:val="auto"/>
                <w:sz w:val="21"/>
                <w:szCs w:val="18"/>
                <w:highlight w:val="none"/>
                <w:u w:val="none" w:color="auto"/>
                <w:lang w:val="en-US" w:eastAsia="zh-CN"/>
              </w:rPr>
              <w:t>紫外线</w:t>
            </w:r>
            <w:r>
              <w:rPr>
                <w:rFonts w:hint="eastAsia"/>
                <w:color w:val="auto"/>
                <w:sz w:val="21"/>
                <w:szCs w:val="18"/>
                <w:highlight w:val="none"/>
                <w:u w:val="none" w:color="auto"/>
              </w:rPr>
              <w:t>消毒剂，因此对总余氯</w:t>
            </w:r>
            <w:r>
              <w:rPr>
                <w:rFonts w:hint="eastAsia"/>
                <w:color w:val="auto"/>
                <w:sz w:val="21"/>
                <w:szCs w:val="18"/>
                <w:highlight w:val="none"/>
                <w:u w:val="none" w:color="auto"/>
                <w:lang w:eastAsia="zh-CN"/>
              </w:rPr>
              <w:t>不作</w:t>
            </w:r>
            <w:r>
              <w:rPr>
                <w:rFonts w:hint="eastAsia"/>
                <w:color w:val="auto"/>
                <w:sz w:val="21"/>
                <w:szCs w:val="18"/>
                <w:highlight w:val="none"/>
                <w:u w:val="none" w:color="auto"/>
              </w:rPr>
              <w:t>要求。</w:t>
            </w:r>
          </w:p>
          <w:p w14:paraId="3744C475">
            <w:pPr>
              <w:numPr>
                <w:ilvl w:val="0"/>
                <w:numId w:val="0"/>
              </w:numPr>
              <w:tabs>
                <w:tab w:val="left" w:pos="3978"/>
                <w:tab w:val="center" w:pos="4931"/>
              </w:tabs>
              <w:adjustRightInd w:val="0"/>
              <w:snapToGrid w:val="0"/>
              <w:ind w:leftChars="200"/>
              <w:jc w:val="left"/>
              <w:rPr>
                <w:color w:val="auto"/>
                <w:u w:val="none" w:color="auto"/>
              </w:rPr>
            </w:pPr>
          </w:p>
          <w:p w14:paraId="7FAD4F4D">
            <w:pPr>
              <w:numPr>
                <w:ilvl w:val="0"/>
                <w:numId w:val="9"/>
              </w:numPr>
              <w:tabs>
                <w:tab w:val="left" w:pos="3978"/>
                <w:tab w:val="center" w:pos="4931"/>
              </w:tabs>
              <w:adjustRightInd w:val="0"/>
              <w:snapToGrid w:val="0"/>
              <w:ind w:firstLine="480"/>
              <w:jc w:val="left"/>
              <w:rPr>
                <w:color w:val="auto"/>
                <w:u w:val="none" w:color="auto"/>
              </w:rPr>
            </w:pPr>
            <w:r>
              <w:rPr>
                <w:color w:val="auto"/>
                <w:u w:val="none" w:color="auto"/>
                <w:lang w:bidi="ar"/>
              </w:rPr>
              <w:t>噪声排放标准</w:t>
            </w:r>
          </w:p>
          <w:p w14:paraId="07A2547A">
            <w:pPr>
              <w:tabs>
                <w:tab w:val="left" w:pos="3978"/>
                <w:tab w:val="center" w:pos="4931"/>
              </w:tabs>
              <w:adjustRightInd w:val="0"/>
              <w:snapToGrid w:val="0"/>
              <w:ind w:firstLine="480"/>
              <w:rPr>
                <w:rFonts w:hint="default"/>
                <w:color w:val="auto"/>
                <w:u w:val="none" w:color="auto"/>
                <w:lang w:val="en-US" w:eastAsia="zh-CN" w:bidi="ar"/>
              </w:rPr>
            </w:pPr>
            <w:r>
              <w:rPr>
                <w:rFonts w:hint="eastAsia"/>
                <w:color w:val="auto"/>
                <w:u w:val="none" w:color="auto"/>
                <w:lang w:eastAsia="zh-CN" w:bidi="ar"/>
              </w:rPr>
              <w:t>（</w:t>
            </w:r>
            <w:r>
              <w:rPr>
                <w:rFonts w:hint="eastAsia"/>
                <w:color w:val="auto"/>
                <w:u w:val="none" w:color="auto"/>
                <w:lang w:val="en-US" w:eastAsia="zh-CN" w:bidi="ar"/>
              </w:rPr>
              <w:t>1</w:t>
            </w:r>
            <w:r>
              <w:rPr>
                <w:rFonts w:hint="eastAsia"/>
                <w:color w:val="auto"/>
                <w:u w:val="none" w:color="auto"/>
                <w:lang w:eastAsia="zh-CN" w:bidi="ar"/>
              </w:rPr>
              <w:t>）</w:t>
            </w:r>
            <w:r>
              <w:rPr>
                <w:rFonts w:hint="eastAsia"/>
                <w:color w:val="auto"/>
                <w:u w:val="none" w:color="auto"/>
                <w:lang w:val="en-US" w:eastAsia="zh-CN" w:bidi="ar"/>
              </w:rPr>
              <w:t>施工期</w:t>
            </w:r>
          </w:p>
          <w:p w14:paraId="33E27CF1">
            <w:pPr>
              <w:tabs>
                <w:tab w:val="left" w:pos="3978"/>
                <w:tab w:val="center" w:pos="4931"/>
              </w:tabs>
              <w:adjustRightInd w:val="0"/>
              <w:snapToGrid w:val="0"/>
              <w:ind w:firstLine="480"/>
              <w:rPr>
                <w:rFonts w:hint="eastAsia"/>
                <w:color w:val="auto"/>
                <w:u w:val="none" w:color="auto"/>
                <w:lang w:eastAsia="zh-CN" w:bidi="ar"/>
              </w:rPr>
            </w:pPr>
            <w:r>
              <w:rPr>
                <w:color w:val="auto"/>
                <w:u w:val="none" w:color="auto"/>
                <w:lang w:bidi="ar"/>
              </w:rPr>
              <w:t>项目施工期厂界噪声执行《建筑施工场界环境噪声排放标准》（GB12523-2011）</w:t>
            </w:r>
            <w:r>
              <w:rPr>
                <w:rFonts w:hint="eastAsia"/>
                <w:color w:val="auto"/>
                <w:u w:val="none" w:color="auto"/>
                <w:lang w:eastAsia="zh-CN" w:bidi="ar"/>
              </w:rPr>
              <w:t>；</w:t>
            </w:r>
          </w:p>
          <w:p w14:paraId="20D7534B">
            <w:pPr>
              <w:pStyle w:val="10"/>
              <w:numPr>
                <w:ilvl w:val="0"/>
                <w:numId w:val="3"/>
              </w:numPr>
              <w:ind w:left="0" w:firstLine="0" w:firstLineChars="0"/>
              <w:jc w:val="center"/>
              <w:rPr>
                <w:rFonts w:ascii="黑体" w:hAnsi="黑体" w:eastAsia="黑体"/>
                <w:b w:val="0"/>
                <w:color w:val="auto"/>
                <w:u w:val="none" w:color="auto"/>
              </w:rPr>
            </w:pPr>
            <w:r>
              <w:rPr>
                <w:rFonts w:ascii="黑体" w:hAnsi="黑体" w:eastAsia="黑体"/>
                <w:b w:val="0"/>
                <w:color w:val="auto"/>
                <w:u w:val="none" w:color="auto"/>
              </w:rPr>
              <w:t>建筑施工场界环境噪声排放标准（摘录）  单位dB(A)</w:t>
            </w:r>
          </w:p>
          <w:tbl>
            <w:tblPr>
              <w:tblStyle w:val="22"/>
              <w:tblpPr w:leftFromText="180" w:rightFromText="180" w:vertAnchor="text" w:tblpXSpec="center" w:tblpY="1"/>
              <w:tblOverlap w:val="never"/>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2"/>
              <w:gridCol w:w="4252"/>
            </w:tblGrid>
            <w:tr w14:paraId="24BE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52" w:type="dxa"/>
                  <w:shd w:val="clear" w:color="auto" w:fill="auto"/>
                  <w:vAlign w:val="center"/>
                </w:tcPr>
                <w:p w14:paraId="151D6A7A">
                  <w:pPr>
                    <w:pStyle w:val="35"/>
                    <w:jc w:val="center"/>
                    <w:rPr>
                      <w:color w:val="auto"/>
                      <w:u w:val="none" w:color="auto"/>
                    </w:rPr>
                  </w:pPr>
                  <w:r>
                    <w:rPr>
                      <w:color w:val="auto"/>
                      <w:u w:val="none" w:color="auto"/>
                    </w:rPr>
                    <w:t>昼间</w:t>
                  </w:r>
                </w:p>
              </w:tc>
              <w:tc>
                <w:tcPr>
                  <w:tcW w:w="4252" w:type="dxa"/>
                  <w:shd w:val="clear" w:color="auto" w:fill="auto"/>
                  <w:vAlign w:val="center"/>
                </w:tcPr>
                <w:p w14:paraId="1183D066">
                  <w:pPr>
                    <w:pStyle w:val="35"/>
                    <w:jc w:val="center"/>
                    <w:rPr>
                      <w:color w:val="auto"/>
                      <w:u w:val="none" w:color="auto"/>
                    </w:rPr>
                  </w:pPr>
                  <w:r>
                    <w:rPr>
                      <w:color w:val="auto"/>
                      <w:u w:val="none" w:color="auto"/>
                    </w:rPr>
                    <w:t>夜间</w:t>
                  </w:r>
                </w:p>
              </w:tc>
            </w:tr>
            <w:tr w14:paraId="28312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52" w:type="dxa"/>
                  <w:shd w:val="clear" w:color="auto" w:fill="auto"/>
                  <w:vAlign w:val="center"/>
                </w:tcPr>
                <w:p w14:paraId="595B4D65">
                  <w:pPr>
                    <w:pStyle w:val="35"/>
                    <w:jc w:val="center"/>
                    <w:rPr>
                      <w:color w:val="auto"/>
                      <w:u w:val="none" w:color="auto"/>
                    </w:rPr>
                  </w:pPr>
                  <w:r>
                    <w:rPr>
                      <w:color w:val="auto"/>
                      <w:u w:val="none" w:color="auto"/>
                    </w:rPr>
                    <w:t>70</w:t>
                  </w:r>
                </w:p>
              </w:tc>
              <w:tc>
                <w:tcPr>
                  <w:tcW w:w="4252" w:type="dxa"/>
                  <w:shd w:val="clear" w:color="auto" w:fill="auto"/>
                  <w:vAlign w:val="center"/>
                </w:tcPr>
                <w:p w14:paraId="502D25B9">
                  <w:pPr>
                    <w:pStyle w:val="35"/>
                    <w:jc w:val="center"/>
                    <w:rPr>
                      <w:color w:val="auto"/>
                      <w:u w:val="none" w:color="auto"/>
                    </w:rPr>
                  </w:pPr>
                  <w:r>
                    <w:rPr>
                      <w:color w:val="auto"/>
                      <w:u w:val="none" w:color="auto"/>
                    </w:rPr>
                    <w:t>55</w:t>
                  </w:r>
                </w:p>
              </w:tc>
            </w:tr>
          </w:tbl>
          <w:p w14:paraId="623DA1E8">
            <w:pPr>
              <w:tabs>
                <w:tab w:val="left" w:pos="3978"/>
                <w:tab w:val="center" w:pos="4931"/>
              </w:tabs>
              <w:adjustRightInd w:val="0"/>
              <w:snapToGrid w:val="0"/>
              <w:ind w:firstLine="480"/>
              <w:rPr>
                <w:rFonts w:hint="default"/>
                <w:color w:val="auto"/>
                <w:u w:val="none" w:color="auto"/>
                <w:lang w:val="en-US" w:eastAsia="zh-CN" w:bidi="ar"/>
              </w:rPr>
            </w:pPr>
            <w:r>
              <w:rPr>
                <w:rFonts w:hint="eastAsia"/>
                <w:color w:val="auto"/>
                <w:u w:val="none" w:color="auto"/>
                <w:lang w:eastAsia="zh-CN" w:bidi="ar"/>
              </w:rPr>
              <w:t>（</w:t>
            </w:r>
            <w:r>
              <w:rPr>
                <w:rFonts w:hint="eastAsia"/>
                <w:color w:val="auto"/>
                <w:u w:val="none" w:color="auto"/>
                <w:lang w:val="en-US" w:eastAsia="zh-CN" w:bidi="ar"/>
              </w:rPr>
              <w:t>2</w:t>
            </w:r>
            <w:r>
              <w:rPr>
                <w:rFonts w:hint="eastAsia"/>
                <w:color w:val="auto"/>
                <w:u w:val="none" w:color="auto"/>
                <w:lang w:eastAsia="zh-CN" w:bidi="ar"/>
              </w:rPr>
              <w:t>）</w:t>
            </w:r>
            <w:r>
              <w:rPr>
                <w:rFonts w:hint="eastAsia"/>
                <w:color w:val="auto"/>
                <w:u w:val="none" w:color="auto"/>
                <w:lang w:val="en-US" w:eastAsia="zh-CN" w:bidi="ar"/>
              </w:rPr>
              <w:t>运营期</w:t>
            </w:r>
          </w:p>
          <w:p w14:paraId="45DF52F5">
            <w:pPr>
              <w:tabs>
                <w:tab w:val="left" w:pos="3978"/>
                <w:tab w:val="center" w:pos="4931"/>
              </w:tabs>
              <w:adjustRightInd w:val="0"/>
              <w:snapToGrid w:val="0"/>
              <w:ind w:firstLine="480"/>
              <w:rPr>
                <w:color w:val="auto"/>
                <w:u w:val="none" w:color="auto"/>
                <w:lang w:bidi="ar"/>
              </w:rPr>
            </w:pPr>
            <w:r>
              <w:rPr>
                <w:rFonts w:hint="eastAsia"/>
                <w:color w:val="auto"/>
                <w:u w:val="none" w:color="auto"/>
                <w:lang w:val="en-US" w:eastAsia="zh-CN"/>
              </w:rPr>
              <w:t>本项目距离主干道友谊路约33米，临路建筑为6层楼房，根据</w:t>
            </w:r>
            <w:r>
              <w:rPr>
                <w:rFonts w:hint="eastAsia" w:ascii="Times New Roman" w:hAnsi="Times New Roman" w:eastAsia="宋体" w:cs="Times New Roman"/>
                <w:color w:val="auto"/>
                <w:sz w:val="24"/>
                <w:u w:val="none" w:color="auto"/>
                <w:lang w:val="en-US" w:eastAsia="zh-CN"/>
              </w:rPr>
              <w:t>《声环境功能区划分技术规范》</w:t>
            </w:r>
            <w:r>
              <w:rPr>
                <w:rFonts w:hint="eastAsia"/>
                <w:color w:val="auto"/>
                <w:u w:val="none" w:color="auto"/>
                <w:lang w:val="en-US" w:eastAsia="zh-CN"/>
              </w:rPr>
              <w:t>（GB/T15190-2014）</w:t>
            </w:r>
            <w:r>
              <w:rPr>
                <w:rFonts w:hint="eastAsia" w:ascii="Times New Roman" w:hAnsi="Times New Roman" w:eastAsia="宋体" w:cs="Times New Roman"/>
                <w:color w:val="auto"/>
                <w:sz w:val="24"/>
                <w:u w:val="none" w:color="auto"/>
                <w:lang w:val="en-US" w:eastAsia="zh-CN"/>
              </w:rPr>
              <w:t>，将项目所在楼房面向交通干线一侧至交通干线边界线的区域定为4a类声环境功能区，其他区域执行2类声环境功能区</w:t>
            </w:r>
            <w:r>
              <w:rPr>
                <w:rFonts w:hint="eastAsia" w:cs="Times New Roman"/>
                <w:color w:val="auto"/>
                <w:sz w:val="24"/>
                <w:u w:val="none" w:color="auto"/>
                <w:lang w:val="en-US" w:eastAsia="zh-CN"/>
              </w:rPr>
              <w:t>，</w:t>
            </w:r>
            <w:r>
              <w:rPr>
                <w:rFonts w:hint="eastAsia"/>
                <w:color w:val="auto"/>
                <w:u w:val="none" w:color="auto"/>
                <w:lang w:val="en-US" w:eastAsia="zh-CN" w:bidi="ar"/>
              </w:rPr>
              <w:t>因此项目东侧场界</w:t>
            </w:r>
            <w:r>
              <w:rPr>
                <w:color w:val="auto"/>
                <w:u w:val="none" w:color="auto"/>
                <w:lang w:bidi="ar"/>
              </w:rPr>
              <w:t>执行《工业企业厂界环境噪声排放标准》（GB12348-2008）</w:t>
            </w:r>
            <w:r>
              <w:rPr>
                <w:rFonts w:hint="eastAsia"/>
                <w:color w:val="auto"/>
                <w:u w:val="none" w:color="auto"/>
                <w:lang w:val="en-US" w:eastAsia="zh-CN" w:bidi="ar"/>
              </w:rPr>
              <w:t>4</w:t>
            </w:r>
            <w:r>
              <w:rPr>
                <w:color w:val="auto"/>
                <w:u w:val="none" w:color="auto"/>
                <w:lang w:bidi="ar"/>
              </w:rPr>
              <w:t>类标准</w:t>
            </w:r>
            <w:r>
              <w:rPr>
                <w:rFonts w:hint="eastAsia"/>
                <w:color w:val="auto"/>
                <w:u w:val="none" w:color="auto"/>
                <w:lang w:eastAsia="zh-CN" w:bidi="ar"/>
              </w:rPr>
              <w:t>，</w:t>
            </w:r>
            <w:r>
              <w:rPr>
                <w:rFonts w:hint="eastAsia"/>
                <w:color w:val="auto"/>
                <w:u w:val="none" w:color="auto"/>
                <w:lang w:val="en-US" w:eastAsia="zh-CN" w:bidi="ar"/>
              </w:rPr>
              <w:t>其他区域执行2类标准</w:t>
            </w:r>
            <w:r>
              <w:rPr>
                <w:color w:val="auto"/>
                <w:u w:val="none" w:color="auto"/>
                <w:lang w:bidi="ar"/>
              </w:rPr>
              <w:t>。</w:t>
            </w:r>
          </w:p>
          <w:p w14:paraId="5C0C8B8D">
            <w:pPr>
              <w:pStyle w:val="10"/>
              <w:numPr>
                <w:ilvl w:val="0"/>
                <w:numId w:val="3"/>
              </w:numPr>
              <w:ind w:left="0" w:firstLine="0" w:firstLineChars="0"/>
              <w:jc w:val="center"/>
              <w:rPr>
                <w:rFonts w:ascii="黑体" w:hAnsi="黑体" w:eastAsia="黑体"/>
                <w:b w:val="0"/>
                <w:color w:val="auto"/>
                <w:u w:val="none" w:color="auto"/>
              </w:rPr>
            </w:pPr>
            <w:r>
              <w:rPr>
                <w:rFonts w:ascii="黑体" w:hAnsi="黑体" w:eastAsia="黑体"/>
                <w:b w:val="0"/>
                <w:color w:val="auto"/>
                <w:u w:val="none" w:color="auto"/>
              </w:rPr>
              <w:t>工业企业厂界环境噪声排放标准  单位dB(A)</w:t>
            </w:r>
          </w:p>
          <w:tbl>
            <w:tblPr>
              <w:tblStyle w:val="2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2835"/>
              <w:gridCol w:w="2834"/>
            </w:tblGrid>
            <w:tr w14:paraId="0714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2411B397">
                  <w:pPr>
                    <w:pStyle w:val="35"/>
                    <w:jc w:val="center"/>
                    <w:rPr>
                      <w:color w:val="auto"/>
                      <w:u w:val="none" w:color="auto"/>
                    </w:rPr>
                  </w:pPr>
                  <w:r>
                    <w:rPr>
                      <w:color w:val="auto"/>
                      <w:u w:val="none" w:color="auto"/>
                    </w:rPr>
                    <w:t>厂界功能区类别</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55C3F086">
                  <w:pPr>
                    <w:pStyle w:val="35"/>
                    <w:jc w:val="center"/>
                    <w:rPr>
                      <w:color w:val="auto"/>
                      <w:u w:val="none" w:color="auto"/>
                    </w:rPr>
                  </w:pPr>
                  <w:r>
                    <w:rPr>
                      <w:color w:val="auto"/>
                      <w:u w:val="none" w:color="auto"/>
                    </w:rPr>
                    <w:t>昼间</w:t>
                  </w:r>
                </w:p>
              </w:tc>
              <w:tc>
                <w:tcPr>
                  <w:tcW w:w="2834" w:type="dxa"/>
                  <w:tcBorders>
                    <w:top w:val="single" w:color="auto" w:sz="4" w:space="0"/>
                    <w:left w:val="single" w:color="auto" w:sz="4" w:space="0"/>
                    <w:bottom w:val="single" w:color="auto" w:sz="4" w:space="0"/>
                    <w:right w:val="single" w:color="auto" w:sz="4" w:space="0"/>
                  </w:tcBorders>
                  <w:shd w:val="clear" w:color="auto" w:fill="auto"/>
                  <w:vAlign w:val="center"/>
                </w:tcPr>
                <w:p w14:paraId="7F51326C">
                  <w:pPr>
                    <w:pStyle w:val="35"/>
                    <w:jc w:val="center"/>
                    <w:rPr>
                      <w:color w:val="auto"/>
                      <w:u w:val="none" w:color="auto"/>
                    </w:rPr>
                  </w:pPr>
                  <w:r>
                    <w:rPr>
                      <w:color w:val="auto"/>
                      <w:u w:val="none" w:color="auto"/>
                    </w:rPr>
                    <w:t>夜间</w:t>
                  </w:r>
                </w:p>
              </w:tc>
            </w:tr>
            <w:tr w14:paraId="3844C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0E5FF883">
                  <w:pPr>
                    <w:pStyle w:val="35"/>
                    <w:jc w:val="center"/>
                    <w:rPr>
                      <w:color w:val="auto"/>
                      <w:u w:val="none" w:color="auto"/>
                    </w:rPr>
                  </w:pPr>
                  <w:r>
                    <w:rPr>
                      <w:color w:val="auto"/>
                      <w:u w:val="none" w:color="auto"/>
                    </w:rPr>
                    <w:t>2类</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7911E804">
                  <w:pPr>
                    <w:pStyle w:val="35"/>
                    <w:jc w:val="center"/>
                    <w:rPr>
                      <w:color w:val="auto"/>
                      <w:u w:val="none" w:color="auto"/>
                    </w:rPr>
                  </w:pPr>
                  <w:r>
                    <w:rPr>
                      <w:color w:val="auto"/>
                      <w:u w:val="none" w:color="auto"/>
                    </w:rPr>
                    <w:t>60</w:t>
                  </w:r>
                </w:p>
              </w:tc>
              <w:tc>
                <w:tcPr>
                  <w:tcW w:w="2834" w:type="dxa"/>
                  <w:tcBorders>
                    <w:top w:val="single" w:color="auto" w:sz="4" w:space="0"/>
                    <w:left w:val="single" w:color="auto" w:sz="4" w:space="0"/>
                    <w:bottom w:val="single" w:color="auto" w:sz="4" w:space="0"/>
                    <w:right w:val="single" w:color="auto" w:sz="4" w:space="0"/>
                  </w:tcBorders>
                  <w:shd w:val="clear" w:color="auto" w:fill="auto"/>
                  <w:vAlign w:val="center"/>
                </w:tcPr>
                <w:p w14:paraId="788063DE">
                  <w:pPr>
                    <w:pStyle w:val="35"/>
                    <w:jc w:val="center"/>
                    <w:rPr>
                      <w:color w:val="auto"/>
                      <w:u w:val="none" w:color="auto"/>
                    </w:rPr>
                  </w:pPr>
                  <w:r>
                    <w:rPr>
                      <w:color w:val="auto"/>
                      <w:u w:val="none" w:color="auto"/>
                    </w:rPr>
                    <w:t>50</w:t>
                  </w:r>
                </w:p>
              </w:tc>
            </w:tr>
            <w:tr w14:paraId="5D48E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1BCF1051">
                  <w:pPr>
                    <w:pStyle w:val="35"/>
                    <w:jc w:val="center"/>
                    <w:rPr>
                      <w:rFonts w:hint="default" w:eastAsia="宋体"/>
                      <w:color w:val="auto"/>
                      <w:u w:val="none" w:color="auto"/>
                      <w:lang w:val="en-US" w:eastAsia="zh-CN"/>
                    </w:rPr>
                  </w:pPr>
                  <w:r>
                    <w:rPr>
                      <w:rFonts w:hint="eastAsia"/>
                      <w:color w:val="auto"/>
                      <w:u w:val="none" w:color="auto"/>
                      <w:lang w:val="en-US" w:eastAsia="zh-CN"/>
                    </w:rPr>
                    <w:t>4类</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039B0E9E">
                  <w:pPr>
                    <w:pStyle w:val="35"/>
                    <w:jc w:val="center"/>
                    <w:rPr>
                      <w:rFonts w:hint="default" w:eastAsia="宋体"/>
                      <w:color w:val="auto"/>
                      <w:u w:val="none" w:color="auto"/>
                      <w:lang w:val="en-US" w:eastAsia="zh-CN"/>
                    </w:rPr>
                  </w:pPr>
                  <w:r>
                    <w:rPr>
                      <w:rFonts w:hint="eastAsia"/>
                      <w:color w:val="auto"/>
                      <w:u w:val="none" w:color="auto"/>
                      <w:lang w:val="en-US" w:eastAsia="zh-CN"/>
                    </w:rPr>
                    <w:t>70</w:t>
                  </w:r>
                </w:p>
              </w:tc>
              <w:tc>
                <w:tcPr>
                  <w:tcW w:w="2834" w:type="dxa"/>
                  <w:tcBorders>
                    <w:top w:val="single" w:color="auto" w:sz="4" w:space="0"/>
                    <w:left w:val="single" w:color="auto" w:sz="4" w:space="0"/>
                    <w:bottom w:val="single" w:color="auto" w:sz="4" w:space="0"/>
                    <w:right w:val="single" w:color="auto" w:sz="4" w:space="0"/>
                  </w:tcBorders>
                  <w:shd w:val="clear" w:color="auto" w:fill="auto"/>
                  <w:vAlign w:val="center"/>
                </w:tcPr>
                <w:p w14:paraId="2A7174A8">
                  <w:pPr>
                    <w:pStyle w:val="35"/>
                    <w:jc w:val="center"/>
                    <w:rPr>
                      <w:rFonts w:hint="default" w:eastAsia="宋体"/>
                      <w:color w:val="auto"/>
                      <w:u w:val="none" w:color="auto"/>
                      <w:lang w:val="en-US" w:eastAsia="zh-CN"/>
                    </w:rPr>
                  </w:pPr>
                  <w:r>
                    <w:rPr>
                      <w:rFonts w:hint="eastAsia"/>
                      <w:color w:val="auto"/>
                      <w:u w:val="none" w:color="auto"/>
                      <w:lang w:val="en-US" w:eastAsia="zh-CN"/>
                    </w:rPr>
                    <w:t>55</w:t>
                  </w:r>
                </w:p>
              </w:tc>
            </w:tr>
          </w:tbl>
          <w:p w14:paraId="18695917">
            <w:pPr>
              <w:pStyle w:val="36"/>
              <w:numPr>
                <w:ilvl w:val="0"/>
                <w:numId w:val="0"/>
              </w:numPr>
              <w:ind w:left="418" w:leftChars="0"/>
              <w:rPr>
                <w:rFonts w:hint="eastAsia"/>
                <w:color w:val="auto"/>
                <w:u w:val="none" w:color="auto"/>
                <w:lang w:val="en-US" w:eastAsia="zh-CN"/>
              </w:rPr>
            </w:pPr>
          </w:p>
          <w:p w14:paraId="423C9C6E">
            <w:pPr>
              <w:numPr>
                <w:ilvl w:val="0"/>
                <w:numId w:val="9"/>
              </w:numPr>
              <w:tabs>
                <w:tab w:val="left" w:pos="3978"/>
                <w:tab w:val="center" w:pos="4931"/>
              </w:tabs>
              <w:adjustRightInd w:val="0"/>
              <w:snapToGrid w:val="0"/>
              <w:ind w:firstLine="480"/>
              <w:jc w:val="left"/>
              <w:rPr>
                <w:color w:val="auto"/>
                <w:u w:val="none" w:color="auto"/>
              </w:rPr>
            </w:pPr>
            <w:r>
              <w:rPr>
                <w:color w:val="auto"/>
                <w:u w:val="none" w:color="auto"/>
              </w:rPr>
              <w:t>固体废物污染控制标准</w:t>
            </w:r>
          </w:p>
          <w:p w14:paraId="3FD962CA">
            <w:pPr>
              <w:pStyle w:val="7"/>
              <w:rPr>
                <w:rFonts w:hint="eastAsia" w:eastAsia="宋体"/>
                <w:bCs/>
                <w:color w:val="auto"/>
                <w:sz w:val="24"/>
                <w:u w:val="none" w:color="auto"/>
                <w:lang w:val="en-US" w:eastAsia="zh-CN"/>
              </w:rPr>
            </w:pPr>
            <w:r>
              <w:rPr>
                <w:rFonts w:hint="eastAsia"/>
                <w:bCs/>
                <w:color w:val="auto"/>
                <w:sz w:val="24"/>
                <w:u w:val="none" w:color="auto"/>
                <w:lang w:eastAsia="zh-CN"/>
              </w:rPr>
              <w:t>（</w:t>
            </w:r>
            <w:r>
              <w:rPr>
                <w:rFonts w:hint="eastAsia"/>
                <w:bCs/>
                <w:color w:val="auto"/>
                <w:sz w:val="24"/>
                <w:u w:val="none" w:color="auto"/>
                <w:lang w:val="en-US" w:eastAsia="zh-CN"/>
              </w:rPr>
              <w:t>1</w:t>
            </w:r>
            <w:r>
              <w:rPr>
                <w:rFonts w:hint="eastAsia"/>
                <w:bCs/>
                <w:color w:val="auto"/>
                <w:sz w:val="24"/>
                <w:u w:val="none" w:color="auto"/>
                <w:lang w:eastAsia="zh-CN"/>
              </w:rPr>
              <w:t>）</w:t>
            </w:r>
            <w:r>
              <w:rPr>
                <w:rFonts w:hint="eastAsia"/>
                <w:bCs/>
                <w:color w:val="auto"/>
                <w:sz w:val="24"/>
                <w:u w:val="none" w:color="auto"/>
                <w:lang w:val="en-US" w:eastAsia="zh-CN"/>
              </w:rPr>
              <w:t>一般工业固体废物</w:t>
            </w:r>
            <w:r>
              <w:rPr>
                <w:rFonts w:hint="eastAsia" w:ascii="宋体" w:hAnsi="宋体" w:eastAsia="宋体"/>
                <w:color w:val="auto"/>
                <w:sz w:val="24"/>
                <w:szCs w:val="24"/>
                <w:u w:val="none" w:color="auto"/>
              </w:rPr>
              <w:t>执行《一般工业固体废物贮存和填埋场污染控制标准》（</w:t>
            </w:r>
            <w:r>
              <w:rPr>
                <w:rFonts w:hint="eastAsia" w:ascii="TimesNewRomanPSMT" w:hAnsi="TimesNewRomanPSMT" w:eastAsia="TimesNewRomanPSMT"/>
                <w:color w:val="auto"/>
                <w:sz w:val="24"/>
                <w:szCs w:val="24"/>
                <w:u w:val="none" w:color="auto"/>
              </w:rPr>
              <w:t>GB18599-2020</w:t>
            </w:r>
            <w:r>
              <w:rPr>
                <w:rFonts w:hint="eastAsia" w:ascii="宋体" w:hAnsi="宋体" w:eastAsia="宋体"/>
                <w:color w:val="auto"/>
                <w:sz w:val="24"/>
                <w:szCs w:val="24"/>
                <w:u w:val="none" w:color="auto"/>
              </w:rPr>
              <w:t>）</w:t>
            </w:r>
            <w:r>
              <w:rPr>
                <w:rFonts w:hint="eastAsia" w:ascii="宋体" w:hAnsi="宋体"/>
                <w:color w:val="auto"/>
                <w:sz w:val="24"/>
                <w:szCs w:val="24"/>
                <w:u w:val="none" w:color="auto"/>
                <w:lang w:eastAsia="zh-CN"/>
              </w:rPr>
              <w:t>，</w:t>
            </w:r>
            <w:r>
              <w:rPr>
                <w:rFonts w:hint="eastAsia"/>
                <w:color w:val="auto"/>
                <w:u w:val="none" w:color="auto"/>
              </w:rPr>
              <w:t>同时执行《排污许可证申请与核发技术规范 工业固体废物（试行）》（HJ1200-2021）</w:t>
            </w:r>
            <w:r>
              <w:rPr>
                <w:rFonts w:hint="eastAsia" w:ascii="宋体" w:hAnsi="宋体" w:eastAsia="宋体"/>
                <w:color w:val="auto"/>
                <w:sz w:val="24"/>
                <w:szCs w:val="24"/>
                <w:u w:val="none" w:color="auto"/>
                <w:lang w:eastAsia="zh-CN"/>
              </w:rPr>
              <w:t>；</w:t>
            </w:r>
          </w:p>
          <w:p w14:paraId="1682C1CE">
            <w:pPr>
              <w:spacing w:beforeLines="0" w:afterLines="0"/>
              <w:jc w:val="left"/>
              <w:rPr>
                <w:rFonts w:hint="default"/>
                <w:bCs/>
                <w:color w:val="auto"/>
                <w:sz w:val="24"/>
                <w:u w:val="none" w:color="auto"/>
                <w:lang w:val="en-US" w:eastAsia="zh-CN"/>
              </w:rPr>
            </w:pPr>
            <w:r>
              <w:rPr>
                <w:rFonts w:hint="eastAsia"/>
                <w:bCs/>
                <w:color w:val="auto"/>
                <w:sz w:val="24"/>
                <w:u w:val="none" w:color="auto"/>
                <w:lang w:eastAsia="zh-CN"/>
              </w:rPr>
              <w:t>（</w:t>
            </w:r>
            <w:r>
              <w:rPr>
                <w:rFonts w:hint="eastAsia"/>
                <w:bCs/>
                <w:color w:val="auto"/>
                <w:sz w:val="24"/>
                <w:u w:val="none" w:color="auto"/>
                <w:lang w:val="en-US" w:eastAsia="zh-CN"/>
              </w:rPr>
              <w:t>2</w:t>
            </w:r>
            <w:r>
              <w:rPr>
                <w:rFonts w:hint="eastAsia"/>
                <w:bCs/>
                <w:color w:val="auto"/>
                <w:sz w:val="24"/>
                <w:u w:val="none" w:color="auto"/>
                <w:lang w:eastAsia="zh-CN"/>
              </w:rPr>
              <w:t>）</w:t>
            </w:r>
            <w:r>
              <w:rPr>
                <w:rFonts w:hint="eastAsia"/>
                <w:bCs/>
                <w:color w:val="auto"/>
                <w:sz w:val="24"/>
                <w:u w:val="none" w:color="auto"/>
                <w:lang w:val="en-US" w:eastAsia="zh-CN"/>
              </w:rPr>
              <w:t>污水处理栅渣、污泥</w:t>
            </w:r>
            <w:r>
              <w:rPr>
                <w:rFonts w:hint="eastAsia"/>
                <w:color w:val="auto"/>
                <w:u w:val="none" w:color="auto"/>
                <w:lang w:val="en-US" w:eastAsia="zh-CN"/>
              </w:rPr>
              <w:t>及化粪池污泥</w:t>
            </w:r>
            <w:r>
              <w:rPr>
                <w:rFonts w:hint="eastAsia"/>
                <w:bCs/>
                <w:color w:val="auto"/>
                <w:sz w:val="24"/>
                <w:u w:val="none" w:color="auto"/>
                <w:lang w:val="en-US" w:eastAsia="zh-CN"/>
              </w:rPr>
              <w:t>：2号楼产生的医疗废水</w:t>
            </w:r>
            <w:r>
              <w:rPr>
                <w:rFonts w:hint="eastAsia" w:ascii="宋体" w:hAnsi="宋体" w:eastAsia="宋体"/>
                <w:color w:val="auto"/>
                <w:sz w:val="24"/>
                <w:szCs w:val="24"/>
                <w:u w:val="none" w:color="auto"/>
              </w:rPr>
              <w:t>污水处理栅渣</w:t>
            </w:r>
            <w:r>
              <w:rPr>
                <w:rFonts w:hint="eastAsia" w:ascii="宋体" w:hAnsi="宋体"/>
                <w:color w:val="auto"/>
                <w:sz w:val="24"/>
                <w:szCs w:val="24"/>
                <w:u w:val="none" w:color="auto"/>
                <w:lang w:eastAsia="zh-CN"/>
              </w:rPr>
              <w:t>、</w:t>
            </w:r>
            <w:r>
              <w:rPr>
                <w:rFonts w:hint="eastAsia" w:ascii="宋体" w:hAnsi="宋体" w:eastAsia="宋体"/>
                <w:color w:val="auto"/>
                <w:sz w:val="24"/>
                <w:szCs w:val="24"/>
                <w:u w:val="none" w:color="auto"/>
              </w:rPr>
              <w:t>污泥</w:t>
            </w:r>
            <w:r>
              <w:rPr>
                <w:rFonts w:hint="eastAsia" w:ascii="宋体" w:hAnsi="宋体"/>
                <w:color w:val="auto"/>
                <w:sz w:val="24"/>
                <w:szCs w:val="24"/>
                <w:u w:val="none" w:color="auto"/>
                <w:lang w:val="en-US" w:eastAsia="zh-CN"/>
              </w:rPr>
              <w:t>及化粪池污泥</w:t>
            </w:r>
            <w:r>
              <w:rPr>
                <w:rFonts w:hint="eastAsia" w:ascii="宋体" w:hAnsi="宋体" w:eastAsia="宋体"/>
                <w:color w:val="auto"/>
                <w:sz w:val="24"/>
                <w:szCs w:val="24"/>
                <w:u w:val="none" w:color="auto"/>
              </w:rPr>
              <w:t>清掏前应进行监测，执行《医疗机构水污染物排放标准》（</w:t>
            </w:r>
            <w:r>
              <w:rPr>
                <w:rFonts w:hint="eastAsia" w:ascii="TimesNewRomanPSMT" w:hAnsi="TimesNewRomanPSMT" w:eastAsia="TimesNewRomanPSMT"/>
                <w:color w:val="auto"/>
                <w:sz w:val="24"/>
                <w:szCs w:val="24"/>
                <w:u w:val="none" w:color="auto"/>
              </w:rPr>
              <w:t>GB18466-2005</w:t>
            </w:r>
            <w:r>
              <w:rPr>
                <w:rFonts w:hint="eastAsia" w:ascii="宋体" w:hAnsi="宋体" w:eastAsia="宋体"/>
                <w:color w:val="auto"/>
                <w:sz w:val="24"/>
                <w:szCs w:val="24"/>
                <w:u w:val="none" w:color="auto"/>
              </w:rPr>
              <w:t>）中“表</w:t>
            </w:r>
            <w:r>
              <w:rPr>
                <w:rFonts w:hint="eastAsia" w:ascii="TimesNewRomanPSMT" w:hAnsi="TimesNewRomanPSMT" w:eastAsia="TimesNewRomanPSMT"/>
                <w:color w:val="auto"/>
                <w:sz w:val="24"/>
                <w:szCs w:val="24"/>
                <w:u w:val="none" w:color="auto"/>
              </w:rPr>
              <w:t xml:space="preserve">4 </w:t>
            </w:r>
            <w:r>
              <w:rPr>
                <w:rFonts w:hint="eastAsia" w:ascii="宋体" w:hAnsi="宋体" w:eastAsia="宋体"/>
                <w:color w:val="auto"/>
                <w:sz w:val="24"/>
                <w:szCs w:val="24"/>
                <w:u w:val="none" w:color="auto"/>
              </w:rPr>
              <w:t>医疗机构污泥控制标准”，具体</w:t>
            </w:r>
            <w:r>
              <w:rPr>
                <w:rFonts w:hint="eastAsia" w:ascii="宋体" w:hAnsi="宋体"/>
                <w:color w:val="auto"/>
                <w:sz w:val="24"/>
                <w:szCs w:val="24"/>
                <w:u w:val="none" w:color="auto"/>
                <w:lang w:val="en-US" w:eastAsia="zh-CN"/>
              </w:rPr>
              <w:t>限值</w:t>
            </w:r>
            <w:r>
              <w:rPr>
                <w:rFonts w:hint="eastAsia" w:ascii="宋体" w:hAnsi="宋体" w:eastAsia="宋体"/>
                <w:color w:val="auto"/>
                <w:sz w:val="24"/>
                <w:szCs w:val="24"/>
                <w:u w:val="none" w:color="auto"/>
              </w:rPr>
              <w:t>详见</w:t>
            </w:r>
            <w:r>
              <w:rPr>
                <w:rFonts w:hint="eastAsia" w:ascii="宋体" w:hAnsi="宋体"/>
                <w:color w:val="auto"/>
                <w:sz w:val="24"/>
                <w:szCs w:val="24"/>
                <w:u w:val="none" w:color="auto"/>
                <w:lang w:val="en-US" w:eastAsia="zh-CN"/>
              </w:rPr>
              <w:t>表18。</w:t>
            </w:r>
            <w:r>
              <w:rPr>
                <w:rFonts w:hint="eastAsia" w:ascii="宋体" w:hAnsi="宋体" w:eastAsia="宋体"/>
                <w:color w:val="auto"/>
                <w:sz w:val="24"/>
                <w:szCs w:val="24"/>
                <w:u w:val="none" w:color="auto"/>
              </w:rPr>
              <w:t>根据《医疗机构水污染物排放标准》（</w:t>
            </w:r>
            <w:r>
              <w:rPr>
                <w:rFonts w:hint="eastAsia" w:ascii="TimesNewRomanPSMT" w:hAnsi="TimesNewRomanPSMT" w:eastAsia="TimesNewRomanPSMT"/>
                <w:color w:val="auto"/>
                <w:sz w:val="24"/>
                <w:szCs w:val="24"/>
                <w:u w:val="none" w:color="auto"/>
              </w:rPr>
              <w:t>GB18466-2005</w:t>
            </w:r>
            <w:r>
              <w:rPr>
                <w:rFonts w:hint="eastAsia" w:ascii="宋体" w:hAnsi="宋体" w:eastAsia="宋体"/>
                <w:color w:val="auto"/>
                <w:sz w:val="24"/>
                <w:szCs w:val="24"/>
                <w:u w:val="none" w:color="auto"/>
              </w:rPr>
              <w:t>）“</w:t>
            </w:r>
            <w:r>
              <w:rPr>
                <w:rFonts w:hint="eastAsia" w:ascii="TimesNewRomanPSMT" w:hAnsi="TimesNewRomanPSMT" w:eastAsia="TimesNewRomanPSMT"/>
                <w:color w:val="auto"/>
                <w:sz w:val="24"/>
                <w:szCs w:val="24"/>
                <w:u w:val="none" w:color="auto"/>
              </w:rPr>
              <w:t>4.3.1</w:t>
            </w:r>
            <w:r>
              <w:rPr>
                <w:rFonts w:hint="eastAsia" w:ascii="宋体" w:hAnsi="宋体" w:eastAsia="宋体"/>
                <w:color w:val="auto"/>
                <w:sz w:val="24"/>
                <w:szCs w:val="24"/>
                <w:u w:val="none" w:color="auto"/>
              </w:rPr>
              <w:t>栅渣、化粪池和污水处理站污泥属危险废物，应按危险废物进行处理和处置”。</w:t>
            </w:r>
          </w:p>
          <w:p w14:paraId="0DAD32CA">
            <w:pPr>
              <w:pStyle w:val="10"/>
              <w:numPr>
                <w:ilvl w:val="0"/>
                <w:numId w:val="3"/>
              </w:numPr>
              <w:ind w:left="0" w:firstLine="0" w:firstLineChars="0"/>
              <w:jc w:val="center"/>
              <w:rPr>
                <w:rFonts w:ascii="黑体" w:hAnsi="黑体" w:eastAsia="黑体"/>
                <w:b w:val="0"/>
                <w:color w:val="auto"/>
                <w:u w:val="none" w:color="auto"/>
              </w:rPr>
            </w:pPr>
            <w:bookmarkStart w:id="17" w:name="_Ref526928864"/>
            <w:r>
              <w:rPr>
                <w:rFonts w:ascii="黑体" w:hAnsi="黑体" w:eastAsia="黑体"/>
                <w:b w:val="0"/>
                <w:color w:val="auto"/>
                <w:u w:val="none" w:color="auto"/>
                <w:lang w:val="en-US" w:eastAsia="zh-CN"/>
              </w:rPr>
              <w:t>《医疗机构水污染物排放标准》</w:t>
            </w:r>
            <w:r>
              <w:rPr>
                <w:rFonts w:hint="eastAsia" w:ascii="黑体" w:hAnsi="黑体" w:eastAsia="黑体"/>
                <w:b w:val="0"/>
                <w:color w:val="auto"/>
                <w:u w:val="none" w:color="auto"/>
                <w:lang w:val="en-US" w:eastAsia="zh-CN"/>
              </w:rPr>
              <w:t>（</w:t>
            </w:r>
            <w:r>
              <w:rPr>
                <w:rFonts w:ascii="黑体" w:hAnsi="黑体" w:eastAsia="黑体"/>
                <w:b w:val="0"/>
                <w:color w:val="auto"/>
                <w:u w:val="none" w:color="auto"/>
                <w:lang w:val="en-US" w:eastAsia="zh-CN"/>
              </w:rPr>
              <w:t>GB18466</w:t>
            </w:r>
            <w:r>
              <w:rPr>
                <w:rFonts w:hint="eastAsia" w:ascii="黑体" w:hAnsi="黑体" w:eastAsia="黑体"/>
                <w:b w:val="0"/>
                <w:color w:val="auto"/>
                <w:u w:val="none" w:color="auto"/>
                <w:lang w:val="en-US" w:eastAsia="zh-CN"/>
              </w:rPr>
              <w:t>-</w:t>
            </w:r>
            <w:r>
              <w:rPr>
                <w:rFonts w:ascii="黑体" w:hAnsi="黑体" w:eastAsia="黑体"/>
                <w:b w:val="0"/>
                <w:color w:val="auto"/>
                <w:u w:val="none" w:color="auto"/>
                <w:lang w:val="en-US" w:eastAsia="zh-CN"/>
              </w:rPr>
              <w:t>2005</w:t>
            </w:r>
            <w:r>
              <w:rPr>
                <w:rFonts w:hint="eastAsia" w:ascii="黑体" w:hAnsi="黑体" w:eastAsia="黑体"/>
                <w:b w:val="0"/>
                <w:color w:val="auto"/>
                <w:u w:val="none" w:color="auto"/>
                <w:lang w:val="en-US" w:eastAsia="zh-CN"/>
              </w:rPr>
              <w:t>）</w:t>
            </w:r>
            <w:r>
              <w:rPr>
                <w:rFonts w:ascii="黑体" w:hAnsi="黑体" w:eastAsia="黑体"/>
                <w:b w:val="0"/>
                <w:color w:val="auto"/>
                <w:u w:val="none" w:color="auto"/>
                <w:lang w:val="en-US" w:eastAsia="zh-CN"/>
              </w:rPr>
              <w:t>医疗机构污泥控</w:t>
            </w:r>
            <w:r>
              <w:rPr>
                <w:rFonts w:ascii="黑体" w:hAnsi="黑体" w:eastAsia="黑体"/>
                <w:b w:val="0"/>
                <w:color w:val="auto"/>
                <w:u w:val="none" w:color="auto"/>
              </w:rPr>
              <w:t>制标准</w:t>
            </w:r>
            <w:bookmarkEnd w:id="17"/>
          </w:p>
          <w:tbl>
            <w:tblPr>
              <w:tblStyle w:val="22"/>
              <w:tblW w:w="84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7"/>
              <w:gridCol w:w="1559"/>
              <w:gridCol w:w="1276"/>
              <w:gridCol w:w="1134"/>
              <w:gridCol w:w="2125"/>
            </w:tblGrid>
            <w:tr w14:paraId="2AAA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exact"/>
                <w:jc w:val="center"/>
              </w:trPr>
              <w:tc>
                <w:tcPr>
                  <w:tcW w:w="2347" w:type="dxa"/>
                  <w:tcBorders>
                    <w:bottom w:val="single" w:color="auto" w:sz="4" w:space="0"/>
                  </w:tcBorders>
                  <w:vAlign w:val="center"/>
                </w:tcPr>
                <w:p w14:paraId="480D057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color w:val="auto"/>
                      <w:sz w:val="21"/>
                      <w:szCs w:val="21"/>
                      <w:u w:val="none" w:color="auto"/>
                    </w:rPr>
                  </w:pPr>
                  <w:r>
                    <w:rPr>
                      <w:color w:val="auto"/>
                      <w:sz w:val="21"/>
                      <w:szCs w:val="21"/>
                      <w:u w:val="none" w:color="auto"/>
                    </w:rPr>
                    <w:t>医疗机构类别</w:t>
                  </w:r>
                </w:p>
              </w:tc>
              <w:tc>
                <w:tcPr>
                  <w:tcW w:w="1559" w:type="dxa"/>
                  <w:tcBorders>
                    <w:bottom w:val="single" w:color="auto" w:sz="4" w:space="0"/>
                  </w:tcBorders>
                  <w:vAlign w:val="center"/>
                </w:tcPr>
                <w:p w14:paraId="334444D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color w:val="auto"/>
                      <w:sz w:val="21"/>
                      <w:szCs w:val="21"/>
                      <w:u w:val="none" w:color="auto"/>
                    </w:rPr>
                  </w:pPr>
                  <w:r>
                    <w:rPr>
                      <w:color w:val="auto"/>
                      <w:sz w:val="21"/>
                      <w:szCs w:val="21"/>
                      <w:u w:val="none" w:color="auto"/>
                    </w:rPr>
                    <w:t>粪大肠菌群</w:t>
                  </w:r>
                </w:p>
              </w:tc>
              <w:tc>
                <w:tcPr>
                  <w:tcW w:w="1276" w:type="dxa"/>
                  <w:tcBorders>
                    <w:bottom w:val="single" w:color="auto" w:sz="4" w:space="0"/>
                  </w:tcBorders>
                  <w:vAlign w:val="center"/>
                </w:tcPr>
                <w:p w14:paraId="11C5A5D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color w:val="auto"/>
                      <w:sz w:val="21"/>
                      <w:szCs w:val="21"/>
                      <w:u w:val="none" w:color="auto"/>
                    </w:rPr>
                  </w:pPr>
                  <w:r>
                    <w:rPr>
                      <w:color w:val="auto"/>
                      <w:sz w:val="21"/>
                      <w:szCs w:val="21"/>
                      <w:u w:val="none" w:color="auto"/>
                    </w:rPr>
                    <w:t>肠道致病菌</w:t>
                  </w:r>
                </w:p>
              </w:tc>
              <w:tc>
                <w:tcPr>
                  <w:tcW w:w="1134" w:type="dxa"/>
                  <w:tcBorders>
                    <w:bottom w:val="single" w:color="auto" w:sz="4" w:space="0"/>
                  </w:tcBorders>
                  <w:vAlign w:val="center"/>
                </w:tcPr>
                <w:p w14:paraId="5A0CC8F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color w:val="auto"/>
                      <w:sz w:val="21"/>
                      <w:szCs w:val="21"/>
                      <w:u w:val="none" w:color="auto"/>
                    </w:rPr>
                  </w:pPr>
                  <w:r>
                    <w:rPr>
                      <w:color w:val="auto"/>
                      <w:sz w:val="21"/>
                      <w:szCs w:val="21"/>
                      <w:u w:val="none" w:color="auto"/>
                    </w:rPr>
                    <w:t>结核杆菌</w:t>
                  </w:r>
                </w:p>
              </w:tc>
              <w:tc>
                <w:tcPr>
                  <w:tcW w:w="2125" w:type="dxa"/>
                  <w:tcBorders>
                    <w:bottom w:val="single" w:color="auto" w:sz="4" w:space="0"/>
                  </w:tcBorders>
                  <w:vAlign w:val="center"/>
                </w:tcPr>
                <w:p w14:paraId="5F2116EB">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color w:val="auto"/>
                      <w:sz w:val="21"/>
                      <w:szCs w:val="21"/>
                      <w:u w:val="none" w:color="auto"/>
                    </w:rPr>
                  </w:pPr>
                  <w:r>
                    <w:rPr>
                      <w:color w:val="auto"/>
                      <w:sz w:val="21"/>
                      <w:szCs w:val="21"/>
                      <w:u w:val="none" w:color="auto"/>
                    </w:rPr>
                    <w:t>蛔虫卵死亡率（%）</w:t>
                  </w:r>
                </w:p>
              </w:tc>
            </w:tr>
            <w:tr w14:paraId="2FA36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exact"/>
                <w:jc w:val="center"/>
              </w:trPr>
              <w:tc>
                <w:tcPr>
                  <w:tcW w:w="2347" w:type="dxa"/>
                  <w:vAlign w:val="center"/>
                </w:tcPr>
                <w:p w14:paraId="55AAF5C5">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color w:val="auto"/>
                      <w:sz w:val="21"/>
                      <w:szCs w:val="21"/>
                      <w:u w:val="none" w:color="auto"/>
                    </w:rPr>
                  </w:pPr>
                  <w:r>
                    <w:rPr>
                      <w:color w:val="auto"/>
                      <w:sz w:val="21"/>
                      <w:szCs w:val="21"/>
                      <w:u w:val="none" w:color="auto"/>
                    </w:rPr>
                    <w:t>综合医疗机构和其他医疗机构</w:t>
                  </w:r>
                </w:p>
              </w:tc>
              <w:tc>
                <w:tcPr>
                  <w:tcW w:w="1559" w:type="dxa"/>
                  <w:vAlign w:val="center"/>
                </w:tcPr>
                <w:p w14:paraId="16BD28C6">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color w:val="auto"/>
                      <w:sz w:val="21"/>
                      <w:szCs w:val="21"/>
                      <w:u w:val="none" w:color="auto"/>
                      <w:vertAlign w:val="superscript"/>
                    </w:rPr>
                  </w:pPr>
                  <w:r>
                    <w:rPr>
                      <w:color w:val="auto"/>
                      <w:sz w:val="21"/>
                      <w:szCs w:val="21"/>
                      <w:u w:val="none" w:color="auto"/>
                    </w:rPr>
                    <w:t>≤100(MPN/g)</w:t>
                  </w:r>
                </w:p>
              </w:tc>
              <w:tc>
                <w:tcPr>
                  <w:tcW w:w="1276" w:type="dxa"/>
                  <w:vAlign w:val="center"/>
                </w:tcPr>
                <w:p w14:paraId="1AD40FF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color w:val="auto"/>
                      <w:sz w:val="21"/>
                      <w:szCs w:val="21"/>
                      <w:u w:val="none" w:color="auto"/>
                    </w:rPr>
                  </w:pPr>
                  <w:r>
                    <w:rPr>
                      <w:color w:val="auto"/>
                      <w:sz w:val="21"/>
                      <w:szCs w:val="21"/>
                      <w:u w:val="none" w:color="auto"/>
                    </w:rPr>
                    <w:t>—</w:t>
                  </w:r>
                </w:p>
              </w:tc>
              <w:tc>
                <w:tcPr>
                  <w:tcW w:w="1134" w:type="dxa"/>
                  <w:vAlign w:val="center"/>
                </w:tcPr>
                <w:p w14:paraId="4C9204F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color w:val="auto"/>
                      <w:sz w:val="21"/>
                      <w:szCs w:val="21"/>
                      <w:u w:val="none" w:color="auto"/>
                    </w:rPr>
                  </w:pPr>
                  <w:r>
                    <w:rPr>
                      <w:color w:val="auto"/>
                      <w:sz w:val="21"/>
                      <w:szCs w:val="21"/>
                      <w:u w:val="none" w:color="auto"/>
                    </w:rPr>
                    <w:t>—</w:t>
                  </w:r>
                </w:p>
              </w:tc>
              <w:tc>
                <w:tcPr>
                  <w:tcW w:w="2125" w:type="dxa"/>
                  <w:vAlign w:val="center"/>
                </w:tcPr>
                <w:p w14:paraId="04CBF73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color w:val="auto"/>
                      <w:sz w:val="21"/>
                      <w:szCs w:val="21"/>
                      <w:u w:val="none" w:color="auto"/>
                    </w:rPr>
                  </w:pPr>
                  <w:r>
                    <w:rPr>
                      <w:color w:val="auto"/>
                      <w:sz w:val="21"/>
                      <w:szCs w:val="21"/>
                      <w:u w:val="none" w:color="auto"/>
                    </w:rPr>
                    <w:t>＞95</w:t>
                  </w:r>
                </w:p>
              </w:tc>
            </w:tr>
          </w:tbl>
          <w:p w14:paraId="555EA472">
            <w:pPr>
              <w:keepNext w:val="0"/>
              <w:keepLines w:val="0"/>
              <w:pageBreakBefore w:val="0"/>
              <w:widowControl w:val="0"/>
              <w:numPr>
                <w:ilvl w:val="0"/>
                <w:numId w:val="10"/>
              </w:numPr>
              <w:kinsoku/>
              <w:wordWrap/>
              <w:overflowPunct/>
              <w:topLinePunct w:val="0"/>
              <w:autoSpaceDE/>
              <w:autoSpaceDN/>
              <w:bidi w:val="0"/>
              <w:adjustRightInd/>
              <w:snapToGrid/>
              <w:spacing w:beforeLines="0" w:afterLines="0" w:line="480" w:lineRule="exact"/>
              <w:ind w:left="0" w:leftChars="0" w:firstLine="480" w:firstLineChars="200"/>
              <w:jc w:val="left"/>
              <w:textAlignment w:val="auto"/>
              <w:rPr>
                <w:rFonts w:hint="eastAsia" w:ascii="宋体" w:hAnsi="宋体" w:eastAsia="宋体"/>
                <w:color w:val="auto"/>
                <w:sz w:val="24"/>
                <w:szCs w:val="24"/>
                <w:u w:val="none" w:color="auto"/>
              </w:rPr>
            </w:pPr>
            <w:r>
              <w:rPr>
                <w:rFonts w:hint="eastAsia" w:ascii="宋体" w:hAnsi="宋体" w:eastAsia="宋体"/>
                <w:color w:val="auto"/>
                <w:sz w:val="24"/>
                <w:szCs w:val="24"/>
                <w:u w:val="none" w:color="auto"/>
              </w:rPr>
              <w:t>医疗废物</w:t>
            </w:r>
            <w:r>
              <w:rPr>
                <w:rFonts w:hint="eastAsia" w:ascii="宋体" w:hAnsi="宋体"/>
                <w:color w:val="auto"/>
                <w:sz w:val="24"/>
                <w:szCs w:val="24"/>
                <w:u w:val="none" w:color="auto"/>
                <w:lang w:eastAsia="zh-CN"/>
              </w:rPr>
              <w:t>、</w:t>
            </w:r>
            <w:r>
              <w:rPr>
                <w:rFonts w:hint="eastAsia" w:ascii="宋体" w:hAnsi="宋体"/>
                <w:color w:val="auto"/>
                <w:sz w:val="24"/>
                <w:szCs w:val="24"/>
                <w:u w:val="none" w:color="auto"/>
                <w:lang w:val="en-US" w:eastAsia="zh-CN"/>
              </w:rPr>
              <w:t>废紫外灯管</w:t>
            </w:r>
            <w:r>
              <w:rPr>
                <w:rFonts w:hint="eastAsia" w:ascii="宋体" w:hAnsi="宋体" w:eastAsia="宋体"/>
                <w:color w:val="auto"/>
                <w:sz w:val="24"/>
                <w:szCs w:val="24"/>
                <w:u w:val="none" w:color="auto"/>
                <w:lang w:eastAsia="zh-CN"/>
              </w:rPr>
              <w:t>：</w:t>
            </w:r>
            <w:r>
              <w:rPr>
                <w:rFonts w:hint="eastAsia" w:ascii="宋体" w:hAnsi="宋体" w:eastAsia="宋体"/>
                <w:color w:val="auto"/>
                <w:sz w:val="24"/>
                <w:szCs w:val="24"/>
                <w:u w:val="none" w:color="auto"/>
              </w:rPr>
              <w:t>属于危险废物，危险废物贮存执行</w:t>
            </w:r>
            <w:r>
              <w:rPr>
                <w:rFonts w:hint="eastAsia" w:ascii="宋体" w:hAnsi="宋体" w:eastAsia="宋体"/>
                <w:i w:val="0"/>
                <w:iCs w:val="0"/>
                <w:color w:val="auto"/>
                <w:sz w:val="24"/>
                <w:szCs w:val="24"/>
                <w:u w:val="none" w:color="auto"/>
              </w:rPr>
              <w:t>《危险废物贮存污染控制标准》（</w:t>
            </w:r>
            <w:r>
              <w:rPr>
                <w:rFonts w:hint="eastAsia" w:ascii="TimesNewRomanPSMT" w:hAnsi="TimesNewRomanPSMT" w:eastAsia="TimesNewRomanPSMT"/>
                <w:i w:val="0"/>
                <w:iCs w:val="0"/>
                <w:color w:val="auto"/>
                <w:sz w:val="24"/>
                <w:szCs w:val="24"/>
                <w:u w:val="none" w:color="auto"/>
              </w:rPr>
              <w:t>GB18597-20</w:t>
            </w:r>
            <w:r>
              <w:rPr>
                <w:rFonts w:hint="eastAsia" w:ascii="TimesNewRomanPSMT" w:hAnsi="TimesNewRomanPSMT" w:eastAsia="宋体"/>
                <w:i w:val="0"/>
                <w:iCs w:val="0"/>
                <w:color w:val="auto"/>
                <w:sz w:val="24"/>
                <w:szCs w:val="24"/>
                <w:u w:val="none" w:color="auto"/>
                <w:lang w:val="en-US" w:eastAsia="zh-CN"/>
              </w:rPr>
              <w:t>23</w:t>
            </w:r>
            <w:r>
              <w:rPr>
                <w:rFonts w:hint="eastAsia" w:ascii="宋体" w:hAnsi="宋体" w:eastAsia="宋体"/>
                <w:i w:val="0"/>
                <w:iCs w:val="0"/>
                <w:color w:val="auto"/>
                <w:sz w:val="24"/>
                <w:szCs w:val="24"/>
                <w:u w:val="none" w:color="auto"/>
              </w:rPr>
              <w:t>）</w:t>
            </w:r>
            <w:r>
              <w:rPr>
                <w:rFonts w:hint="eastAsia" w:ascii="宋体" w:hAnsi="宋体" w:eastAsia="宋体"/>
                <w:color w:val="auto"/>
                <w:sz w:val="24"/>
                <w:szCs w:val="24"/>
                <w:u w:val="none" w:color="auto"/>
              </w:rPr>
              <w:t>以及《危险废物收集储存运输技术规范》</w:t>
            </w:r>
            <w:r>
              <w:rPr>
                <w:rFonts w:hint="eastAsia" w:ascii="TimesNewRomanPSMT" w:hAnsi="TimesNewRomanPSMT" w:eastAsia="TimesNewRomanPSMT"/>
                <w:color w:val="auto"/>
                <w:sz w:val="24"/>
                <w:szCs w:val="24"/>
                <w:u w:val="none" w:color="auto"/>
              </w:rPr>
              <w:t>HJ2025-2012</w:t>
            </w:r>
            <w:r>
              <w:rPr>
                <w:rFonts w:hint="eastAsia" w:ascii="宋体" w:hAnsi="宋体" w:eastAsia="宋体"/>
                <w:color w:val="auto"/>
                <w:sz w:val="24"/>
                <w:szCs w:val="24"/>
                <w:u w:val="none" w:color="auto"/>
              </w:rPr>
              <w:t>）中相关规定要求进行危险废物的包装、贮存设施的选址、设计、运行、安全防护、监测和关闭等要求进行合理的贮存。</w:t>
            </w:r>
          </w:p>
          <w:p w14:paraId="3A2756FE">
            <w:pPr>
              <w:keepNext w:val="0"/>
              <w:keepLines w:val="0"/>
              <w:pageBreakBefore w:val="0"/>
              <w:widowControl w:val="0"/>
              <w:numPr>
                <w:ilvl w:val="0"/>
                <w:numId w:val="10"/>
              </w:numPr>
              <w:kinsoku/>
              <w:wordWrap/>
              <w:overflowPunct/>
              <w:topLinePunct w:val="0"/>
              <w:autoSpaceDE/>
              <w:autoSpaceDN/>
              <w:bidi w:val="0"/>
              <w:adjustRightInd/>
              <w:snapToGrid/>
              <w:spacing w:beforeLines="0" w:afterLines="0" w:line="480" w:lineRule="exact"/>
              <w:ind w:left="0" w:leftChars="0" w:firstLine="480" w:firstLineChars="200"/>
              <w:jc w:val="left"/>
              <w:textAlignment w:val="auto"/>
              <w:rPr>
                <w:rFonts w:hint="eastAsia" w:ascii="宋体" w:hAnsi="宋体" w:eastAsia="宋体" w:cs="Times New Roman"/>
                <w:color w:val="auto"/>
                <w:sz w:val="24"/>
                <w:szCs w:val="24"/>
                <w:u w:val="none" w:color="auto"/>
                <w:lang w:val="en-US" w:eastAsia="zh-CN"/>
              </w:rPr>
            </w:pPr>
            <w:r>
              <w:rPr>
                <w:rFonts w:hint="eastAsia" w:ascii="宋体" w:hAnsi="宋体" w:eastAsia="宋体" w:cs="Times New Roman"/>
                <w:color w:val="auto"/>
                <w:sz w:val="24"/>
                <w:szCs w:val="24"/>
                <w:u w:val="none" w:color="auto"/>
                <w:lang w:val="en-US" w:eastAsia="zh-CN"/>
              </w:rPr>
              <w:t>生活垃圾：生活垃圾的管理执行《中华人民共和国固体废物污染环境防治法》中有关的规定。</w:t>
            </w:r>
          </w:p>
          <w:p w14:paraId="6D8E08F8">
            <w:pPr>
              <w:pStyle w:val="21"/>
              <w:rPr>
                <w:rFonts w:hint="default" w:eastAsia="宋体"/>
                <w:color w:val="auto"/>
                <w:u w:val="none" w:color="auto"/>
                <w:lang w:val="en-US" w:eastAsia="zh-CN"/>
              </w:rPr>
            </w:pPr>
          </w:p>
          <w:p w14:paraId="17DCA7D8">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80" w:lineRule="exact"/>
              <w:ind w:leftChars="200"/>
              <w:jc w:val="left"/>
              <w:textAlignment w:val="auto"/>
              <w:rPr>
                <w:rFonts w:hint="eastAsia" w:ascii="宋体" w:hAnsi="宋体" w:eastAsia="宋体"/>
                <w:color w:val="auto"/>
                <w:sz w:val="24"/>
                <w:szCs w:val="24"/>
                <w:u w:val="none" w:color="auto"/>
              </w:rPr>
            </w:pPr>
          </w:p>
        </w:tc>
      </w:tr>
      <w:tr w14:paraId="12CEC2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69" w:hRule="atLeast"/>
          <w:jc w:val="center"/>
        </w:trPr>
        <w:tc>
          <w:tcPr>
            <w:tcW w:w="456" w:type="dxa"/>
            <w:vAlign w:val="center"/>
          </w:tcPr>
          <w:p w14:paraId="5D44C14D">
            <w:pPr>
              <w:adjustRightInd w:val="0"/>
              <w:snapToGrid w:val="0"/>
              <w:ind w:firstLine="0" w:firstLineChars="0"/>
              <w:jc w:val="center"/>
              <w:rPr>
                <w:color w:val="auto"/>
                <w:kern w:val="0"/>
                <w:szCs w:val="21"/>
                <w:u w:val="none" w:color="auto"/>
              </w:rPr>
            </w:pPr>
            <w:r>
              <w:rPr>
                <w:color w:val="auto"/>
                <w:kern w:val="0"/>
                <w:szCs w:val="21"/>
                <w:u w:val="none" w:color="auto"/>
              </w:rPr>
              <w:t>总量</w:t>
            </w:r>
          </w:p>
          <w:p w14:paraId="43A7B1D2">
            <w:pPr>
              <w:adjustRightInd w:val="0"/>
              <w:snapToGrid w:val="0"/>
              <w:ind w:firstLine="0" w:firstLineChars="0"/>
              <w:jc w:val="center"/>
              <w:rPr>
                <w:color w:val="auto"/>
                <w:kern w:val="0"/>
                <w:szCs w:val="21"/>
                <w:u w:val="none" w:color="auto"/>
              </w:rPr>
            </w:pPr>
            <w:r>
              <w:rPr>
                <w:color w:val="auto"/>
                <w:kern w:val="0"/>
                <w:szCs w:val="21"/>
                <w:u w:val="none" w:color="auto"/>
              </w:rPr>
              <w:t>控制</w:t>
            </w:r>
          </w:p>
          <w:p w14:paraId="2304C2EE">
            <w:pPr>
              <w:adjustRightInd w:val="0"/>
              <w:snapToGrid w:val="0"/>
              <w:ind w:firstLine="0" w:firstLineChars="0"/>
              <w:jc w:val="center"/>
              <w:rPr>
                <w:color w:val="auto"/>
                <w:kern w:val="0"/>
                <w:szCs w:val="21"/>
                <w:u w:val="none" w:color="auto"/>
              </w:rPr>
            </w:pPr>
            <w:r>
              <w:rPr>
                <w:color w:val="auto"/>
                <w:kern w:val="0"/>
                <w:szCs w:val="21"/>
                <w:u w:val="none" w:color="auto"/>
              </w:rPr>
              <w:t>指标</w:t>
            </w:r>
          </w:p>
        </w:tc>
        <w:tc>
          <w:tcPr>
            <w:tcW w:w="9544" w:type="dxa"/>
            <w:vAlign w:val="center"/>
          </w:tcPr>
          <w:p w14:paraId="6F64F19C">
            <w:pPr>
              <w:ind w:firstLine="480"/>
              <w:rPr>
                <w:rFonts w:hint="default" w:ascii="Times New Roman" w:hAnsi="Times New Roman" w:eastAsia="宋体" w:cs="Times New Roman"/>
                <w:strike w:val="0"/>
                <w:dstrike w:val="0"/>
                <w:color w:val="auto"/>
                <w:highlight w:val="none"/>
                <w:u w:val="none" w:color="auto"/>
              </w:rPr>
            </w:pPr>
            <w:r>
              <w:rPr>
                <w:rFonts w:hint="default" w:ascii="Times New Roman" w:hAnsi="Times New Roman" w:eastAsia="宋体" w:cs="Times New Roman"/>
                <w:strike w:val="0"/>
                <w:dstrike w:val="0"/>
                <w:color w:val="auto"/>
                <w:highlight w:val="none"/>
                <w:u w:val="none" w:color="auto"/>
              </w:rPr>
              <w:t>根据“十四五”污染减排综合工作方案编制技术指南，国家实施总量控制的污染物指标有 NOx、VOCs、COD 及 NH</w:t>
            </w:r>
            <w:r>
              <w:rPr>
                <w:rFonts w:hint="default" w:ascii="Times New Roman" w:hAnsi="Times New Roman" w:eastAsia="宋体" w:cs="Times New Roman"/>
                <w:strike w:val="0"/>
                <w:dstrike w:val="0"/>
                <w:color w:val="auto"/>
                <w:highlight w:val="none"/>
                <w:u w:val="none" w:color="auto"/>
                <w:vertAlign w:val="subscript"/>
              </w:rPr>
              <w:t>3</w:t>
            </w:r>
            <w:r>
              <w:rPr>
                <w:rFonts w:hint="default" w:ascii="Times New Roman" w:hAnsi="Times New Roman" w:eastAsia="宋体" w:cs="Times New Roman"/>
                <w:strike w:val="0"/>
                <w:dstrike w:val="0"/>
                <w:color w:val="auto"/>
                <w:highlight w:val="none"/>
                <w:u w:val="none" w:color="auto"/>
              </w:rPr>
              <w:t>-N。</w:t>
            </w:r>
          </w:p>
          <w:p w14:paraId="27ED6200">
            <w:pPr>
              <w:ind w:firstLine="480"/>
              <w:rPr>
                <w:rFonts w:hint="default" w:ascii="Times New Roman" w:hAnsi="Times New Roman" w:eastAsia="宋体" w:cs="Times New Roman"/>
                <w:strike w:val="0"/>
                <w:dstrike w:val="0"/>
                <w:color w:val="auto"/>
                <w:highlight w:val="none"/>
                <w:u w:val="none" w:color="auto"/>
              </w:rPr>
            </w:pPr>
            <w:r>
              <w:rPr>
                <w:rFonts w:hint="default" w:ascii="Times New Roman" w:hAnsi="Times New Roman" w:eastAsia="宋体" w:cs="Times New Roman"/>
                <w:strike w:val="0"/>
                <w:dstrike w:val="0"/>
                <w:color w:val="auto"/>
                <w:highlight w:val="none"/>
                <w:u w:val="none" w:color="auto"/>
              </w:rPr>
              <w:t>项目排放</w:t>
            </w:r>
            <w:r>
              <w:rPr>
                <w:rFonts w:hint="default" w:ascii="Times New Roman" w:hAnsi="Times New Roman" w:eastAsia="宋体" w:cs="Times New Roman"/>
                <w:strike w:val="0"/>
                <w:dstrike w:val="0"/>
                <w:color w:val="auto"/>
                <w:highlight w:val="none"/>
                <w:u w:val="none" w:color="auto"/>
                <w:lang w:val="en-US" w:eastAsia="zh-CN"/>
              </w:rPr>
              <w:t>无</w:t>
            </w:r>
            <w:r>
              <w:rPr>
                <w:rFonts w:hint="default" w:ascii="Times New Roman" w:hAnsi="Times New Roman" w:eastAsia="宋体" w:cs="Times New Roman"/>
                <w:strike w:val="0"/>
                <w:dstrike w:val="0"/>
                <w:color w:val="auto"/>
                <w:highlight w:val="none"/>
                <w:u w:val="none" w:color="auto"/>
              </w:rPr>
              <w:t xml:space="preserve"> NO</w:t>
            </w:r>
            <w:r>
              <w:rPr>
                <w:rFonts w:hint="default" w:ascii="Times New Roman" w:hAnsi="Times New Roman" w:eastAsia="宋体" w:cs="Times New Roman"/>
                <w:strike w:val="0"/>
                <w:dstrike w:val="0"/>
                <w:color w:val="auto"/>
                <w:highlight w:val="none"/>
                <w:u w:val="none" w:color="auto"/>
                <w:vertAlign w:val="subscript"/>
              </w:rPr>
              <w:t>X</w:t>
            </w:r>
            <w:r>
              <w:rPr>
                <w:rFonts w:hint="default" w:ascii="Times New Roman" w:hAnsi="Times New Roman" w:eastAsia="宋体" w:cs="Times New Roman"/>
                <w:strike w:val="0"/>
                <w:dstrike w:val="0"/>
                <w:color w:val="auto"/>
                <w:highlight w:val="none"/>
                <w:u w:val="none" w:color="auto"/>
              </w:rPr>
              <w:t>、VOCs</w:t>
            </w:r>
            <w:r>
              <w:rPr>
                <w:rFonts w:hint="default" w:ascii="Times New Roman" w:hAnsi="Times New Roman" w:eastAsia="宋体" w:cs="Times New Roman"/>
                <w:strike w:val="0"/>
                <w:dstrike w:val="0"/>
                <w:color w:val="auto"/>
                <w:highlight w:val="none"/>
                <w:u w:val="none" w:color="auto"/>
                <w:lang w:val="en-US" w:eastAsia="zh-CN"/>
              </w:rPr>
              <w:t>排放，不设置</w:t>
            </w:r>
            <w:r>
              <w:rPr>
                <w:rFonts w:hint="default" w:ascii="Times New Roman" w:hAnsi="Times New Roman" w:eastAsia="宋体" w:cs="Times New Roman"/>
                <w:strike w:val="0"/>
                <w:dstrike w:val="0"/>
                <w:color w:val="auto"/>
                <w:highlight w:val="none"/>
                <w:u w:val="none" w:color="auto"/>
              </w:rPr>
              <w:t>NO</w:t>
            </w:r>
            <w:r>
              <w:rPr>
                <w:rFonts w:hint="default" w:ascii="Times New Roman" w:hAnsi="Times New Roman" w:eastAsia="宋体" w:cs="Times New Roman"/>
                <w:strike w:val="0"/>
                <w:dstrike w:val="0"/>
                <w:color w:val="auto"/>
                <w:highlight w:val="none"/>
                <w:u w:val="none" w:color="auto"/>
                <w:vertAlign w:val="subscript"/>
              </w:rPr>
              <w:t>X</w:t>
            </w:r>
            <w:r>
              <w:rPr>
                <w:rFonts w:hint="default" w:ascii="Times New Roman" w:hAnsi="Times New Roman" w:eastAsia="宋体" w:cs="Times New Roman"/>
                <w:strike w:val="0"/>
                <w:dstrike w:val="0"/>
                <w:color w:val="auto"/>
                <w:highlight w:val="none"/>
                <w:u w:val="none" w:color="auto"/>
                <w:vertAlign w:val="baseline"/>
                <w:lang w:eastAsia="zh-CN"/>
              </w:rPr>
              <w:t>、</w:t>
            </w:r>
            <w:r>
              <w:rPr>
                <w:rFonts w:hint="default" w:ascii="Times New Roman" w:hAnsi="Times New Roman" w:eastAsia="宋体" w:cs="Times New Roman"/>
                <w:strike w:val="0"/>
                <w:dstrike w:val="0"/>
                <w:color w:val="auto"/>
                <w:highlight w:val="none"/>
                <w:u w:val="none" w:color="auto"/>
              </w:rPr>
              <w:t>VOCs</w:t>
            </w:r>
            <w:r>
              <w:rPr>
                <w:rFonts w:hint="default" w:ascii="Times New Roman" w:hAnsi="Times New Roman" w:eastAsia="宋体" w:cs="Times New Roman"/>
                <w:strike w:val="0"/>
                <w:dstrike w:val="0"/>
                <w:color w:val="auto"/>
                <w:highlight w:val="none"/>
                <w:u w:val="none" w:color="auto"/>
                <w:lang w:val="en-US" w:eastAsia="zh-CN"/>
              </w:rPr>
              <w:t>总量排放指标</w:t>
            </w:r>
            <w:r>
              <w:rPr>
                <w:rFonts w:hint="default" w:ascii="Times New Roman" w:hAnsi="Times New Roman" w:eastAsia="宋体" w:cs="Times New Roman"/>
                <w:strike w:val="0"/>
                <w:dstrike w:val="0"/>
                <w:color w:val="auto"/>
                <w:highlight w:val="none"/>
                <w:u w:val="none" w:color="auto"/>
              </w:rPr>
              <w:t>。</w:t>
            </w:r>
          </w:p>
          <w:p w14:paraId="41F50B89">
            <w:pPr>
              <w:ind w:firstLine="480"/>
              <w:rPr>
                <w:rFonts w:hint="default" w:eastAsia="宋体"/>
                <w:color w:val="auto"/>
                <w:u w:val="none" w:color="auto"/>
                <w:lang w:val="en-US" w:eastAsia="zh-CN"/>
              </w:rPr>
            </w:pPr>
            <w:r>
              <w:rPr>
                <w:rFonts w:hint="default" w:ascii="Times New Roman" w:hAnsi="Times New Roman" w:eastAsia="宋体" w:cs="Times New Roman"/>
                <w:strike w:val="0"/>
                <w:dstrike w:val="0"/>
                <w:color w:val="auto"/>
                <w:highlight w:val="none"/>
                <w:u w:val="none" w:color="auto"/>
              </w:rPr>
              <w:t>本项目运营过程中产生的污水为</w:t>
            </w:r>
            <w:r>
              <w:rPr>
                <w:rFonts w:hint="default" w:ascii="Times New Roman" w:hAnsi="Times New Roman" w:eastAsia="宋体" w:cs="Times New Roman"/>
                <w:strike w:val="0"/>
                <w:dstrike w:val="0"/>
                <w:color w:val="auto"/>
                <w:highlight w:val="none"/>
                <w:u w:val="none" w:color="auto"/>
                <w:lang w:val="en-US" w:eastAsia="zh-CN"/>
              </w:rPr>
              <w:t>医疗废水、</w:t>
            </w:r>
            <w:r>
              <w:rPr>
                <w:rFonts w:hint="default" w:ascii="Times New Roman" w:hAnsi="Times New Roman" w:eastAsia="宋体" w:cs="Times New Roman"/>
                <w:strike w:val="0"/>
                <w:dstrike w:val="0"/>
                <w:color w:val="auto"/>
                <w:highlight w:val="none"/>
                <w:u w:val="none" w:color="auto"/>
              </w:rPr>
              <w:t>生活污水</w:t>
            </w:r>
            <w:r>
              <w:rPr>
                <w:rFonts w:hint="eastAsia" w:cs="Times New Roman"/>
                <w:strike w:val="0"/>
                <w:dstrike w:val="0"/>
                <w:color w:val="auto"/>
                <w:highlight w:val="none"/>
                <w:u w:val="none" w:color="auto"/>
                <w:lang w:eastAsia="zh-CN"/>
              </w:rPr>
              <w:t>、</w:t>
            </w:r>
            <w:r>
              <w:rPr>
                <w:rFonts w:hint="eastAsia" w:cs="Times New Roman"/>
                <w:strike w:val="0"/>
                <w:dstrike w:val="0"/>
                <w:color w:val="auto"/>
                <w:highlight w:val="none"/>
                <w:u w:val="none" w:color="auto"/>
                <w:lang w:val="en-US" w:eastAsia="zh-CN"/>
              </w:rPr>
              <w:t>食堂废水</w:t>
            </w:r>
            <w:r>
              <w:rPr>
                <w:rFonts w:hint="default" w:ascii="Times New Roman" w:hAnsi="Times New Roman" w:eastAsia="宋体" w:cs="Times New Roman"/>
                <w:strike w:val="0"/>
                <w:dstrike w:val="0"/>
                <w:color w:val="auto"/>
                <w:highlight w:val="none"/>
                <w:u w:val="none" w:color="auto"/>
                <w:lang w:eastAsia="zh-CN"/>
              </w:rPr>
              <w:t>，</w:t>
            </w:r>
            <w:r>
              <w:rPr>
                <w:rFonts w:hint="eastAsia" w:cs="Times New Roman"/>
                <w:strike w:val="0"/>
                <w:dstrike w:val="0"/>
                <w:color w:val="auto"/>
                <w:highlight w:val="none"/>
                <w:u w:val="none" w:color="auto"/>
                <w:lang w:val="en-US" w:eastAsia="zh-CN"/>
              </w:rPr>
              <w:t>特殊医疗废水经中和预处理、食堂废水经隔油池预处理后，与其他污、废水</w:t>
            </w:r>
            <w:r>
              <w:rPr>
                <w:rFonts w:hint="default" w:ascii="Times New Roman" w:hAnsi="Times New Roman" w:eastAsia="宋体" w:cs="Times New Roman"/>
                <w:strike w:val="0"/>
                <w:dstrike w:val="0"/>
                <w:color w:val="auto"/>
                <w:highlight w:val="none"/>
                <w:u w:val="none" w:color="auto"/>
                <w:lang w:eastAsia="zh-CN"/>
              </w:rPr>
              <w:t>经</w:t>
            </w:r>
            <w:r>
              <w:rPr>
                <w:rFonts w:hint="default" w:ascii="Times New Roman" w:hAnsi="宋体"/>
                <w:color w:val="auto"/>
                <w:sz w:val="24"/>
                <w:u w:val="none" w:color="auto"/>
                <w:lang w:val="en-US" w:eastAsia="zh-CN"/>
              </w:rPr>
              <w:t>化粪池+地埋式污水处理站</w:t>
            </w:r>
            <w:r>
              <w:rPr>
                <w:rFonts w:hint="eastAsia" w:hAnsi="宋体"/>
                <w:color w:val="auto"/>
                <w:sz w:val="24"/>
                <w:u w:val="none" w:color="auto"/>
                <w:lang w:val="en-US" w:eastAsia="zh-CN"/>
              </w:rPr>
              <w:t>（格栅+</w:t>
            </w:r>
            <w:r>
              <w:rPr>
                <w:rFonts w:hint="eastAsia"/>
                <w:color w:val="auto"/>
                <w:sz w:val="24"/>
                <w:u w:val="none" w:color="auto"/>
                <w:lang w:val="en-US" w:eastAsia="zh-CN"/>
              </w:rPr>
              <w:t>混凝沉淀</w:t>
            </w:r>
            <w:r>
              <w:rPr>
                <w:rFonts w:ascii="Times New Roman" w:hAnsi="Times New Roman"/>
                <w:color w:val="auto"/>
                <w:sz w:val="24"/>
                <w:u w:val="none" w:color="auto"/>
              </w:rPr>
              <w:t>+</w:t>
            </w:r>
            <w:r>
              <w:rPr>
                <w:rFonts w:hint="eastAsia"/>
                <w:color w:val="auto"/>
                <w:sz w:val="24"/>
                <w:u w:val="none" w:color="auto"/>
                <w:lang w:val="en-US" w:eastAsia="zh-CN"/>
              </w:rPr>
              <w:t>A/O生物接触氧化+</w:t>
            </w:r>
            <w:r>
              <w:rPr>
                <w:rFonts w:hint="eastAsia" w:hAnsi="宋体"/>
                <w:color w:val="auto"/>
                <w:sz w:val="24"/>
                <w:u w:val="none" w:color="auto"/>
                <w:lang w:val="en-US" w:eastAsia="zh-CN"/>
              </w:rPr>
              <w:t>紫外线消毒）</w:t>
            </w:r>
            <w:r>
              <w:rPr>
                <w:rFonts w:hint="default" w:ascii="Times New Roman" w:hAnsi="Times New Roman" w:eastAsia="宋体" w:cs="Times New Roman"/>
                <w:strike w:val="0"/>
                <w:dstrike w:val="0"/>
                <w:color w:val="auto"/>
                <w:highlight w:val="none"/>
                <w:u w:val="none" w:color="auto"/>
                <w:lang w:eastAsia="zh-CN"/>
              </w:rPr>
              <w:t>处理</w:t>
            </w:r>
            <w:r>
              <w:rPr>
                <w:rFonts w:ascii="Times New Roman" w:hAnsi="宋体"/>
                <w:strike w:val="0"/>
                <w:dstrike w:val="0"/>
                <w:color w:val="auto"/>
                <w:sz w:val="24"/>
                <w:u w:val="none" w:color="auto"/>
              </w:rPr>
              <w:t>达</w:t>
            </w:r>
            <w:r>
              <w:rPr>
                <w:rFonts w:hint="eastAsia" w:hAnsi="宋体"/>
                <w:strike w:val="0"/>
                <w:dstrike w:val="0"/>
                <w:color w:val="auto"/>
                <w:sz w:val="24"/>
                <w:u w:val="none" w:color="auto"/>
                <w:lang w:val="en-US" w:eastAsia="zh-CN"/>
              </w:rPr>
              <w:t>到</w:t>
            </w:r>
            <w:r>
              <w:rPr>
                <w:rFonts w:ascii="Times New Roman" w:hAnsi="宋体"/>
                <w:strike w:val="0"/>
                <w:dstrike w:val="0"/>
                <w:color w:val="auto"/>
                <w:sz w:val="24"/>
                <w:u w:val="none" w:color="auto"/>
              </w:rPr>
              <w:t>《医疗机构水污染物排放标准》（</w:t>
            </w:r>
            <w:r>
              <w:rPr>
                <w:rFonts w:ascii="Times New Roman" w:hAnsi="Times New Roman"/>
                <w:strike w:val="0"/>
                <w:dstrike w:val="0"/>
                <w:color w:val="auto"/>
                <w:sz w:val="24"/>
                <w:u w:val="none" w:color="auto"/>
              </w:rPr>
              <w:t>GB18466-2005</w:t>
            </w:r>
            <w:r>
              <w:rPr>
                <w:rFonts w:ascii="Times New Roman" w:hAnsi="宋体"/>
                <w:strike w:val="0"/>
                <w:dstrike w:val="0"/>
                <w:color w:val="auto"/>
                <w:sz w:val="24"/>
                <w:u w:val="none" w:color="auto"/>
              </w:rPr>
              <w:t>）</w:t>
            </w:r>
            <w:r>
              <w:rPr>
                <w:rFonts w:ascii="Times New Roman" w:hAnsi="宋体"/>
                <w:strike w:val="0"/>
                <w:dstrike w:val="0"/>
                <w:color w:val="auto"/>
                <w:sz w:val="24"/>
                <w:u w:val="none" w:color="auto"/>
                <w:lang w:val="zh-CN"/>
              </w:rPr>
              <w:t>综合医疗机构和其他医疗机构水污染物</w:t>
            </w:r>
            <w:r>
              <w:rPr>
                <w:rFonts w:hint="eastAsia" w:ascii="Times New Roman" w:hAnsi="宋体"/>
                <w:strike w:val="0"/>
                <w:dstrike w:val="0"/>
                <w:color w:val="auto"/>
                <w:sz w:val="24"/>
                <w:u w:val="none" w:color="auto"/>
                <w:lang w:val="zh-CN"/>
              </w:rPr>
              <w:t>预处理</w:t>
            </w:r>
            <w:r>
              <w:rPr>
                <w:rFonts w:hint="eastAsia" w:hAnsi="宋体"/>
                <w:strike w:val="0"/>
                <w:dstrike w:val="0"/>
                <w:color w:val="auto"/>
                <w:sz w:val="24"/>
                <w:u w:val="none" w:color="auto"/>
                <w:lang w:val="en-US" w:eastAsia="zh-CN"/>
              </w:rPr>
              <w:t>及江南污水处理站纳管标准从严值</w:t>
            </w:r>
            <w:r>
              <w:rPr>
                <w:rFonts w:hint="eastAsia"/>
                <w:color w:val="auto"/>
                <w:u w:val="none" w:color="auto"/>
                <w:lang w:val="en-US" w:eastAsia="zh-CN"/>
              </w:rPr>
              <w:t>，上述污、废水</w:t>
            </w:r>
            <w:r>
              <w:rPr>
                <w:rFonts w:hint="default" w:ascii="Times New Roman" w:hAnsi="Times New Roman" w:eastAsia="宋体" w:cs="Times New Roman"/>
                <w:color w:val="auto"/>
                <w:highlight w:val="none"/>
                <w:u w:val="none" w:color="auto"/>
                <w:lang w:val="en-US" w:eastAsia="zh-CN"/>
              </w:rPr>
              <w:t>排入市政污水管网，最后进入南宁市江南污水处理厂进一步处理。废水污染物总量指标已纳入南宁市江南污水处理厂总量指标内，本项目不需另外设置水污染物总量控制指标。</w:t>
            </w:r>
          </w:p>
        </w:tc>
      </w:tr>
    </w:tbl>
    <w:p w14:paraId="4DF620BE">
      <w:pPr>
        <w:pStyle w:val="19"/>
        <w:ind w:firstLine="720"/>
        <w:jc w:val="center"/>
        <w:outlineLvl w:val="0"/>
        <w:rPr>
          <w:rFonts w:ascii="Times New Roman" w:hAnsi="Times New Roman" w:eastAsia="黑体"/>
          <w:snapToGrid w:val="0"/>
          <w:color w:val="auto"/>
          <w:sz w:val="30"/>
          <w:szCs w:val="30"/>
          <w:u w:val="none" w:color="auto"/>
        </w:rPr>
      </w:pPr>
      <w:r>
        <w:rPr>
          <w:rFonts w:ascii="Times New Roman" w:hAnsi="Times New Roman" w:eastAsia="黑体"/>
          <w:snapToGrid w:val="0"/>
          <w:color w:val="auto"/>
          <w:sz w:val="36"/>
          <w:szCs w:val="36"/>
          <w:u w:val="none" w:color="auto"/>
        </w:rPr>
        <w:br w:type="page"/>
      </w:r>
      <w:bookmarkStart w:id="18" w:name="_Toc128130731"/>
      <w:r>
        <w:rPr>
          <w:rFonts w:ascii="Times New Roman" w:hAnsi="Times New Roman" w:eastAsia="黑体"/>
          <w:snapToGrid w:val="0"/>
          <w:color w:val="auto"/>
          <w:sz w:val="30"/>
          <w:szCs w:val="30"/>
          <w:u w:val="none" w:color="auto"/>
        </w:rPr>
        <w:t>四、主要环境影响和保护措施</w:t>
      </w:r>
      <w:bookmarkEnd w:id="18"/>
    </w:p>
    <w:tbl>
      <w:tblPr>
        <w:tblStyle w:val="22"/>
        <w:tblW w:w="100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1"/>
        <w:gridCol w:w="9445"/>
      </w:tblGrid>
      <w:tr w14:paraId="454FA3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4" w:hRule="atLeast"/>
          <w:jc w:val="center"/>
        </w:trPr>
        <w:tc>
          <w:tcPr>
            <w:tcW w:w="641" w:type="dxa"/>
            <w:tcMar>
              <w:left w:w="28" w:type="dxa"/>
              <w:right w:w="28" w:type="dxa"/>
            </w:tcMar>
            <w:vAlign w:val="center"/>
          </w:tcPr>
          <w:p w14:paraId="3353AE1A">
            <w:pPr>
              <w:pStyle w:val="19"/>
              <w:adjustRightInd w:val="0"/>
              <w:snapToGrid w:val="0"/>
              <w:spacing w:before="0" w:beforeAutospacing="0" w:after="0" w:afterAutospacing="0"/>
              <w:ind w:firstLine="0" w:firstLineChars="0"/>
              <w:jc w:val="center"/>
              <w:rPr>
                <w:rFonts w:ascii="Times New Roman" w:hAnsi="Times New Roman"/>
                <w:color w:val="auto"/>
                <w:kern w:val="2"/>
                <w:szCs w:val="24"/>
                <w:u w:val="none" w:color="auto"/>
              </w:rPr>
            </w:pPr>
            <w:r>
              <w:rPr>
                <w:rFonts w:ascii="Times New Roman" w:hAnsi="Times New Roman"/>
                <w:color w:val="auto"/>
                <w:kern w:val="2"/>
                <w:szCs w:val="24"/>
                <w:u w:val="none" w:color="auto"/>
              </w:rPr>
              <w:t>施</w:t>
            </w:r>
          </w:p>
          <w:p w14:paraId="6721A6EF">
            <w:pPr>
              <w:pStyle w:val="19"/>
              <w:adjustRightInd w:val="0"/>
              <w:snapToGrid w:val="0"/>
              <w:spacing w:before="0" w:beforeAutospacing="0" w:after="0" w:afterAutospacing="0"/>
              <w:ind w:firstLine="0" w:firstLineChars="0"/>
              <w:jc w:val="center"/>
              <w:rPr>
                <w:rFonts w:ascii="Times New Roman" w:hAnsi="Times New Roman"/>
                <w:color w:val="auto"/>
                <w:kern w:val="2"/>
                <w:szCs w:val="24"/>
                <w:u w:val="none" w:color="auto"/>
              </w:rPr>
            </w:pPr>
            <w:r>
              <w:rPr>
                <w:rFonts w:ascii="Times New Roman" w:hAnsi="Times New Roman"/>
                <w:color w:val="auto"/>
                <w:kern w:val="2"/>
                <w:szCs w:val="24"/>
                <w:u w:val="none" w:color="auto"/>
              </w:rPr>
              <w:t>工</w:t>
            </w:r>
          </w:p>
          <w:p w14:paraId="2804777D">
            <w:pPr>
              <w:pStyle w:val="19"/>
              <w:adjustRightInd w:val="0"/>
              <w:snapToGrid w:val="0"/>
              <w:spacing w:before="0" w:beforeAutospacing="0" w:after="0" w:afterAutospacing="0"/>
              <w:ind w:firstLine="0" w:firstLineChars="0"/>
              <w:jc w:val="center"/>
              <w:rPr>
                <w:rFonts w:ascii="Times New Roman" w:hAnsi="Times New Roman"/>
                <w:color w:val="auto"/>
                <w:kern w:val="2"/>
                <w:szCs w:val="24"/>
                <w:u w:val="none" w:color="auto"/>
              </w:rPr>
            </w:pPr>
            <w:r>
              <w:rPr>
                <w:rFonts w:ascii="Times New Roman" w:hAnsi="Times New Roman"/>
                <w:color w:val="auto"/>
                <w:kern w:val="2"/>
                <w:szCs w:val="24"/>
                <w:u w:val="none" w:color="auto"/>
              </w:rPr>
              <w:t>期</w:t>
            </w:r>
          </w:p>
          <w:p w14:paraId="5882C552">
            <w:pPr>
              <w:pStyle w:val="19"/>
              <w:adjustRightInd w:val="0"/>
              <w:snapToGrid w:val="0"/>
              <w:spacing w:before="0" w:beforeAutospacing="0" w:after="0" w:afterAutospacing="0"/>
              <w:ind w:firstLine="0" w:firstLineChars="0"/>
              <w:jc w:val="center"/>
              <w:rPr>
                <w:rFonts w:ascii="Times New Roman" w:hAnsi="Times New Roman"/>
                <w:color w:val="auto"/>
                <w:kern w:val="2"/>
                <w:szCs w:val="24"/>
                <w:u w:val="none" w:color="auto"/>
              </w:rPr>
            </w:pPr>
            <w:r>
              <w:rPr>
                <w:rFonts w:ascii="Times New Roman" w:hAnsi="Times New Roman"/>
                <w:color w:val="auto"/>
                <w:kern w:val="2"/>
                <w:szCs w:val="24"/>
                <w:u w:val="none" w:color="auto"/>
              </w:rPr>
              <w:t>环</w:t>
            </w:r>
          </w:p>
          <w:p w14:paraId="3E66A392">
            <w:pPr>
              <w:pStyle w:val="19"/>
              <w:adjustRightInd w:val="0"/>
              <w:snapToGrid w:val="0"/>
              <w:spacing w:before="0" w:beforeAutospacing="0" w:after="0" w:afterAutospacing="0"/>
              <w:ind w:firstLine="0" w:firstLineChars="0"/>
              <w:jc w:val="center"/>
              <w:rPr>
                <w:rFonts w:ascii="Times New Roman" w:hAnsi="Times New Roman"/>
                <w:color w:val="auto"/>
                <w:kern w:val="2"/>
                <w:szCs w:val="24"/>
                <w:u w:val="none" w:color="auto"/>
              </w:rPr>
            </w:pPr>
            <w:r>
              <w:rPr>
                <w:rFonts w:ascii="Times New Roman" w:hAnsi="Times New Roman"/>
                <w:color w:val="auto"/>
                <w:kern w:val="2"/>
                <w:szCs w:val="24"/>
                <w:u w:val="none" w:color="auto"/>
              </w:rPr>
              <w:t>境</w:t>
            </w:r>
          </w:p>
          <w:p w14:paraId="5FC23B5C">
            <w:pPr>
              <w:pStyle w:val="19"/>
              <w:adjustRightInd w:val="0"/>
              <w:snapToGrid w:val="0"/>
              <w:spacing w:before="0" w:beforeAutospacing="0" w:after="0" w:afterAutospacing="0"/>
              <w:ind w:firstLine="0" w:firstLineChars="0"/>
              <w:jc w:val="center"/>
              <w:rPr>
                <w:rFonts w:ascii="Times New Roman" w:hAnsi="Times New Roman"/>
                <w:color w:val="auto"/>
                <w:kern w:val="2"/>
                <w:szCs w:val="24"/>
                <w:u w:val="none" w:color="auto"/>
              </w:rPr>
            </w:pPr>
            <w:r>
              <w:rPr>
                <w:rFonts w:ascii="Times New Roman" w:hAnsi="Times New Roman"/>
                <w:color w:val="auto"/>
                <w:kern w:val="2"/>
                <w:szCs w:val="24"/>
                <w:u w:val="none" w:color="auto"/>
              </w:rPr>
              <w:t>保</w:t>
            </w:r>
          </w:p>
          <w:p w14:paraId="181DC53F">
            <w:pPr>
              <w:pStyle w:val="19"/>
              <w:adjustRightInd w:val="0"/>
              <w:snapToGrid w:val="0"/>
              <w:spacing w:before="0" w:beforeAutospacing="0" w:after="0" w:afterAutospacing="0"/>
              <w:ind w:firstLine="0" w:firstLineChars="0"/>
              <w:jc w:val="center"/>
              <w:rPr>
                <w:rFonts w:ascii="Times New Roman" w:hAnsi="Times New Roman"/>
                <w:color w:val="auto"/>
                <w:kern w:val="2"/>
                <w:szCs w:val="24"/>
                <w:u w:val="none" w:color="auto"/>
              </w:rPr>
            </w:pPr>
            <w:r>
              <w:rPr>
                <w:rFonts w:ascii="Times New Roman" w:hAnsi="Times New Roman"/>
                <w:color w:val="auto"/>
                <w:kern w:val="2"/>
                <w:szCs w:val="24"/>
                <w:u w:val="none" w:color="auto"/>
              </w:rPr>
              <w:t>护</w:t>
            </w:r>
          </w:p>
          <w:p w14:paraId="77004DDB">
            <w:pPr>
              <w:pStyle w:val="19"/>
              <w:adjustRightInd w:val="0"/>
              <w:snapToGrid w:val="0"/>
              <w:spacing w:before="0" w:beforeAutospacing="0" w:after="0" w:afterAutospacing="0"/>
              <w:ind w:firstLine="0" w:firstLineChars="0"/>
              <w:jc w:val="center"/>
              <w:rPr>
                <w:rFonts w:ascii="Times New Roman" w:hAnsi="Times New Roman"/>
                <w:color w:val="auto"/>
                <w:kern w:val="2"/>
                <w:szCs w:val="24"/>
                <w:u w:val="none" w:color="auto"/>
              </w:rPr>
            </w:pPr>
            <w:r>
              <w:rPr>
                <w:rFonts w:ascii="Times New Roman" w:hAnsi="Times New Roman"/>
                <w:color w:val="auto"/>
                <w:kern w:val="2"/>
                <w:szCs w:val="24"/>
                <w:u w:val="none" w:color="auto"/>
              </w:rPr>
              <w:t>措</w:t>
            </w:r>
          </w:p>
          <w:p w14:paraId="4BE5C4CC">
            <w:pPr>
              <w:pStyle w:val="19"/>
              <w:adjustRightInd w:val="0"/>
              <w:snapToGrid w:val="0"/>
              <w:spacing w:before="0" w:beforeAutospacing="0" w:after="0" w:afterAutospacing="0"/>
              <w:ind w:firstLine="0" w:firstLineChars="0"/>
              <w:jc w:val="center"/>
              <w:rPr>
                <w:rFonts w:ascii="Times New Roman" w:hAnsi="Times New Roman"/>
                <w:bCs/>
                <w:color w:val="auto"/>
                <w:kern w:val="2"/>
                <w:szCs w:val="24"/>
                <w:u w:val="none" w:color="auto"/>
              </w:rPr>
            </w:pPr>
            <w:r>
              <w:rPr>
                <w:rFonts w:ascii="Times New Roman" w:hAnsi="Times New Roman"/>
                <w:color w:val="auto"/>
                <w:kern w:val="2"/>
                <w:szCs w:val="24"/>
                <w:u w:val="none" w:color="auto"/>
              </w:rPr>
              <w:t>施</w:t>
            </w:r>
          </w:p>
        </w:tc>
        <w:tc>
          <w:tcPr>
            <w:tcW w:w="9445" w:type="dxa"/>
            <w:vAlign w:val="center"/>
          </w:tcPr>
          <w:p w14:paraId="2C3DB4A8">
            <w:pPr>
              <w:ind w:firstLine="480"/>
              <w:rPr>
                <w:rFonts w:hint="default" w:eastAsia="宋体"/>
                <w:color w:val="auto"/>
                <w:u w:val="none" w:color="auto"/>
                <w:lang w:val="en-US" w:eastAsia="zh-CN"/>
              </w:rPr>
            </w:pPr>
            <w:r>
              <w:rPr>
                <w:rFonts w:hint="eastAsia"/>
                <w:color w:val="auto"/>
                <w:u w:val="none" w:color="auto"/>
              </w:rPr>
              <w:t>根据现场调查，本项目用房现状为空置状态，施工期主要为建设污水处理站</w:t>
            </w:r>
            <w:r>
              <w:rPr>
                <w:rFonts w:hint="eastAsia"/>
                <w:color w:val="auto"/>
                <w:u w:val="none" w:color="auto"/>
                <w:lang w:eastAsia="zh-CN"/>
              </w:rPr>
              <w:t>、</w:t>
            </w:r>
            <w:r>
              <w:rPr>
                <w:rFonts w:hint="eastAsia"/>
                <w:color w:val="auto"/>
                <w:u w:val="none" w:color="auto"/>
              </w:rPr>
              <w:t>内部装修等</w:t>
            </w:r>
            <w:r>
              <w:rPr>
                <w:rFonts w:hint="eastAsia"/>
                <w:color w:val="auto"/>
                <w:u w:val="none" w:color="auto"/>
                <w:lang w:eastAsia="zh-CN"/>
              </w:rPr>
              <w:t>，</w:t>
            </w:r>
            <w:r>
              <w:rPr>
                <w:rFonts w:hint="eastAsia"/>
                <w:color w:val="auto"/>
                <w:u w:val="none" w:color="auto"/>
                <w:lang w:val="en-US" w:eastAsia="zh-CN"/>
              </w:rPr>
              <w:t>总体施工期较短，施工期主要采取的环境保护措施如下：</w:t>
            </w:r>
          </w:p>
          <w:p w14:paraId="11B61EE8">
            <w:pPr>
              <w:numPr>
                <w:ilvl w:val="0"/>
                <w:numId w:val="11"/>
              </w:numPr>
              <w:adjustRightInd w:val="0"/>
              <w:snapToGrid w:val="0"/>
              <w:ind w:firstLineChars="0"/>
              <w:rPr>
                <w:b/>
                <w:bCs/>
                <w:color w:val="auto"/>
                <w:spacing w:val="-10"/>
                <w:u w:val="none" w:color="auto"/>
              </w:rPr>
            </w:pPr>
            <w:r>
              <w:rPr>
                <w:b/>
                <w:bCs/>
                <w:color w:val="auto"/>
                <w:spacing w:val="-10"/>
                <w:u w:val="none" w:color="auto"/>
              </w:rPr>
              <w:t>废气</w:t>
            </w:r>
          </w:p>
          <w:p w14:paraId="21CCEC8A">
            <w:pPr>
              <w:pStyle w:val="42"/>
              <w:spacing w:line="480" w:lineRule="exact"/>
              <w:ind w:firstLine="480" w:firstLineChars="200"/>
              <w:jc w:val="left"/>
              <w:rPr>
                <w:color w:val="auto"/>
                <w:sz w:val="24"/>
                <w:szCs w:val="24"/>
                <w:u w:val="none" w:color="auto"/>
              </w:rPr>
            </w:pPr>
            <w:r>
              <w:rPr>
                <w:color w:val="auto"/>
                <w:sz w:val="24"/>
                <w:szCs w:val="24"/>
                <w:u w:val="none" w:color="auto"/>
              </w:rPr>
              <w:t>施工期间的大气污染物主要是施工扬尘、运输车辆和施工设备的尾气等。施工期大气污染源均主要为无组织排放形式。</w:t>
            </w:r>
          </w:p>
          <w:p w14:paraId="65546D4B">
            <w:pPr>
              <w:pStyle w:val="36"/>
              <w:numPr>
                <w:ilvl w:val="0"/>
                <w:numId w:val="12"/>
              </w:numPr>
              <w:ind w:left="120" w:leftChars="50" w:firstLine="600" w:firstLineChars="250"/>
              <w:rPr>
                <w:rFonts w:eastAsiaTheme="minorEastAsia"/>
                <w:color w:val="auto"/>
                <w:u w:val="none" w:color="auto"/>
              </w:rPr>
            </w:pPr>
            <w:r>
              <w:rPr>
                <w:rFonts w:eastAsiaTheme="minorEastAsia"/>
                <w:color w:val="auto"/>
                <w:u w:val="none" w:color="auto"/>
              </w:rPr>
              <w:t>扬尘</w:t>
            </w:r>
          </w:p>
          <w:p w14:paraId="4654E87A">
            <w:pPr>
              <w:ind w:firstLine="480"/>
              <w:rPr>
                <w:color w:val="auto"/>
                <w:u w:val="none" w:color="auto"/>
              </w:rPr>
            </w:pPr>
            <w:r>
              <w:rPr>
                <w:color w:val="auto"/>
                <w:u w:val="none" w:color="auto"/>
              </w:rPr>
              <w:t>施工期的环境空气污染主要由扬尘引起的，本环评建议采取以下措施：</w:t>
            </w:r>
          </w:p>
          <w:p w14:paraId="1F238115">
            <w:pPr>
              <w:ind w:firstLine="480"/>
              <w:rPr>
                <w:color w:val="auto"/>
                <w:u w:val="none" w:color="auto"/>
              </w:rPr>
            </w:pPr>
            <w:r>
              <w:rPr>
                <w:rFonts w:hint="eastAsia" w:ascii="宋体" w:hAnsi="宋体" w:cs="宋体"/>
                <w:color w:val="auto"/>
                <w:u w:val="none" w:color="auto"/>
              </w:rPr>
              <w:t>①</w:t>
            </w:r>
            <w:r>
              <w:rPr>
                <w:color w:val="auto"/>
                <w:u w:val="none" w:color="auto"/>
              </w:rPr>
              <w:t xml:space="preserve"> </w:t>
            </w:r>
            <w:r>
              <w:rPr>
                <w:color w:val="auto"/>
                <w:u w:val="none" w:color="auto"/>
                <w:lang w:val="zh-CN"/>
              </w:rPr>
              <w:t>施工期间应加强管理，贯彻边施工、边防护的原则，防止扬尘产生。</w:t>
            </w:r>
          </w:p>
          <w:p w14:paraId="342D342E">
            <w:pPr>
              <w:ind w:firstLine="480"/>
              <w:rPr>
                <w:color w:val="auto"/>
                <w:u w:val="none" w:color="auto"/>
              </w:rPr>
            </w:pPr>
            <w:r>
              <w:rPr>
                <w:rFonts w:hint="eastAsia" w:ascii="宋体" w:hAnsi="宋体" w:cs="宋体"/>
                <w:color w:val="auto"/>
                <w:u w:val="none" w:color="auto"/>
              </w:rPr>
              <w:t>②</w:t>
            </w:r>
            <w:r>
              <w:rPr>
                <w:color w:val="auto"/>
                <w:u w:val="none" w:color="auto"/>
              </w:rPr>
              <w:t xml:space="preserve"> </w:t>
            </w:r>
            <w:r>
              <w:rPr>
                <w:color w:val="auto"/>
                <w:u w:val="none" w:color="auto"/>
                <w:lang w:val="zh-CN"/>
              </w:rPr>
              <w:t>建筑垃圾和材料采取规范堆放、遮盖、洒水等防尘措施，建筑垃圾采取及时清运措施。</w:t>
            </w:r>
          </w:p>
          <w:p w14:paraId="168D2E26">
            <w:pPr>
              <w:ind w:firstLine="480"/>
              <w:rPr>
                <w:color w:val="auto"/>
                <w:u w:val="none" w:color="auto"/>
              </w:rPr>
            </w:pPr>
            <w:r>
              <w:rPr>
                <w:rFonts w:hint="eastAsia" w:ascii="宋体" w:hAnsi="宋体" w:cs="宋体"/>
                <w:color w:val="auto"/>
                <w:u w:val="none" w:color="auto"/>
                <w:lang w:val="en-US" w:eastAsia="zh-CN"/>
              </w:rPr>
              <w:t>③</w:t>
            </w:r>
            <w:r>
              <w:rPr>
                <w:color w:val="auto"/>
                <w:u w:val="none" w:color="auto"/>
              </w:rPr>
              <w:t xml:space="preserve"> </w:t>
            </w:r>
            <w:r>
              <w:rPr>
                <w:color w:val="auto"/>
                <w:u w:val="none" w:color="auto"/>
                <w:lang w:val="zh-CN"/>
              </w:rPr>
              <w:t>严禁随意抛洒建筑垃圾。</w:t>
            </w:r>
          </w:p>
          <w:p w14:paraId="2389779D">
            <w:pPr>
              <w:ind w:firstLine="480"/>
              <w:rPr>
                <w:color w:val="auto"/>
                <w:u w:val="none" w:color="auto"/>
              </w:rPr>
            </w:pPr>
            <w:r>
              <w:rPr>
                <w:rFonts w:hint="eastAsia" w:ascii="宋体" w:hAnsi="宋体" w:cs="宋体"/>
                <w:color w:val="auto"/>
                <w:u w:val="none" w:color="auto"/>
                <w:lang w:val="en-US" w:eastAsia="zh-CN"/>
              </w:rPr>
              <w:t>④</w:t>
            </w:r>
            <w:r>
              <w:rPr>
                <w:color w:val="auto"/>
                <w:u w:val="none" w:color="auto"/>
              </w:rPr>
              <w:t xml:space="preserve"> </w:t>
            </w:r>
            <w:r>
              <w:rPr>
                <w:color w:val="auto"/>
                <w:u w:val="none" w:color="auto"/>
                <w:lang w:val="zh-CN"/>
              </w:rPr>
              <w:t>施工场地应定时洒水降尘，对场地内运输通道及时清扫，交通道路定期洒水和清扫，运输车辆进入施工场地应低速行驶。</w:t>
            </w:r>
          </w:p>
          <w:p w14:paraId="19523BE3">
            <w:pPr>
              <w:ind w:firstLine="480"/>
              <w:rPr>
                <w:color w:val="auto"/>
                <w:u w:val="none" w:color="auto"/>
                <w:lang w:val="zh-CN"/>
              </w:rPr>
            </w:pPr>
            <w:r>
              <w:rPr>
                <w:rFonts w:hint="eastAsia" w:ascii="宋体" w:hAnsi="宋体" w:cs="宋体"/>
                <w:color w:val="auto"/>
                <w:u w:val="none" w:color="auto"/>
                <w:lang w:val="en-US" w:eastAsia="zh-CN"/>
              </w:rPr>
              <w:t>⑤</w:t>
            </w:r>
            <w:r>
              <w:rPr>
                <w:color w:val="auto"/>
                <w:u w:val="none" w:color="auto"/>
              </w:rPr>
              <w:t xml:space="preserve"> </w:t>
            </w:r>
            <w:r>
              <w:rPr>
                <w:color w:val="auto"/>
                <w:u w:val="none" w:color="auto"/>
                <w:lang w:val="zh-CN"/>
              </w:rPr>
              <w:t>为防止进出工地的物料、渣土、建筑垃圾运输车辆扬尘的影响，施工期必须采取的防尘措施有：进出工地的物料、渣土、垃圾运输车辆，应尽可能采用密闭车斗，并保证物料不遗撒外漏。若无密闭车斗，物料、垃圾、渣土的装载高度不得超过车辆槽帮上沿，车斗应用篷布遮盖严实。篷布边缘至少要遮住槽帮上沿以下</w:t>
            </w:r>
            <w:r>
              <w:rPr>
                <w:color w:val="auto"/>
                <w:u w:val="none" w:color="auto"/>
              </w:rPr>
              <w:t>15cm，</w:t>
            </w:r>
            <w:r>
              <w:rPr>
                <w:color w:val="auto"/>
                <w:u w:val="none" w:color="auto"/>
                <w:lang w:val="zh-CN"/>
              </w:rPr>
              <w:t>保证物料、渣土、垃圾等不露出。车辆应按照批准的路线和时间进行物料、渣土、垃圾运输。</w:t>
            </w:r>
          </w:p>
          <w:p w14:paraId="0B0DB2DB">
            <w:pPr>
              <w:numPr>
                <w:ilvl w:val="0"/>
                <w:numId w:val="13"/>
              </w:numPr>
              <w:ind w:firstLineChars="0"/>
              <w:rPr>
                <w:color w:val="auto"/>
                <w:szCs w:val="22"/>
                <w:u w:val="none" w:color="auto"/>
              </w:rPr>
            </w:pPr>
            <w:r>
              <w:rPr>
                <w:color w:val="auto"/>
                <w:szCs w:val="22"/>
                <w:u w:val="none" w:color="auto"/>
              </w:rPr>
              <w:t>施工机械废气及汽车尾气</w:t>
            </w:r>
          </w:p>
          <w:p w14:paraId="5027EF41">
            <w:pPr>
              <w:ind w:firstLine="480"/>
              <w:rPr>
                <w:color w:val="auto"/>
                <w:u w:val="none" w:color="auto"/>
              </w:rPr>
            </w:pPr>
            <w:r>
              <w:rPr>
                <w:color w:val="auto"/>
                <w:u w:val="none" w:color="auto"/>
              </w:rPr>
              <w:t>施工机械排放的污染物主要有CO、NO</w:t>
            </w:r>
            <w:r>
              <w:rPr>
                <w:color w:val="auto"/>
                <w:u w:val="none" w:color="auto"/>
                <w:vertAlign w:val="subscript"/>
              </w:rPr>
              <w:t>2</w:t>
            </w:r>
            <w:r>
              <w:rPr>
                <w:color w:val="auto"/>
                <w:u w:val="none" w:color="auto"/>
              </w:rPr>
              <w:t>、THC。由于施工机械数量少且较分散，污染物排放量不大，表现为间歇性特征，其污染程度相对较轻，加之地面开阔，因此影响是短期和局部的，施工结束影响也随之消失。但在施工过程中，仍然要求施工单位必须使用污染物排放符合国家标准的运输车辆和施工机械设备，加强车辆和设备的保养，使其处于良好的工作状态，严禁使用报废车辆，以减少施工车辆尾气对周围环境的影响。</w:t>
            </w:r>
          </w:p>
          <w:p w14:paraId="57705C9C">
            <w:pPr>
              <w:pStyle w:val="21"/>
              <w:rPr>
                <w:rFonts w:hint="default" w:ascii="Times New Roman" w:hAnsi="Times New Roman" w:eastAsia="宋体" w:cs="Times New Roman"/>
                <w:b w:val="0"/>
                <w:bCs/>
                <w:color w:val="auto"/>
                <w:kern w:val="2"/>
                <w:sz w:val="24"/>
                <w:szCs w:val="24"/>
                <w:u w:val="none" w:color="auto"/>
                <w:lang w:val="en-US" w:eastAsia="zh-CN" w:bidi="ar-SA"/>
              </w:rPr>
            </w:pPr>
            <w:r>
              <w:rPr>
                <w:rFonts w:hint="eastAsia" w:ascii="Times New Roman" w:hAnsi="Times New Roman" w:eastAsia="宋体" w:cs="Times New Roman"/>
                <w:b w:val="0"/>
                <w:bCs/>
                <w:color w:val="auto"/>
                <w:kern w:val="2"/>
                <w:sz w:val="24"/>
                <w:szCs w:val="24"/>
                <w:u w:val="none" w:color="auto"/>
                <w:lang w:val="en-US" w:eastAsia="zh-CN" w:bidi="ar-SA"/>
              </w:rPr>
              <w:t>（3）装修废气：装修过程产生少量装修废气，</w:t>
            </w:r>
            <w:r>
              <w:rPr>
                <w:rFonts w:ascii="Times New Roman" w:hAnsi="Times New Roman" w:eastAsia="宋体" w:cs="Times New Roman"/>
                <w:b w:val="0"/>
                <w:bCs/>
                <w:color w:val="auto"/>
                <w:kern w:val="2"/>
                <w:sz w:val="24"/>
                <w:szCs w:val="24"/>
                <w:u w:val="none" w:color="auto"/>
                <w:lang w:val="en-US" w:eastAsia="zh-CN" w:bidi="ar-SA"/>
              </w:rPr>
              <w:t>建议</w:t>
            </w:r>
            <w:r>
              <w:rPr>
                <w:rFonts w:hint="eastAsia" w:ascii="Times New Roman" w:hAnsi="Times New Roman" w:eastAsia="宋体" w:cs="Times New Roman"/>
                <w:b w:val="0"/>
                <w:bCs/>
                <w:color w:val="auto"/>
                <w:kern w:val="2"/>
                <w:sz w:val="24"/>
                <w:szCs w:val="24"/>
                <w:u w:val="none" w:color="auto"/>
                <w:lang w:val="en-US" w:eastAsia="zh-CN" w:bidi="ar-SA"/>
              </w:rPr>
              <w:t>建设单位</w:t>
            </w:r>
            <w:r>
              <w:rPr>
                <w:rFonts w:ascii="Times New Roman" w:hAnsi="Times New Roman" w:eastAsia="宋体" w:cs="Times New Roman"/>
                <w:b w:val="0"/>
                <w:bCs/>
                <w:color w:val="auto"/>
                <w:kern w:val="2"/>
                <w:sz w:val="24"/>
                <w:szCs w:val="24"/>
                <w:u w:val="none" w:color="auto"/>
                <w:lang w:val="en-US" w:eastAsia="zh-CN" w:bidi="ar-SA"/>
              </w:rPr>
              <w:t>选用经过质量检查部门认证的材料装饰，选择无毒或低毒的环保产品；在装修期间，加强室内的通风换气，装修后不宜立即投入使用；保持室内空气流通，或选用确有效果的室内空气净化器和净化装置。</w:t>
            </w:r>
          </w:p>
          <w:p w14:paraId="19491B45">
            <w:pPr>
              <w:numPr>
                <w:ilvl w:val="0"/>
                <w:numId w:val="11"/>
              </w:numPr>
              <w:adjustRightInd w:val="0"/>
              <w:snapToGrid w:val="0"/>
              <w:ind w:firstLineChars="0"/>
              <w:rPr>
                <w:b/>
                <w:bCs/>
                <w:color w:val="auto"/>
                <w:spacing w:val="-10"/>
                <w:u w:val="none" w:color="auto"/>
              </w:rPr>
            </w:pPr>
            <w:r>
              <w:rPr>
                <w:b/>
                <w:bCs/>
                <w:color w:val="auto"/>
                <w:spacing w:val="-10"/>
                <w:u w:val="none" w:color="auto"/>
              </w:rPr>
              <w:t>废水</w:t>
            </w:r>
          </w:p>
          <w:p w14:paraId="3A997530">
            <w:pPr>
              <w:ind w:firstLine="480"/>
              <w:rPr>
                <w:color w:val="auto"/>
                <w:u w:val="none" w:color="auto"/>
              </w:rPr>
            </w:pPr>
            <w:r>
              <w:rPr>
                <w:color w:val="auto"/>
                <w:u w:val="none" w:color="auto"/>
              </w:rPr>
              <w:t>本项目施工期间主要废水为施工废水和施工人员的生活污水。</w:t>
            </w:r>
          </w:p>
          <w:p w14:paraId="7857925E">
            <w:pPr>
              <w:ind w:firstLine="480"/>
              <w:rPr>
                <w:color w:val="auto"/>
                <w:u w:val="none" w:color="auto"/>
              </w:rPr>
            </w:pPr>
            <w:r>
              <w:rPr>
                <w:color w:val="auto"/>
                <w:u w:val="none" w:color="auto"/>
              </w:rPr>
              <w:t>（1）施工废水影响分析</w:t>
            </w:r>
          </w:p>
          <w:p w14:paraId="78FD662C">
            <w:pPr>
              <w:ind w:firstLine="480"/>
              <w:rPr>
                <w:color w:val="auto"/>
                <w:highlight w:val="none"/>
                <w:u w:val="none" w:color="auto"/>
              </w:rPr>
            </w:pPr>
            <w:r>
              <w:rPr>
                <w:color w:val="auto"/>
                <w:u w:val="none" w:color="auto"/>
              </w:rPr>
              <w:t>施工</w:t>
            </w:r>
            <w:r>
              <w:rPr>
                <w:color w:val="auto"/>
                <w:highlight w:val="none"/>
                <w:u w:val="none" w:color="auto"/>
              </w:rPr>
              <w:t>废水包括施工用水、施工机械运作</w:t>
            </w:r>
            <w:r>
              <w:rPr>
                <w:rFonts w:hint="eastAsia"/>
                <w:color w:val="auto"/>
                <w:highlight w:val="none"/>
                <w:u w:val="none" w:color="auto"/>
                <w:lang w:val="en-US" w:eastAsia="zh-CN"/>
              </w:rPr>
              <w:t>等过程</w:t>
            </w:r>
            <w:r>
              <w:rPr>
                <w:color w:val="auto"/>
                <w:highlight w:val="none"/>
                <w:u w:val="none" w:color="auto"/>
              </w:rPr>
              <w:t>中产生的少量污水，污水中的污染物主要为SS、石油类。施工期间产生的施工废水排入临时沉淀池，经沉淀处理后回用于施工场区洒水抑尘，施工期施工废水产生量不大，经采取措施后对区域地表水环境影响不大。</w:t>
            </w:r>
          </w:p>
          <w:p w14:paraId="43C2A6BE">
            <w:pPr>
              <w:ind w:firstLine="480"/>
              <w:rPr>
                <w:color w:val="auto"/>
                <w:highlight w:val="none"/>
                <w:u w:val="none" w:color="auto"/>
              </w:rPr>
            </w:pPr>
            <w:r>
              <w:rPr>
                <w:color w:val="auto"/>
                <w:highlight w:val="none"/>
                <w:u w:val="none" w:color="auto"/>
              </w:rPr>
              <w:t>（2）施工生活污水影响分析</w:t>
            </w:r>
          </w:p>
          <w:p w14:paraId="5160D6A8">
            <w:pPr>
              <w:ind w:firstLine="480"/>
              <w:rPr>
                <w:color w:val="auto"/>
                <w:highlight w:val="none"/>
                <w:u w:val="none" w:color="auto"/>
              </w:rPr>
            </w:pPr>
            <w:r>
              <w:rPr>
                <w:color w:val="auto"/>
                <w:highlight w:val="none"/>
                <w:u w:val="none" w:color="auto"/>
              </w:rPr>
              <w:t>施工期施工生活污水经化粪池处理</w:t>
            </w:r>
            <w:r>
              <w:rPr>
                <w:rFonts w:hint="eastAsia"/>
                <w:color w:val="auto"/>
                <w:highlight w:val="none"/>
                <w:u w:val="none" w:color="auto"/>
                <w:lang w:val="en-US" w:eastAsia="zh-CN"/>
              </w:rPr>
              <w:t>后排入市政污水管网，进入江南污水处理厂处理</w:t>
            </w:r>
            <w:r>
              <w:rPr>
                <w:rFonts w:hint="eastAsia"/>
                <w:color w:val="auto"/>
                <w:highlight w:val="none"/>
                <w:u w:val="none" w:color="auto"/>
                <w:lang w:eastAsia="zh-CN"/>
              </w:rPr>
              <w:t>，</w:t>
            </w:r>
            <w:r>
              <w:rPr>
                <w:color w:val="auto"/>
                <w:highlight w:val="none"/>
                <w:u w:val="none" w:color="auto"/>
              </w:rPr>
              <w:t>因此项目施工期生活污水对地表水环境影响不大。</w:t>
            </w:r>
          </w:p>
          <w:p w14:paraId="7B2679BC">
            <w:pPr>
              <w:numPr>
                <w:ilvl w:val="0"/>
                <w:numId w:val="11"/>
              </w:numPr>
              <w:adjustRightInd w:val="0"/>
              <w:snapToGrid w:val="0"/>
              <w:ind w:firstLineChars="0"/>
              <w:rPr>
                <w:b/>
                <w:bCs/>
                <w:color w:val="auto"/>
                <w:spacing w:val="-10"/>
                <w:u w:val="none" w:color="auto"/>
              </w:rPr>
            </w:pPr>
            <w:r>
              <w:rPr>
                <w:b/>
                <w:bCs/>
                <w:color w:val="auto"/>
                <w:spacing w:val="-10"/>
                <w:u w:val="none" w:color="auto"/>
              </w:rPr>
              <w:t>噪声</w:t>
            </w:r>
          </w:p>
          <w:p w14:paraId="4665C01F">
            <w:pPr>
              <w:ind w:firstLine="480"/>
              <w:rPr>
                <w:color w:val="auto"/>
                <w:u w:val="none" w:color="auto"/>
              </w:rPr>
            </w:pPr>
            <w:r>
              <w:rPr>
                <w:color w:val="auto"/>
                <w:u w:val="none" w:color="auto"/>
              </w:rPr>
              <w:t>为了维持区域现有良好的声环境质量，项目施工期间应采取以下措施来减轻噪声对环境的影响：</w:t>
            </w:r>
          </w:p>
          <w:p w14:paraId="0B37B16A">
            <w:pPr>
              <w:ind w:firstLine="480"/>
              <w:rPr>
                <w:color w:val="auto"/>
                <w:u w:val="none" w:color="auto"/>
              </w:rPr>
            </w:pPr>
            <w:r>
              <w:rPr>
                <w:color w:val="auto"/>
                <w:u w:val="none" w:color="auto"/>
              </w:rPr>
              <w:t>（1）建设单位与施工单位签订施工环境管理合同，合理安排施工程序，文明施工，加强环境的监督管理。</w:t>
            </w:r>
          </w:p>
          <w:p w14:paraId="2FFA60BA">
            <w:pPr>
              <w:ind w:firstLine="480"/>
              <w:rPr>
                <w:color w:val="auto"/>
                <w:u w:val="none" w:color="auto"/>
              </w:rPr>
            </w:pPr>
            <w:r>
              <w:rPr>
                <w:color w:val="auto"/>
                <w:u w:val="none" w:color="auto"/>
              </w:rPr>
              <w:t>（2）施工单位尽量采用先进低噪声设备，对产噪施工设备应加强维护和维修工作，合理安排施工作业工序，避免多个高噪声设备同时施工。</w:t>
            </w:r>
          </w:p>
          <w:p w14:paraId="1ED74AD8">
            <w:pPr>
              <w:ind w:firstLine="480"/>
              <w:rPr>
                <w:color w:val="auto"/>
                <w:u w:val="none" w:color="auto"/>
              </w:rPr>
            </w:pPr>
            <w:r>
              <w:rPr>
                <w:color w:val="auto"/>
                <w:u w:val="none" w:color="auto"/>
              </w:rPr>
              <w:t>（3）运输车辆出入施工现场以及在周边道路行驶过程中应控制车速，并减少鸣笛。</w:t>
            </w:r>
          </w:p>
          <w:p w14:paraId="37CEE7E3">
            <w:pPr>
              <w:ind w:firstLine="480"/>
              <w:rPr>
                <w:color w:val="auto"/>
                <w:u w:val="none" w:color="auto"/>
              </w:rPr>
            </w:pPr>
            <w:r>
              <w:rPr>
                <w:color w:val="auto"/>
                <w:u w:val="none" w:color="auto"/>
              </w:rPr>
              <w:t>（</w:t>
            </w:r>
            <w:r>
              <w:rPr>
                <w:rFonts w:hint="eastAsia"/>
                <w:color w:val="auto"/>
                <w:u w:val="none" w:color="auto"/>
                <w:lang w:val="en-US" w:eastAsia="zh-CN"/>
              </w:rPr>
              <w:t>4</w:t>
            </w:r>
            <w:r>
              <w:rPr>
                <w:color w:val="auto"/>
                <w:u w:val="none" w:color="auto"/>
              </w:rPr>
              <w:t>）用新型的、低噪声的设备，进一步降低施工噪声对周边环境的影响，以确保施工场界噪声达到《建筑施工场界环境噪声排放标准》(GB12523-2011</w:t>
            </w:r>
            <w:r>
              <w:rPr>
                <w:rFonts w:hint="eastAsia"/>
                <w:color w:val="auto"/>
                <w:u w:val="none" w:color="auto"/>
                <w:lang w:eastAsia="zh-CN"/>
              </w:rPr>
              <w:t>）</w:t>
            </w:r>
            <w:r>
              <w:rPr>
                <w:color w:val="auto"/>
                <w:u w:val="none" w:color="auto"/>
              </w:rPr>
              <w:t>的要求。</w:t>
            </w:r>
          </w:p>
          <w:p w14:paraId="49681922">
            <w:pPr>
              <w:ind w:firstLine="480"/>
              <w:rPr>
                <w:color w:val="auto"/>
                <w:u w:val="none" w:color="auto"/>
              </w:rPr>
            </w:pPr>
            <w:r>
              <w:rPr>
                <w:color w:val="auto"/>
                <w:u w:val="none" w:color="auto"/>
              </w:rPr>
              <w:t>（</w:t>
            </w:r>
            <w:r>
              <w:rPr>
                <w:rFonts w:hint="eastAsia"/>
                <w:color w:val="auto"/>
                <w:u w:val="none" w:color="auto"/>
                <w:lang w:val="en-US" w:eastAsia="zh-CN"/>
              </w:rPr>
              <w:t>5</w:t>
            </w:r>
            <w:r>
              <w:rPr>
                <w:color w:val="auto"/>
                <w:u w:val="none" w:color="auto"/>
              </w:rPr>
              <w:t>）施工单位应按照相关环境噪声污染防治条例要求，合理安排施工进度和作业时间，对主要噪声设备应采取相应的限时作业，禁止建筑施工单位在中午</w:t>
            </w:r>
            <w:r>
              <w:rPr>
                <w:rFonts w:hint="eastAsia"/>
                <w:color w:val="auto"/>
                <w:u w:val="none" w:color="auto"/>
                <w:lang w:eastAsia="zh-CN"/>
              </w:rPr>
              <w:t>（</w:t>
            </w:r>
            <w:r>
              <w:rPr>
                <w:color w:val="auto"/>
                <w:u w:val="none" w:color="auto"/>
              </w:rPr>
              <w:t>北京时间12:00~14:30</w:t>
            </w:r>
            <w:r>
              <w:rPr>
                <w:rFonts w:hint="eastAsia"/>
                <w:color w:val="auto"/>
                <w:u w:val="none" w:color="auto"/>
                <w:lang w:eastAsia="zh-CN"/>
              </w:rPr>
              <w:t>）</w:t>
            </w:r>
            <w:r>
              <w:rPr>
                <w:color w:val="auto"/>
                <w:u w:val="none" w:color="auto"/>
              </w:rPr>
              <w:t>和夜间</w:t>
            </w:r>
            <w:r>
              <w:rPr>
                <w:rFonts w:hint="eastAsia"/>
                <w:color w:val="auto"/>
                <w:u w:val="none" w:color="auto"/>
                <w:lang w:eastAsia="zh-CN"/>
              </w:rPr>
              <w:t>（</w:t>
            </w:r>
            <w:r>
              <w:rPr>
                <w:color w:val="auto"/>
                <w:u w:val="none" w:color="auto"/>
              </w:rPr>
              <w:t>北京时间22:00</w:t>
            </w:r>
            <w:r>
              <w:rPr>
                <w:rFonts w:hint="eastAsia"/>
                <w:color w:val="auto"/>
                <w:u w:val="none" w:color="auto"/>
                <w:lang w:eastAsia="zh-CN"/>
              </w:rPr>
              <w:t>～</w:t>
            </w:r>
            <w:r>
              <w:rPr>
                <w:color w:val="auto"/>
                <w:u w:val="none" w:color="auto"/>
              </w:rPr>
              <w:t>次日06:00</w:t>
            </w:r>
            <w:r>
              <w:rPr>
                <w:rFonts w:hint="eastAsia"/>
                <w:color w:val="auto"/>
                <w:u w:val="none" w:color="auto"/>
                <w:lang w:eastAsia="zh-CN"/>
              </w:rPr>
              <w:t>）</w:t>
            </w:r>
            <w:r>
              <w:rPr>
                <w:color w:val="auto"/>
                <w:u w:val="none" w:color="auto"/>
              </w:rPr>
              <w:t>进行产生建筑施工噪声的作业，但因施工抢修、抢险作业和因施工生产工艺上要求或者其他特殊需要必须连续作业的除外。确因工序需要必须连续施工的，应当提前5日向当地生态环境主管部门申报，取得有关监督管理部门的批准，并提前2日向周边民众公告后方可施工，同时将当天的审批表原件交给工地值班人员备查。</w:t>
            </w:r>
          </w:p>
          <w:p w14:paraId="0FF026BA">
            <w:pPr>
              <w:ind w:firstLine="480"/>
              <w:rPr>
                <w:color w:val="auto"/>
                <w:u w:val="none" w:color="auto"/>
              </w:rPr>
            </w:pPr>
            <w:r>
              <w:rPr>
                <w:color w:val="auto"/>
                <w:u w:val="none" w:color="auto"/>
              </w:rPr>
              <w:t>在采取以上措施后，项目产生的施工噪声可得到有效控制，降低对周围环境影响，对周边环境的影响降低</w:t>
            </w:r>
            <w:r>
              <w:rPr>
                <w:rFonts w:hint="eastAsia"/>
                <w:color w:val="auto"/>
                <w:u w:val="none" w:color="auto"/>
                <w:lang w:val="en-US" w:eastAsia="zh-CN"/>
              </w:rPr>
              <w:t>至</w:t>
            </w:r>
            <w:r>
              <w:rPr>
                <w:color w:val="auto"/>
                <w:u w:val="none" w:color="auto"/>
              </w:rPr>
              <w:t>可以接受的范围内。</w:t>
            </w:r>
          </w:p>
          <w:p w14:paraId="3C821403">
            <w:pPr>
              <w:numPr>
                <w:ilvl w:val="0"/>
                <w:numId w:val="11"/>
              </w:numPr>
              <w:adjustRightInd w:val="0"/>
              <w:snapToGrid w:val="0"/>
              <w:ind w:firstLineChars="0"/>
              <w:rPr>
                <w:b/>
                <w:bCs/>
                <w:color w:val="auto"/>
                <w:spacing w:val="-10"/>
                <w:u w:val="none" w:color="auto"/>
              </w:rPr>
            </w:pPr>
            <w:r>
              <w:rPr>
                <w:b/>
                <w:bCs/>
                <w:color w:val="auto"/>
                <w:spacing w:val="-10"/>
                <w:u w:val="none" w:color="auto"/>
              </w:rPr>
              <w:t>固体废物</w:t>
            </w:r>
          </w:p>
          <w:p w14:paraId="474F3C63">
            <w:pPr>
              <w:ind w:firstLine="480"/>
              <w:rPr>
                <w:color w:val="auto"/>
                <w:u w:val="none" w:color="auto"/>
              </w:rPr>
            </w:pPr>
            <w:r>
              <w:rPr>
                <w:color w:val="auto"/>
                <w:u w:val="none" w:color="auto"/>
              </w:rPr>
              <w:t>项目施工期产生的固体废物主要为设备安装调试阶段</w:t>
            </w:r>
            <w:bookmarkStart w:id="19" w:name="OLE_LINK7"/>
            <w:r>
              <w:rPr>
                <w:color w:val="auto"/>
                <w:u w:val="none" w:color="auto"/>
              </w:rPr>
              <w:t>废包装材料</w:t>
            </w:r>
            <w:bookmarkEnd w:id="19"/>
            <w:r>
              <w:rPr>
                <w:rFonts w:hint="eastAsia"/>
                <w:color w:val="auto"/>
                <w:u w:val="none" w:color="auto"/>
                <w:lang w:eastAsia="zh-CN"/>
              </w:rPr>
              <w:t>、</w:t>
            </w:r>
            <w:r>
              <w:rPr>
                <w:rFonts w:hint="eastAsia"/>
                <w:color w:val="auto"/>
                <w:u w:val="none" w:color="auto"/>
                <w:lang w:val="en-US" w:eastAsia="zh-CN"/>
              </w:rPr>
              <w:t>弃土和少量建筑垃圾</w:t>
            </w:r>
            <w:r>
              <w:rPr>
                <w:color w:val="auto"/>
                <w:u w:val="none" w:color="auto"/>
              </w:rPr>
              <w:t>；以及施工人员产生的生活垃圾，废包装材料回收处理，</w:t>
            </w:r>
            <w:r>
              <w:rPr>
                <w:rFonts w:hint="eastAsia"/>
                <w:color w:val="auto"/>
                <w:u w:val="none" w:color="auto"/>
                <w:lang w:val="en-US" w:eastAsia="zh-CN"/>
              </w:rPr>
              <w:t>弃土及建筑垃圾送到相关部门指定地点堆放，</w:t>
            </w:r>
            <w:r>
              <w:rPr>
                <w:color w:val="auto"/>
                <w:u w:val="none" w:color="auto"/>
              </w:rPr>
              <w:t>施工人员产生的生活垃圾，统一收集交由环卫部门统一清运。</w:t>
            </w:r>
          </w:p>
        </w:tc>
      </w:tr>
      <w:tr w14:paraId="2D9BA9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53" w:hRule="atLeast"/>
          <w:jc w:val="center"/>
        </w:trPr>
        <w:tc>
          <w:tcPr>
            <w:tcW w:w="641" w:type="dxa"/>
            <w:tcMar>
              <w:left w:w="28" w:type="dxa"/>
              <w:right w:w="28" w:type="dxa"/>
            </w:tcMar>
            <w:vAlign w:val="center"/>
          </w:tcPr>
          <w:p w14:paraId="5B0DF08B">
            <w:pPr>
              <w:adjustRightInd w:val="0"/>
              <w:snapToGrid w:val="0"/>
              <w:ind w:firstLine="0" w:firstLineChars="0"/>
              <w:jc w:val="center"/>
              <w:rPr>
                <w:bCs/>
                <w:color w:val="auto"/>
                <w:u w:val="none" w:color="auto"/>
              </w:rPr>
            </w:pPr>
            <w:r>
              <w:rPr>
                <w:bCs/>
                <w:color w:val="auto"/>
                <w:u w:val="none" w:color="auto"/>
              </w:rPr>
              <w:t>运</w:t>
            </w:r>
          </w:p>
          <w:p w14:paraId="29DB112B">
            <w:pPr>
              <w:adjustRightInd w:val="0"/>
              <w:snapToGrid w:val="0"/>
              <w:ind w:firstLine="0" w:firstLineChars="0"/>
              <w:jc w:val="center"/>
              <w:rPr>
                <w:bCs/>
                <w:color w:val="auto"/>
                <w:u w:val="none" w:color="auto"/>
              </w:rPr>
            </w:pPr>
            <w:r>
              <w:rPr>
                <w:bCs/>
                <w:color w:val="auto"/>
                <w:u w:val="none" w:color="auto"/>
              </w:rPr>
              <w:t>营</w:t>
            </w:r>
          </w:p>
          <w:p w14:paraId="33C24DC5">
            <w:pPr>
              <w:adjustRightInd w:val="0"/>
              <w:snapToGrid w:val="0"/>
              <w:ind w:firstLine="0" w:firstLineChars="0"/>
              <w:jc w:val="center"/>
              <w:rPr>
                <w:bCs/>
                <w:color w:val="auto"/>
                <w:u w:val="none" w:color="auto"/>
              </w:rPr>
            </w:pPr>
            <w:r>
              <w:rPr>
                <w:bCs/>
                <w:color w:val="auto"/>
                <w:u w:val="none" w:color="auto"/>
              </w:rPr>
              <w:t>期</w:t>
            </w:r>
          </w:p>
          <w:p w14:paraId="0B5ED841">
            <w:pPr>
              <w:adjustRightInd w:val="0"/>
              <w:snapToGrid w:val="0"/>
              <w:ind w:firstLine="0" w:firstLineChars="0"/>
              <w:jc w:val="center"/>
              <w:rPr>
                <w:bCs/>
                <w:color w:val="auto"/>
                <w:u w:val="none" w:color="auto"/>
              </w:rPr>
            </w:pPr>
            <w:r>
              <w:rPr>
                <w:bCs/>
                <w:color w:val="auto"/>
                <w:u w:val="none" w:color="auto"/>
              </w:rPr>
              <w:t>环</w:t>
            </w:r>
          </w:p>
          <w:p w14:paraId="632FBA33">
            <w:pPr>
              <w:adjustRightInd w:val="0"/>
              <w:snapToGrid w:val="0"/>
              <w:ind w:firstLine="0" w:firstLineChars="0"/>
              <w:jc w:val="center"/>
              <w:rPr>
                <w:bCs/>
                <w:color w:val="auto"/>
                <w:u w:val="none" w:color="auto"/>
              </w:rPr>
            </w:pPr>
            <w:r>
              <w:rPr>
                <w:bCs/>
                <w:color w:val="auto"/>
                <w:u w:val="none" w:color="auto"/>
              </w:rPr>
              <w:t>境</w:t>
            </w:r>
          </w:p>
          <w:p w14:paraId="0EFDC6C2">
            <w:pPr>
              <w:adjustRightInd w:val="0"/>
              <w:snapToGrid w:val="0"/>
              <w:ind w:firstLine="0" w:firstLineChars="0"/>
              <w:jc w:val="center"/>
              <w:rPr>
                <w:bCs/>
                <w:color w:val="auto"/>
                <w:u w:val="none" w:color="auto"/>
              </w:rPr>
            </w:pPr>
            <w:r>
              <w:rPr>
                <w:bCs/>
                <w:color w:val="auto"/>
                <w:u w:val="none" w:color="auto"/>
              </w:rPr>
              <w:t>影</w:t>
            </w:r>
          </w:p>
          <w:p w14:paraId="72306B2D">
            <w:pPr>
              <w:adjustRightInd w:val="0"/>
              <w:snapToGrid w:val="0"/>
              <w:ind w:firstLine="0" w:firstLineChars="0"/>
              <w:jc w:val="center"/>
              <w:rPr>
                <w:bCs/>
                <w:color w:val="auto"/>
                <w:u w:val="none" w:color="auto"/>
              </w:rPr>
            </w:pPr>
            <w:r>
              <w:rPr>
                <w:bCs/>
                <w:color w:val="auto"/>
                <w:u w:val="none" w:color="auto"/>
              </w:rPr>
              <w:t>响</w:t>
            </w:r>
          </w:p>
          <w:p w14:paraId="5AA639EB">
            <w:pPr>
              <w:adjustRightInd w:val="0"/>
              <w:snapToGrid w:val="0"/>
              <w:ind w:firstLine="0" w:firstLineChars="0"/>
              <w:jc w:val="center"/>
              <w:rPr>
                <w:bCs/>
                <w:color w:val="auto"/>
                <w:u w:val="none" w:color="auto"/>
              </w:rPr>
            </w:pPr>
            <w:r>
              <w:rPr>
                <w:bCs/>
                <w:color w:val="auto"/>
                <w:u w:val="none" w:color="auto"/>
              </w:rPr>
              <w:t>和</w:t>
            </w:r>
          </w:p>
          <w:p w14:paraId="30900815">
            <w:pPr>
              <w:adjustRightInd w:val="0"/>
              <w:snapToGrid w:val="0"/>
              <w:ind w:firstLine="0" w:firstLineChars="0"/>
              <w:jc w:val="center"/>
              <w:rPr>
                <w:bCs/>
                <w:color w:val="auto"/>
                <w:u w:val="none" w:color="auto"/>
              </w:rPr>
            </w:pPr>
            <w:r>
              <w:rPr>
                <w:bCs/>
                <w:color w:val="auto"/>
                <w:u w:val="none" w:color="auto"/>
              </w:rPr>
              <w:t>保</w:t>
            </w:r>
          </w:p>
          <w:p w14:paraId="1B26AE9C">
            <w:pPr>
              <w:adjustRightInd w:val="0"/>
              <w:snapToGrid w:val="0"/>
              <w:ind w:firstLine="0" w:firstLineChars="0"/>
              <w:jc w:val="center"/>
              <w:rPr>
                <w:bCs/>
                <w:color w:val="auto"/>
                <w:u w:val="none" w:color="auto"/>
              </w:rPr>
            </w:pPr>
            <w:r>
              <w:rPr>
                <w:bCs/>
                <w:color w:val="auto"/>
                <w:u w:val="none" w:color="auto"/>
              </w:rPr>
              <w:t>护</w:t>
            </w:r>
          </w:p>
          <w:p w14:paraId="4B25365B">
            <w:pPr>
              <w:adjustRightInd w:val="0"/>
              <w:snapToGrid w:val="0"/>
              <w:ind w:firstLine="0" w:firstLineChars="0"/>
              <w:jc w:val="center"/>
              <w:rPr>
                <w:bCs/>
                <w:color w:val="auto"/>
                <w:u w:val="none" w:color="auto"/>
              </w:rPr>
            </w:pPr>
            <w:r>
              <w:rPr>
                <w:bCs/>
                <w:color w:val="auto"/>
                <w:u w:val="none" w:color="auto"/>
              </w:rPr>
              <w:t>措</w:t>
            </w:r>
          </w:p>
          <w:p w14:paraId="716B4317">
            <w:pPr>
              <w:adjustRightInd w:val="0"/>
              <w:snapToGrid w:val="0"/>
              <w:ind w:firstLine="0" w:firstLineChars="0"/>
              <w:jc w:val="center"/>
              <w:rPr>
                <w:bCs/>
                <w:color w:val="auto"/>
                <w:u w:val="none" w:color="auto"/>
              </w:rPr>
            </w:pPr>
            <w:r>
              <w:rPr>
                <w:bCs/>
                <w:color w:val="auto"/>
                <w:u w:val="none" w:color="auto"/>
              </w:rPr>
              <w:t>施</w:t>
            </w:r>
          </w:p>
        </w:tc>
        <w:tc>
          <w:tcPr>
            <w:tcW w:w="9445" w:type="dxa"/>
          </w:tcPr>
          <w:p w14:paraId="4501411E">
            <w:pPr>
              <w:pStyle w:val="36"/>
              <w:numPr>
                <w:ilvl w:val="0"/>
                <w:numId w:val="0"/>
              </w:numPr>
              <w:ind w:left="480" w:leftChars="0"/>
              <w:rPr>
                <w:color w:val="auto"/>
                <w:u w:val="none" w:color="auto"/>
              </w:rPr>
            </w:pPr>
            <w:r>
              <w:rPr>
                <w:rFonts w:hint="eastAsia"/>
                <w:color w:val="auto"/>
                <w:u w:val="none" w:color="auto"/>
                <w:lang w:val="en-US" w:eastAsia="zh-CN"/>
              </w:rPr>
              <w:t>一、</w:t>
            </w:r>
            <w:r>
              <w:rPr>
                <w:color w:val="auto"/>
                <w:u w:val="none" w:color="auto"/>
              </w:rPr>
              <w:t>废水</w:t>
            </w:r>
          </w:p>
          <w:p w14:paraId="01888F90">
            <w:pPr>
              <w:pStyle w:val="36"/>
              <w:numPr>
                <w:ilvl w:val="0"/>
                <w:numId w:val="0"/>
              </w:numPr>
              <w:ind w:left="720" w:leftChars="0"/>
              <w:rPr>
                <w:color w:val="auto"/>
                <w:u w:val="none" w:color="auto"/>
              </w:rPr>
            </w:pPr>
            <w:r>
              <w:rPr>
                <w:rFonts w:hint="eastAsia"/>
                <w:color w:val="auto"/>
                <w:u w:val="none" w:color="auto"/>
                <w:lang w:eastAsia="zh-CN"/>
              </w:rPr>
              <w:t>（</w:t>
            </w:r>
            <w:r>
              <w:rPr>
                <w:rFonts w:hint="eastAsia"/>
                <w:color w:val="auto"/>
                <w:u w:val="none" w:color="auto"/>
                <w:lang w:val="en-US" w:eastAsia="zh-CN"/>
              </w:rPr>
              <w:t>一</w:t>
            </w:r>
            <w:r>
              <w:rPr>
                <w:rFonts w:hint="eastAsia"/>
                <w:color w:val="auto"/>
                <w:u w:val="none" w:color="auto"/>
                <w:lang w:eastAsia="zh-CN"/>
              </w:rPr>
              <w:t>）</w:t>
            </w:r>
            <w:r>
              <w:rPr>
                <w:color w:val="auto"/>
                <w:u w:val="none" w:color="auto"/>
              </w:rPr>
              <w:t>废水污染源强及环境影响分析</w:t>
            </w:r>
          </w:p>
          <w:p w14:paraId="56585ACC">
            <w:pPr>
              <w:tabs>
                <w:tab w:val="left" w:pos="624"/>
              </w:tabs>
              <w:spacing w:line="460" w:lineRule="exact"/>
              <w:ind w:firstLine="482" w:firstLineChars="201"/>
              <w:rPr>
                <w:rFonts w:hint="eastAsia"/>
                <w:color w:val="auto"/>
                <w:sz w:val="24"/>
                <w:u w:val="none" w:color="auto"/>
              </w:rPr>
            </w:pPr>
            <w:r>
              <w:rPr>
                <w:rFonts w:hint="eastAsia"/>
                <w:color w:val="auto"/>
                <w:sz w:val="24"/>
                <w:u w:val="none" w:color="auto"/>
                <w:lang w:eastAsia="zh-CN"/>
              </w:rPr>
              <w:t>（</w:t>
            </w:r>
            <w:r>
              <w:rPr>
                <w:rFonts w:hint="eastAsia"/>
                <w:color w:val="auto"/>
                <w:sz w:val="24"/>
                <w:u w:val="none" w:color="auto"/>
                <w:lang w:val="en-US" w:eastAsia="zh-CN"/>
              </w:rPr>
              <w:t>1</w:t>
            </w:r>
            <w:r>
              <w:rPr>
                <w:rFonts w:hint="eastAsia"/>
                <w:color w:val="auto"/>
                <w:sz w:val="24"/>
                <w:u w:val="none" w:color="auto"/>
                <w:lang w:eastAsia="zh-CN"/>
              </w:rPr>
              <w:t>）</w:t>
            </w:r>
            <w:r>
              <w:rPr>
                <w:rFonts w:hint="eastAsia"/>
                <w:color w:val="auto"/>
                <w:sz w:val="24"/>
                <w:u w:val="none" w:color="auto"/>
              </w:rPr>
              <w:t>用水量情况分析</w:t>
            </w:r>
          </w:p>
          <w:p w14:paraId="704EAADE">
            <w:pPr>
              <w:tabs>
                <w:tab w:val="left" w:pos="624"/>
              </w:tabs>
              <w:spacing w:line="460" w:lineRule="exact"/>
              <w:ind w:firstLine="482" w:firstLineChars="201"/>
              <w:rPr>
                <w:rFonts w:hint="eastAsia" w:hAnsi="宋体"/>
                <w:color w:val="auto"/>
                <w:sz w:val="24"/>
                <w:u w:val="none" w:color="auto"/>
              </w:rPr>
            </w:pPr>
            <w:r>
              <w:rPr>
                <w:rFonts w:hint="eastAsia"/>
                <w:color w:val="auto"/>
                <w:sz w:val="24"/>
                <w:u w:val="none" w:color="auto"/>
                <w:lang w:val="en-US" w:eastAsia="zh-CN"/>
              </w:rPr>
              <w:t>根据前文水平衡</w:t>
            </w:r>
            <w:r>
              <w:rPr>
                <w:color w:val="auto"/>
                <w:sz w:val="24"/>
                <w:u w:val="none" w:color="auto"/>
              </w:rPr>
              <w:t>，项目建成后总用水量</w:t>
            </w:r>
            <w:r>
              <w:rPr>
                <w:rFonts w:hint="eastAsia" w:ascii="宋体" w:hAnsi="宋体"/>
                <w:color w:val="0000FF"/>
                <w:sz w:val="24"/>
                <w:szCs w:val="24"/>
                <w:highlight w:val="none"/>
                <w:u w:val="none" w:color="auto"/>
                <w:lang w:val="en-US" w:eastAsia="zh-CN"/>
              </w:rPr>
              <w:t>107.835</w:t>
            </w:r>
            <w:r>
              <w:rPr>
                <w:rFonts w:hint="eastAsia" w:ascii="TimesNewRomanPSMT" w:hAnsi="TimesNewRomanPSMT" w:eastAsia="TimesNewRomanPSMT"/>
                <w:color w:val="auto"/>
                <w:sz w:val="24"/>
                <w:szCs w:val="24"/>
                <w:highlight w:val="none"/>
                <w:u w:val="none" w:color="auto"/>
              </w:rPr>
              <w:t>m</w:t>
            </w:r>
            <w:r>
              <w:rPr>
                <w:rFonts w:hint="eastAsia" w:ascii="TimesNewRomanPSMT" w:hAnsi="TimesNewRomanPSMT" w:eastAsia="TimesNewRomanPSMT"/>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/d</w:t>
            </w:r>
            <w:r>
              <w:rPr>
                <w:rFonts w:hint="eastAsia" w:ascii="宋体" w:hAnsi="宋体" w:eastAsia="宋体"/>
                <w:color w:val="auto"/>
                <w:sz w:val="24"/>
                <w:szCs w:val="24"/>
                <w:highlight w:val="none"/>
                <w:u w:val="none" w:color="auto"/>
              </w:rPr>
              <w:t>（</w:t>
            </w:r>
            <w:r>
              <w:rPr>
                <w:rFonts w:hint="eastAsia" w:ascii="TimesNewRomanPSMT" w:hAnsi="TimesNewRomanPSMT"/>
                <w:color w:val="0000FF"/>
                <w:sz w:val="24"/>
                <w:szCs w:val="24"/>
                <w:highlight w:val="none"/>
                <w:u w:val="none" w:color="auto"/>
                <w:lang w:val="en-US" w:eastAsia="zh-CN"/>
              </w:rPr>
              <w:t>39359.775</w:t>
            </w:r>
            <w:r>
              <w:rPr>
                <w:rFonts w:hint="eastAsia" w:ascii="TimesNewRomanPSMT" w:hAnsi="TimesNewRomanPSMT" w:eastAsia="TimesNewRomanPSMT"/>
                <w:color w:val="auto"/>
                <w:sz w:val="24"/>
                <w:szCs w:val="24"/>
                <w:highlight w:val="none"/>
                <w:u w:val="none" w:color="auto"/>
              </w:rPr>
              <w:t>m</w:t>
            </w:r>
            <w:r>
              <w:rPr>
                <w:rFonts w:hint="eastAsia" w:ascii="TimesNewRomanPSMT" w:hAnsi="TimesNewRomanPSMT" w:eastAsia="TimesNewRomanPSMT"/>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/a</w:t>
            </w:r>
            <w:r>
              <w:rPr>
                <w:rFonts w:hint="eastAsia" w:ascii="宋体" w:hAnsi="宋体" w:eastAsia="宋体"/>
                <w:color w:val="auto"/>
                <w:sz w:val="24"/>
                <w:szCs w:val="24"/>
                <w:highlight w:val="none"/>
                <w:u w:val="none" w:color="auto"/>
              </w:rPr>
              <w:t>）</w:t>
            </w:r>
            <w:r>
              <w:rPr>
                <w:color w:val="auto"/>
                <w:sz w:val="24"/>
                <w:u w:val="none" w:color="auto"/>
              </w:rPr>
              <w:t>，排水量</w:t>
            </w:r>
            <w:r>
              <w:rPr>
                <w:rFonts w:hint="eastAsia" w:ascii="TimesNewRomanPSMT" w:hAnsi="TimesNewRomanPSMT"/>
                <w:color w:val="0000FF"/>
                <w:sz w:val="24"/>
                <w:szCs w:val="24"/>
                <w:highlight w:val="none"/>
                <w:u w:val="none" w:color="auto"/>
                <w:lang w:val="en-US" w:eastAsia="zh-CN"/>
              </w:rPr>
              <w:t>85.856</w:t>
            </w:r>
            <w:r>
              <w:rPr>
                <w:rFonts w:hint="eastAsia" w:ascii="TimesNewRomanPSMT" w:hAnsi="TimesNewRomanPSMT" w:eastAsia="TimesNewRomanPSMT"/>
                <w:color w:val="auto"/>
                <w:sz w:val="24"/>
                <w:szCs w:val="24"/>
                <w:highlight w:val="none"/>
                <w:u w:val="none" w:color="auto"/>
              </w:rPr>
              <w:t>m</w:t>
            </w:r>
            <w:r>
              <w:rPr>
                <w:rFonts w:hint="eastAsia" w:ascii="TimesNewRomanPSMT" w:hAnsi="TimesNewRomanPSMT" w:eastAsia="TimesNewRomanPSMT"/>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/d</w:t>
            </w:r>
            <w:r>
              <w:rPr>
                <w:rFonts w:hint="eastAsia" w:ascii="宋体" w:hAnsi="宋体" w:eastAsia="宋体"/>
                <w:color w:val="auto"/>
                <w:sz w:val="24"/>
                <w:szCs w:val="24"/>
                <w:highlight w:val="none"/>
                <w:u w:val="none" w:color="auto"/>
              </w:rPr>
              <w:t>（</w:t>
            </w:r>
            <w:r>
              <w:rPr>
                <w:rFonts w:hint="eastAsia" w:ascii="TimesNewRomanPSMT" w:hAnsi="TimesNewRomanPSMT"/>
                <w:color w:val="0000FF"/>
                <w:sz w:val="24"/>
                <w:szCs w:val="24"/>
                <w:highlight w:val="none"/>
                <w:u w:val="none" w:color="auto"/>
                <w:lang w:val="en-US" w:eastAsia="zh-CN"/>
              </w:rPr>
              <w:t>31337.440</w:t>
            </w:r>
            <w:r>
              <w:rPr>
                <w:rFonts w:hint="eastAsia" w:ascii="TimesNewRomanPSMT" w:hAnsi="TimesNewRomanPSMT" w:eastAsia="TimesNewRomanPSMT"/>
                <w:color w:val="auto"/>
                <w:sz w:val="24"/>
                <w:szCs w:val="24"/>
                <w:highlight w:val="none"/>
                <w:u w:val="none" w:color="auto"/>
              </w:rPr>
              <w:t>m</w:t>
            </w:r>
            <w:r>
              <w:rPr>
                <w:rFonts w:hint="eastAsia" w:ascii="TimesNewRomanPSMT" w:hAnsi="TimesNewRomanPSMT" w:eastAsia="TimesNewRomanPSMT"/>
                <w:color w:val="auto"/>
                <w:sz w:val="24"/>
                <w:szCs w:val="24"/>
                <w:highlight w:val="none"/>
                <w:u w:val="none" w:color="auto"/>
                <w:vertAlign w:val="superscript"/>
              </w:rPr>
              <w:t>3</w:t>
            </w:r>
            <w:r>
              <w:rPr>
                <w:rFonts w:hint="eastAsia" w:ascii="TimesNewRomanPSMT" w:hAnsi="TimesNewRomanPSMT" w:eastAsia="TimesNewRomanPSMT"/>
                <w:color w:val="auto"/>
                <w:sz w:val="24"/>
                <w:szCs w:val="24"/>
                <w:highlight w:val="none"/>
                <w:u w:val="none" w:color="auto"/>
              </w:rPr>
              <w:t>/a</w:t>
            </w:r>
            <w:r>
              <w:rPr>
                <w:rFonts w:hint="eastAsia" w:ascii="宋体" w:hAnsi="宋体" w:eastAsia="宋体"/>
                <w:color w:val="auto"/>
                <w:sz w:val="24"/>
                <w:szCs w:val="24"/>
                <w:highlight w:val="none"/>
                <w:u w:val="none" w:color="auto"/>
              </w:rPr>
              <w:t>）</w:t>
            </w:r>
            <w:r>
              <w:rPr>
                <w:color w:val="auto"/>
                <w:sz w:val="24"/>
                <w:u w:val="none" w:color="auto"/>
              </w:rPr>
              <w:t>。</w:t>
            </w:r>
            <w:r>
              <w:rPr>
                <w:rFonts w:hint="eastAsia" w:hAnsi="宋体"/>
                <w:color w:val="auto"/>
                <w:sz w:val="24"/>
                <w:u w:val="none" w:color="auto"/>
                <w:lang w:val="en-US" w:eastAsia="zh-CN"/>
              </w:rPr>
              <w:t>由于各项污、废水混排、无法完全分开，产生的</w:t>
            </w:r>
            <w:r>
              <w:rPr>
                <w:rFonts w:ascii="Times New Roman" w:hAnsi="宋体"/>
                <w:color w:val="auto"/>
                <w:sz w:val="24"/>
                <w:u w:val="none" w:color="auto"/>
              </w:rPr>
              <w:t>住院部污水、门诊污水、洗衣房废水</w:t>
            </w:r>
            <w:r>
              <w:rPr>
                <w:rFonts w:hint="eastAsia" w:hAnsi="宋体"/>
                <w:color w:val="auto"/>
                <w:sz w:val="24"/>
                <w:u w:val="none" w:color="auto"/>
                <w:lang w:eastAsia="zh-CN"/>
              </w:rPr>
              <w:t>、</w:t>
            </w:r>
            <w:r>
              <w:rPr>
                <w:rFonts w:ascii="Times New Roman" w:hAnsi="宋体"/>
                <w:color w:val="auto"/>
                <w:sz w:val="24"/>
                <w:u w:val="none" w:color="auto"/>
              </w:rPr>
              <w:t>特殊污水（来自检验科）</w:t>
            </w:r>
            <w:r>
              <w:rPr>
                <w:rFonts w:hint="eastAsia" w:hAnsi="宋体"/>
                <w:color w:val="auto"/>
                <w:sz w:val="24"/>
                <w:u w:val="none" w:color="auto"/>
                <w:lang w:eastAsia="zh-CN"/>
              </w:rPr>
              <w:t>、</w:t>
            </w:r>
            <w:r>
              <w:rPr>
                <w:rFonts w:hint="eastAsia" w:hAnsi="宋体"/>
                <w:color w:val="auto"/>
                <w:sz w:val="24"/>
                <w:u w:val="none" w:color="auto"/>
                <w:lang w:val="en-US" w:eastAsia="zh-CN"/>
              </w:rPr>
              <w:t>煎药设备清洗废水、医护人员、后勤产生的生活污水以及食堂废水均列入医疗废水，特殊医疗废水及食堂废水预处理后与其他污、废水均进入化粪池+地埋式污水处理站（格栅+</w:t>
            </w:r>
            <w:r>
              <w:rPr>
                <w:rFonts w:hint="eastAsia"/>
                <w:color w:val="auto"/>
                <w:sz w:val="24"/>
                <w:u w:val="none" w:color="auto"/>
                <w:lang w:val="en-US" w:eastAsia="zh-CN"/>
              </w:rPr>
              <w:t>混凝沉淀</w:t>
            </w:r>
            <w:r>
              <w:rPr>
                <w:rFonts w:ascii="Times New Roman" w:hAnsi="Times New Roman"/>
                <w:color w:val="auto"/>
                <w:sz w:val="24"/>
                <w:u w:val="none" w:color="auto"/>
              </w:rPr>
              <w:t>+</w:t>
            </w:r>
            <w:r>
              <w:rPr>
                <w:rFonts w:hint="eastAsia"/>
                <w:color w:val="auto"/>
                <w:sz w:val="24"/>
                <w:u w:val="none" w:color="auto"/>
                <w:lang w:val="en-US" w:eastAsia="zh-CN"/>
              </w:rPr>
              <w:t>A/O生物接触氧化+</w:t>
            </w:r>
            <w:r>
              <w:rPr>
                <w:rFonts w:hint="eastAsia" w:hAnsi="宋体"/>
                <w:color w:val="auto"/>
                <w:sz w:val="24"/>
                <w:u w:val="none" w:color="auto"/>
                <w:lang w:val="en-US" w:eastAsia="zh-CN"/>
              </w:rPr>
              <w:t>紫外线消毒）处理</w:t>
            </w:r>
            <w:r>
              <w:rPr>
                <w:rFonts w:ascii="Times New Roman" w:hAnsi="宋体"/>
                <w:color w:val="auto"/>
                <w:sz w:val="24"/>
                <w:u w:val="none" w:color="auto"/>
              </w:rPr>
              <w:t>。</w:t>
            </w:r>
          </w:p>
          <w:p w14:paraId="49573D88">
            <w:pPr>
              <w:tabs>
                <w:tab w:val="left" w:pos="5475"/>
              </w:tabs>
              <w:spacing w:line="480" w:lineRule="exact"/>
              <w:ind w:firstLine="480" w:firstLineChars="200"/>
              <w:rPr>
                <w:rFonts w:ascii="Times New Roman" w:hAnsi="Times New Roman"/>
                <w:color w:val="auto"/>
                <w:sz w:val="24"/>
                <w:u w:val="none" w:color="auto"/>
              </w:rPr>
            </w:pPr>
            <w:r>
              <w:rPr>
                <w:rFonts w:ascii="Times New Roman" w:hAnsi="宋体"/>
                <w:color w:val="auto"/>
                <w:sz w:val="24"/>
                <w:u w:val="none" w:color="auto"/>
              </w:rPr>
              <w:t>（</w:t>
            </w:r>
            <w:r>
              <w:rPr>
                <w:rFonts w:hint="eastAsia"/>
                <w:color w:val="auto"/>
                <w:sz w:val="24"/>
                <w:u w:val="none" w:color="auto"/>
                <w:lang w:val="en-US" w:eastAsia="zh-CN"/>
              </w:rPr>
              <w:t>2</w:t>
            </w:r>
            <w:r>
              <w:rPr>
                <w:rFonts w:ascii="Times New Roman" w:hAnsi="宋体"/>
                <w:color w:val="auto"/>
                <w:sz w:val="24"/>
                <w:u w:val="none" w:color="auto"/>
              </w:rPr>
              <w:t>）废水污染源分析</w:t>
            </w:r>
          </w:p>
          <w:p w14:paraId="0C97CE8D">
            <w:pPr>
              <w:tabs>
                <w:tab w:val="left" w:pos="5475"/>
              </w:tabs>
              <w:spacing w:line="480" w:lineRule="exact"/>
              <w:ind w:firstLine="480" w:firstLineChars="200"/>
              <w:rPr>
                <w:rFonts w:ascii="Times New Roman" w:hAnsi="Times New Roman"/>
                <w:color w:val="auto"/>
                <w:sz w:val="24"/>
                <w:u w:val="none" w:color="auto"/>
              </w:rPr>
            </w:pPr>
            <w:r>
              <w:rPr>
                <w:rFonts w:hint="eastAsia" w:hAnsi="宋体"/>
                <w:color w:val="auto"/>
                <w:sz w:val="24"/>
                <w:u w:val="none" w:color="auto"/>
                <w:lang w:val="en-US" w:eastAsia="zh-CN"/>
              </w:rPr>
              <w:t>①</w:t>
            </w:r>
            <w:r>
              <w:rPr>
                <w:rFonts w:ascii="Times New Roman" w:hAnsi="宋体"/>
                <w:color w:val="auto"/>
                <w:sz w:val="24"/>
                <w:u w:val="none" w:color="auto"/>
              </w:rPr>
              <w:t>特殊医疗废水</w:t>
            </w:r>
          </w:p>
          <w:p w14:paraId="268E410A">
            <w:pPr>
              <w:spacing w:line="480" w:lineRule="exact"/>
              <w:ind w:firstLine="480" w:firstLineChars="200"/>
              <w:rPr>
                <w:rFonts w:ascii="Times New Roman" w:hAnsi="Times New Roman"/>
                <w:color w:val="auto"/>
                <w:sz w:val="24"/>
                <w:u w:val="none" w:color="auto"/>
              </w:rPr>
            </w:pPr>
            <w:r>
              <w:rPr>
                <w:rFonts w:ascii="Times New Roman" w:hAnsi="宋体"/>
                <w:color w:val="auto"/>
                <w:sz w:val="24"/>
                <w:u w:val="none" w:color="auto"/>
              </w:rPr>
              <w:t>特殊医疗废水是</w:t>
            </w:r>
            <w:r>
              <w:rPr>
                <w:rFonts w:ascii="Times New Roman" w:hAnsi="宋体"/>
                <w:bCs/>
                <w:color w:val="auto"/>
                <w:sz w:val="24"/>
                <w:u w:val="none" w:color="auto"/>
              </w:rPr>
              <w:t>指含有化学毒性的废水，</w:t>
            </w:r>
            <w:r>
              <w:rPr>
                <w:rFonts w:ascii="Times New Roman" w:hAnsi="宋体"/>
                <w:color w:val="auto"/>
                <w:sz w:val="24"/>
                <w:u w:val="none" w:color="auto"/>
              </w:rPr>
              <w:t>根据</w:t>
            </w:r>
            <w:r>
              <w:rPr>
                <w:rFonts w:ascii="Times New Roman" w:hAnsi="Times New Roman"/>
                <w:color w:val="auto"/>
                <w:sz w:val="24"/>
                <w:u w:val="none" w:color="auto"/>
              </w:rPr>
              <w:t>“</w:t>
            </w:r>
            <w:r>
              <w:rPr>
                <w:rFonts w:ascii="Times New Roman" w:hAnsi="宋体"/>
                <w:color w:val="auto"/>
                <w:sz w:val="24"/>
                <w:u w:val="none" w:color="auto"/>
              </w:rPr>
              <w:t>环发</w:t>
            </w:r>
            <w:r>
              <w:rPr>
                <w:rFonts w:hint="eastAsia" w:hAnsi="宋体"/>
                <w:color w:val="auto"/>
                <w:sz w:val="24"/>
                <w:u w:val="none" w:color="auto"/>
                <w:lang w:eastAsia="zh-CN"/>
              </w:rPr>
              <w:t>〔</w:t>
            </w:r>
            <w:r>
              <w:rPr>
                <w:rFonts w:ascii="Times New Roman" w:hAnsi="Times New Roman"/>
                <w:color w:val="auto"/>
                <w:sz w:val="24"/>
                <w:u w:val="none" w:color="auto"/>
              </w:rPr>
              <w:t>2003</w:t>
            </w:r>
            <w:r>
              <w:rPr>
                <w:rFonts w:hint="eastAsia"/>
                <w:color w:val="auto"/>
                <w:sz w:val="24"/>
                <w:u w:val="none" w:color="auto"/>
                <w:lang w:eastAsia="zh-CN"/>
              </w:rPr>
              <w:t>〕</w:t>
            </w:r>
            <w:r>
              <w:rPr>
                <w:rFonts w:ascii="Times New Roman" w:hAnsi="Times New Roman"/>
                <w:color w:val="auto"/>
                <w:sz w:val="24"/>
                <w:u w:val="none" w:color="auto"/>
              </w:rPr>
              <w:t>197</w:t>
            </w:r>
            <w:r>
              <w:rPr>
                <w:rFonts w:ascii="Times New Roman" w:hAnsi="宋体"/>
                <w:color w:val="auto"/>
                <w:sz w:val="24"/>
                <w:u w:val="none" w:color="auto"/>
              </w:rPr>
              <w:t>号</w:t>
            </w:r>
            <w:r>
              <w:rPr>
                <w:rFonts w:ascii="Times New Roman" w:hAnsi="Times New Roman"/>
                <w:color w:val="auto"/>
                <w:sz w:val="24"/>
                <w:u w:val="none" w:color="auto"/>
              </w:rPr>
              <w:t>”</w:t>
            </w:r>
            <w:r>
              <w:rPr>
                <w:rFonts w:ascii="Times New Roman" w:hAnsi="宋体"/>
                <w:color w:val="auto"/>
                <w:sz w:val="24"/>
                <w:u w:val="none" w:color="auto"/>
              </w:rPr>
              <w:t>《医院污水处理技术指南》要求，医院的各种特殊排水，分别采取不同的预处理措施后排入医院污水处理系统。医院的特殊排水</w:t>
            </w:r>
            <w:r>
              <w:rPr>
                <w:rFonts w:hint="eastAsia" w:hAnsi="宋体"/>
                <w:color w:val="auto"/>
                <w:sz w:val="24"/>
                <w:u w:val="none" w:color="auto"/>
                <w:lang w:val="en-US" w:eastAsia="zh-CN"/>
              </w:rPr>
              <w:t>一般</w:t>
            </w:r>
            <w:r>
              <w:rPr>
                <w:rFonts w:ascii="Times New Roman" w:hAnsi="宋体"/>
                <w:color w:val="auto"/>
                <w:sz w:val="24"/>
                <w:u w:val="none" w:color="auto"/>
              </w:rPr>
              <w:t>主要有酸性废水、含汞废水、含铬废水、含氰废水等。</w:t>
            </w:r>
          </w:p>
          <w:p w14:paraId="2844A538">
            <w:pPr>
              <w:spacing w:line="480" w:lineRule="exact"/>
              <w:ind w:firstLine="480" w:firstLineChars="200"/>
              <w:rPr>
                <w:rFonts w:ascii="Times New Roman" w:hAnsi="Times New Roman"/>
                <w:color w:val="auto"/>
                <w:sz w:val="24"/>
                <w:highlight w:val="none"/>
                <w:u w:val="none" w:color="auto"/>
              </w:rPr>
            </w:pPr>
            <w:r>
              <w:rPr>
                <w:rFonts w:ascii="Times New Roman" w:hAnsi="宋体"/>
                <w:color w:val="auto"/>
                <w:kern w:val="0"/>
                <w:sz w:val="24"/>
                <w:u w:val="none" w:color="auto"/>
              </w:rPr>
              <w:t>酸性废水：医院检验科进行检验或制作化学清洗剂时，将可能使用到硝酸、盐酸、</w:t>
            </w:r>
            <w:r>
              <w:rPr>
                <w:rFonts w:ascii="Times New Roman" w:hAnsi="宋体"/>
                <w:color w:val="auto"/>
                <w:sz w:val="24"/>
                <w:u w:val="none" w:color="auto"/>
              </w:rPr>
              <w:t>过氯酸、三氯乙酸等，少量较强的酸性废水应单独收集进行中和处理后再排入调节池，</w:t>
            </w:r>
            <w:r>
              <w:rPr>
                <w:rFonts w:hint="eastAsia" w:hAnsi="宋体"/>
                <w:color w:val="auto"/>
                <w:sz w:val="24"/>
                <w:u w:val="none" w:color="auto"/>
                <w:lang w:eastAsia="zh-CN"/>
              </w:rPr>
              <w:t>其他</w:t>
            </w:r>
            <w:r>
              <w:rPr>
                <w:rFonts w:ascii="Times New Roman" w:hAnsi="宋体"/>
                <w:color w:val="auto"/>
                <w:sz w:val="24"/>
                <w:u w:val="none" w:color="auto"/>
              </w:rPr>
              <w:t>弱酸性废水可混入综合废水中处理。</w:t>
            </w:r>
            <w:r>
              <w:rPr>
                <w:rFonts w:ascii="Times New Roman" w:hAnsi="宋体"/>
                <w:bCs/>
                <w:color w:val="auto"/>
                <w:sz w:val="24"/>
                <w:u w:val="none" w:color="auto"/>
              </w:rPr>
              <w:t>水中的主要污染物为：血液、尿液、消毒</w:t>
            </w:r>
            <w:r>
              <w:rPr>
                <w:rFonts w:ascii="Times New Roman" w:hAnsi="宋体"/>
                <w:color w:val="auto"/>
                <w:sz w:val="24"/>
                <w:u w:val="none" w:color="auto"/>
              </w:rPr>
              <w:t>剂和一些化学物质（盐酸、硫酸、硝酸、氢氧化钠、硫酸铜、醋酸酐、尿素）</w:t>
            </w:r>
            <w:r>
              <w:rPr>
                <w:rFonts w:ascii="Times New Roman" w:hAnsi="宋体"/>
                <w:bCs/>
                <w:color w:val="auto"/>
                <w:sz w:val="24"/>
                <w:u w:val="none" w:color="auto"/>
              </w:rPr>
              <w:t>，经中和预</w:t>
            </w:r>
            <w:r>
              <w:rPr>
                <w:rFonts w:ascii="Times New Roman" w:hAnsi="宋体"/>
                <w:bCs/>
                <w:color w:val="auto"/>
                <w:sz w:val="24"/>
                <w:highlight w:val="none"/>
                <w:u w:val="none" w:color="auto"/>
              </w:rPr>
              <w:t>处理后可直接排入污水处理站处理，排放量约</w:t>
            </w:r>
            <w:r>
              <w:rPr>
                <w:rFonts w:hint="eastAsia"/>
                <w:bCs/>
                <w:color w:val="auto"/>
                <w:sz w:val="24"/>
                <w:highlight w:val="none"/>
                <w:u w:val="none" w:color="auto"/>
                <w:lang w:val="en-US" w:eastAsia="zh-CN"/>
              </w:rPr>
              <w:t>29.200</w:t>
            </w:r>
            <w:r>
              <w:rPr>
                <w:rFonts w:ascii="Times New Roman" w:hAnsi="Times New Roman"/>
                <w:color w:val="auto"/>
                <w:sz w:val="24"/>
                <w:highlight w:val="none"/>
                <w:u w:val="none" w:color="auto"/>
              </w:rPr>
              <w:t>m</w:t>
            </w:r>
            <w:r>
              <w:rPr>
                <w:rFonts w:ascii="Times New Roman" w:hAnsi="Times New Roman"/>
                <w:color w:val="auto"/>
                <w:sz w:val="24"/>
                <w:highlight w:val="none"/>
                <w:u w:val="none" w:color="auto"/>
                <w:vertAlign w:val="superscript"/>
              </w:rPr>
              <w:t>3</w:t>
            </w:r>
            <w:r>
              <w:rPr>
                <w:rFonts w:ascii="Times New Roman" w:hAnsi="Times New Roman"/>
                <w:color w:val="auto"/>
                <w:sz w:val="24"/>
                <w:highlight w:val="none"/>
                <w:u w:val="none" w:color="auto"/>
              </w:rPr>
              <w:t>/a</w:t>
            </w:r>
            <w:r>
              <w:rPr>
                <w:rFonts w:ascii="Times New Roman" w:hAnsi="宋体"/>
                <w:color w:val="auto"/>
                <w:sz w:val="24"/>
                <w:highlight w:val="none"/>
                <w:u w:val="none" w:color="auto"/>
              </w:rPr>
              <w:t>（</w:t>
            </w:r>
            <w:r>
              <w:rPr>
                <w:rFonts w:hint="eastAsia"/>
                <w:color w:val="auto"/>
                <w:sz w:val="24"/>
                <w:highlight w:val="none"/>
                <w:u w:val="none" w:color="auto"/>
                <w:lang w:val="en-US" w:eastAsia="zh-CN"/>
              </w:rPr>
              <w:t>0.08</w:t>
            </w:r>
            <w:r>
              <w:rPr>
                <w:rFonts w:ascii="Times New Roman" w:hAnsi="Times New Roman"/>
                <w:color w:val="auto"/>
                <w:sz w:val="24"/>
                <w:highlight w:val="none"/>
                <w:u w:val="none" w:color="auto"/>
              </w:rPr>
              <w:t>m</w:t>
            </w:r>
            <w:r>
              <w:rPr>
                <w:rFonts w:ascii="Times New Roman" w:hAnsi="Times New Roman"/>
                <w:color w:val="auto"/>
                <w:sz w:val="24"/>
                <w:highlight w:val="none"/>
                <w:u w:val="none" w:color="auto"/>
                <w:vertAlign w:val="superscript"/>
              </w:rPr>
              <w:t>3</w:t>
            </w:r>
            <w:r>
              <w:rPr>
                <w:rFonts w:ascii="Times New Roman" w:hAnsi="Times New Roman"/>
                <w:color w:val="auto"/>
                <w:sz w:val="24"/>
                <w:highlight w:val="none"/>
                <w:u w:val="none" w:color="auto"/>
              </w:rPr>
              <w:t>/d</w:t>
            </w:r>
            <w:r>
              <w:rPr>
                <w:rFonts w:ascii="Times New Roman" w:hAnsi="宋体"/>
                <w:color w:val="auto"/>
                <w:sz w:val="24"/>
                <w:highlight w:val="none"/>
                <w:u w:val="none" w:color="auto"/>
              </w:rPr>
              <w:t>），需在产生科室</w:t>
            </w:r>
            <w:r>
              <w:rPr>
                <w:rFonts w:ascii="Times New Roman" w:hAnsi="Times New Roman"/>
                <w:color w:val="auto"/>
                <w:sz w:val="24"/>
                <w:highlight w:val="none"/>
                <w:u w:val="none" w:color="auto"/>
              </w:rPr>
              <w:t>—</w:t>
            </w:r>
            <w:r>
              <w:rPr>
                <w:rFonts w:ascii="Times New Roman" w:hAnsi="宋体"/>
                <w:color w:val="auto"/>
                <w:sz w:val="24"/>
                <w:highlight w:val="none"/>
                <w:u w:val="none" w:color="auto"/>
              </w:rPr>
              <w:t>检验科中和预处理后方可排入</w:t>
            </w:r>
            <w:r>
              <w:rPr>
                <w:rFonts w:hint="eastAsia" w:hAnsi="宋体"/>
                <w:color w:val="auto"/>
                <w:sz w:val="24"/>
                <w:highlight w:val="none"/>
                <w:u w:val="none" w:color="auto"/>
                <w:lang w:eastAsia="zh-CN"/>
              </w:rPr>
              <w:t>院区医疗废水处理站</w:t>
            </w:r>
            <w:r>
              <w:rPr>
                <w:rFonts w:ascii="Times New Roman" w:hAnsi="宋体"/>
                <w:color w:val="auto"/>
                <w:sz w:val="24"/>
                <w:highlight w:val="none"/>
                <w:u w:val="none" w:color="auto"/>
              </w:rPr>
              <w:t>。</w:t>
            </w:r>
          </w:p>
          <w:p w14:paraId="7A7F8C68">
            <w:pPr>
              <w:pStyle w:val="5"/>
              <w:spacing w:line="480" w:lineRule="exact"/>
              <w:ind w:firstLine="480" w:firstLineChars="200"/>
              <w:rPr>
                <w:rFonts w:ascii="Times New Roman" w:hAnsi="Times New Roman"/>
                <w:color w:val="auto"/>
                <w:sz w:val="24"/>
                <w:u w:val="none" w:color="auto"/>
              </w:rPr>
            </w:pPr>
            <w:r>
              <w:rPr>
                <w:rFonts w:ascii="Times New Roman" w:hAnsi="宋体"/>
                <w:color w:val="auto"/>
                <w:sz w:val="24"/>
                <w:highlight w:val="none"/>
                <w:u w:val="none" w:color="auto"/>
              </w:rPr>
              <w:t>含氰废水：</w:t>
            </w:r>
            <w:r>
              <w:rPr>
                <w:rFonts w:hint="eastAsia" w:hAnsi="宋体"/>
                <w:color w:val="auto"/>
                <w:sz w:val="24"/>
                <w:highlight w:val="none"/>
                <w:u w:val="none" w:color="auto"/>
                <w:lang w:val="en-US" w:eastAsia="zh-CN"/>
              </w:rPr>
              <w:t>根据建设单位提供的资料</w:t>
            </w:r>
            <w:r>
              <w:rPr>
                <w:rFonts w:ascii="Times New Roman" w:hAnsi="宋体"/>
                <w:color w:val="auto"/>
                <w:sz w:val="24"/>
                <w:highlight w:val="none"/>
                <w:u w:val="none" w:color="auto"/>
              </w:rPr>
              <w:t>，</w:t>
            </w:r>
            <w:r>
              <w:rPr>
                <w:rFonts w:hint="eastAsia" w:ascii="Times New Roman" w:hAnsi="宋体"/>
                <w:color w:val="auto"/>
                <w:sz w:val="24"/>
                <w:highlight w:val="none"/>
                <w:u w:val="none" w:color="auto"/>
              </w:rPr>
              <w:t>医院检验室在血液、血清、细菌和化学检查分析中使用全自动血液分析仪，不使用氰化钾、氰化钠等含铬化学品</w:t>
            </w:r>
            <w:r>
              <w:rPr>
                <w:rFonts w:hint="eastAsia" w:hAnsi="宋体"/>
                <w:color w:val="auto"/>
                <w:sz w:val="24"/>
                <w:highlight w:val="none"/>
                <w:u w:val="none" w:color="auto"/>
                <w:lang w:eastAsia="zh-CN"/>
              </w:rPr>
              <w:t>，</w:t>
            </w:r>
            <w:r>
              <w:rPr>
                <w:rFonts w:hint="eastAsia" w:hAnsi="宋体"/>
                <w:color w:val="auto"/>
                <w:sz w:val="24"/>
                <w:highlight w:val="none"/>
                <w:u w:val="none" w:color="auto"/>
                <w:lang w:val="en-US" w:eastAsia="zh-CN"/>
              </w:rPr>
              <w:t>无含氰废水产生</w:t>
            </w:r>
            <w:r>
              <w:rPr>
                <w:rFonts w:ascii="Times New Roman" w:hAnsi="宋体"/>
                <w:color w:val="auto"/>
                <w:sz w:val="24"/>
                <w:u w:val="none" w:color="auto"/>
              </w:rPr>
              <w:t>。</w:t>
            </w:r>
          </w:p>
          <w:p w14:paraId="466233FC">
            <w:pPr>
              <w:pStyle w:val="5"/>
              <w:spacing w:line="480" w:lineRule="exact"/>
              <w:ind w:firstLine="480" w:firstLineChars="200"/>
              <w:rPr>
                <w:rFonts w:ascii="Times New Roman" w:hAnsi="Times New Roman"/>
                <w:color w:val="auto"/>
                <w:sz w:val="24"/>
                <w:u w:val="none" w:color="auto"/>
              </w:rPr>
            </w:pPr>
            <w:r>
              <w:rPr>
                <w:rFonts w:ascii="Times New Roman" w:hAnsi="宋体"/>
                <w:color w:val="auto"/>
                <w:sz w:val="24"/>
                <w:u w:val="none" w:color="auto"/>
              </w:rPr>
              <w:t>含汞废水：金属汞主要来自各种口腔门诊治疗、含汞监测仪器破损、分析检查和诊断中使用</w:t>
            </w:r>
            <w:r>
              <w:rPr>
                <w:rFonts w:hint="eastAsia" w:hAnsi="宋体"/>
                <w:color w:val="auto"/>
                <w:sz w:val="24"/>
                <w:u w:val="none" w:color="auto"/>
                <w:lang w:eastAsia="zh-CN"/>
              </w:rPr>
              <w:t>氧化汞</w:t>
            </w:r>
            <w:r>
              <w:rPr>
                <w:rFonts w:ascii="Times New Roman" w:hAnsi="宋体"/>
                <w:color w:val="auto"/>
                <w:sz w:val="24"/>
                <w:u w:val="none" w:color="auto"/>
              </w:rPr>
              <w:t>、硝酸高汞及硫氰酸高汞等剧毒物质而产生的少量污水，出水汞浓度符合相关排放标准后方可排入医院污水处理系统，含汞浓度低于</w:t>
            </w:r>
            <w:r>
              <w:rPr>
                <w:rFonts w:ascii="Times New Roman" w:hAnsi="Times New Roman"/>
                <w:color w:val="auto"/>
                <w:sz w:val="24"/>
                <w:u w:val="none" w:color="auto"/>
              </w:rPr>
              <w:t>0.2mg/L</w:t>
            </w:r>
            <w:r>
              <w:rPr>
                <w:rFonts w:ascii="Times New Roman" w:hAnsi="宋体"/>
                <w:color w:val="auto"/>
                <w:sz w:val="24"/>
                <w:u w:val="none" w:color="auto"/>
              </w:rPr>
              <w:t>。结合项目情况，项目不设牙床，含汞化合物的使用量极少，其他各类含汞仪器如血压计、温度计等仪器破，收集后交由有</w:t>
            </w:r>
            <w:r>
              <w:rPr>
                <w:rFonts w:hint="eastAsia" w:hAnsi="宋体"/>
                <w:color w:val="auto"/>
                <w:sz w:val="24"/>
                <w:u w:val="none" w:color="auto"/>
                <w:lang w:val="en-US" w:eastAsia="zh-CN"/>
              </w:rPr>
              <w:t>相应</w:t>
            </w:r>
            <w:r>
              <w:rPr>
                <w:rFonts w:hint="eastAsia" w:hAnsi="宋体"/>
                <w:color w:val="auto"/>
                <w:sz w:val="24"/>
                <w:u w:val="none" w:color="auto"/>
                <w:lang w:eastAsia="zh-CN"/>
              </w:rPr>
              <w:t>危险废物处置资质</w:t>
            </w:r>
            <w:r>
              <w:rPr>
                <w:rFonts w:ascii="Times New Roman" w:hAnsi="宋体"/>
                <w:color w:val="auto"/>
                <w:sz w:val="24"/>
                <w:u w:val="none" w:color="auto"/>
              </w:rPr>
              <w:t>的单位处</w:t>
            </w:r>
            <w:r>
              <w:rPr>
                <w:rFonts w:hint="eastAsia" w:hAnsi="宋体"/>
                <w:color w:val="auto"/>
                <w:sz w:val="24"/>
                <w:u w:val="none" w:color="auto"/>
                <w:lang w:val="en-US" w:eastAsia="zh-CN"/>
              </w:rPr>
              <w:t>理</w:t>
            </w:r>
            <w:r>
              <w:rPr>
                <w:rFonts w:ascii="Times New Roman" w:hAnsi="宋体"/>
                <w:color w:val="auto"/>
                <w:sz w:val="24"/>
                <w:u w:val="none" w:color="auto"/>
              </w:rPr>
              <w:t>，无含汞废水产生。</w:t>
            </w:r>
          </w:p>
          <w:p w14:paraId="7F68E64B">
            <w:pPr>
              <w:spacing w:line="480" w:lineRule="exact"/>
              <w:ind w:firstLine="480" w:firstLineChars="200"/>
              <w:rPr>
                <w:rFonts w:ascii="Times New Roman" w:hAnsi="Times New Roman"/>
                <w:color w:val="auto"/>
                <w:sz w:val="24"/>
                <w:u w:val="none" w:color="auto"/>
              </w:rPr>
            </w:pPr>
            <w:r>
              <w:rPr>
                <w:rFonts w:ascii="Times New Roman" w:hAnsi="宋体"/>
                <w:color w:val="auto"/>
                <w:sz w:val="24"/>
                <w:u w:val="none" w:color="auto"/>
              </w:rPr>
              <w:t>含铬废水：重铬酸钾、</w:t>
            </w:r>
            <w:r>
              <w:rPr>
                <w:rFonts w:hint="eastAsia" w:hAnsi="宋体"/>
                <w:color w:val="auto"/>
                <w:sz w:val="24"/>
                <w:u w:val="none" w:color="auto"/>
                <w:lang w:eastAsia="zh-CN"/>
              </w:rPr>
              <w:t>铬酸</w:t>
            </w:r>
            <w:r>
              <w:rPr>
                <w:rFonts w:ascii="Times New Roman" w:hAnsi="宋体"/>
                <w:color w:val="auto"/>
                <w:sz w:val="24"/>
                <w:u w:val="none" w:color="auto"/>
              </w:rPr>
              <w:t>、铬酸钾是医院在病理、血液检查和化验等工作中使用的化学品。项目为</w:t>
            </w:r>
            <w:r>
              <w:rPr>
                <w:rFonts w:hint="eastAsia" w:hAnsi="宋体"/>
                <w:color w:val="auto"/>
                <w:sz w:val="24"/>
                <w:u w:val="none" w:color="auto"/>
                <w:lang w:val="en-US" w:eastAsia="zh-CN"/>
              </w:rPr>
              <w:t>精神病康复</w:t>
            </w:r>
            <w:r>
              <w:rPr>
                <w:rFonts w:ascii="Times New Roman" w:hAnsi="宋体"/>
                <w:color w:val="auto"/>
                <w:sz w:val="24"/>
                <w:u w:val="none" w:color="auto"/>
              </w:rPr>
              <w:t>医院，不涉及含铬化学品的使用，无含铬废水产生。</w:t>
            </w:r>
          </w:p>
          <w:p w14:paraId="5723AA21">
            <w:pPr>
              <w:spacing w:line="480" w:lineRule="exact"/>
              <w:ind w:firstLine="480" w:firstLineChars="200"/>
              <w:rPr>
                <w:rFonts w:ascii="Times New Roman" w:hAnsi="Times New Roman"/>
                <w:color w:val="auto"/>
                <w:sz w:val="24"/>
                <w:u w:val="none" w:color="auto"/>
              </w:rPr>
            </w:pPr>
            <w:r>
              <w:rPr>
                <w:rFonts w:ascii="Times New Roman" w:hAnsi="宋体"/>
                <w:color w:val="auto"/>
                <w:sz w:val="24"/>
                <w:u w:val="none" w:color="auto"/>
              </w:rPr>
              <w:t>洗印废水：拟建项目使用各种功能</w:t>
            </w:r>
            <w:r>
              <w:rPr>
                <w:rFonts w:ascii="Times New Roman" w:hAnsi="Times New Roman"/>
                <w:color w:val="auto"/>
                <w:sz w:val="24"/>
                <w:u w:val="none" w:color="auto"/>
              </w:rPr>
              <w:t>X</w:t>
            </w:r>
            <w:r>
              <w:rPr>
                <w:rFonts w:ascii="Times New Roman" w:hAnsi="宋体"/>
                <w:color w:val="auto"/>
                <w:sz w:val="24"/>
                <w:u w:val="none" w:color="auto"/>
              </w:rPr>
              <w:t>光机，全自动电脑成像，不需要进行传统的洗片、定影，无洗印废水产生。</w:t>
            </w:r>
          </w:p>
          <w:p w14:paraId="70DE55D1">
            <w:pPr>
              <w:spacing w:line="480" w:lineRule="exact"/>
              <w:ind w:firstLine="480" w:firstLineChars="200"/>
              <w:rPr>
                <w:rFonts w:ascii="Times New Roman" w:hAnsi="Times New Roman"/>
                <w:color w:val="auto"/>
                <w:sz w:val="24"/>
                <w:u w:val="none" w:color="auto"/>
              </w:rPr>
            </w:pPr>
            <w:r>
              <w:rPr>
                <w:rFonts w:hint="eastAsia" w:hAnsi="宋体"/>
                <w:color w:val="auto"/>
                <w:sz w:val="24"/>
                <w:u w:val="none" w:color="auto"/>
                <w:lang w:val="en-US" w:eastAsia="zh-CN"/>
              </w:rPr>
              <w:t>因此，</w:t>
            </w:r>
            <w:r>
              <w:rPr>
                <w:rFonts w:ascii="Times New Roman" w:hAnsi="宋体"/>
                <w:color w:val="auto"/>
                <w:sz w:val="24"/>
                <w:u w:val="none" w:color="auto"/>
              </w:rPr>
              <w:t>项目特殊医疗废水主要产自检验科，</w:t>
            </w:r>
            <w:r>
              <w:rPr>
                <w:rFonts w:hint="eastAsia" w:hAnsi="宋体"/>
                <w:color w:val="auto"/>
                <w:sz w:val="24"/>
                <w:u w:val="none" w:color="auto"/>
                <w:lang w:val="en-US" w:eastAsia="zh-CN"/>
              </w:rPr>
              <w:t>为酸性废水，</w:t>
            </w:r>
            <w:r>
              <w:rPr>
                <w:rFonts w:ascii="Times New Roman" w:hAnsi="宋体"/>
                <w:color w:val="auto"/>
                <w:sz w:val="24"/>
                <w:u w:val="none" w:color="auto"/>
              </w:rPr>
              <w:t>排放量为</w:t>
            </w:r>
            <w:r>
              <w:rPr>
                <w:rFonts w:hint="eastAsia"/>
                <w:color w:val="auto"/>
                <w:sz w:val="24"/>
                <w:u w:val="none" w:color="auto"/>
                <w:lang w:val="en-US" w:eastAsia="zh-CN"/>
              </w:rPr>
              <w:t>0.08</w:t>
            </w:r>
            <w:r>
              <w:rPr>
                <w:rFonts w:ascii="Times New Roman" w:hAnsi="Times New Roman"/>
                <w:color w:val="auto"/>
                <w:sz w:val="24"/>
                <w:u w:val="none" w:color="auto"/>
              </w:rPr>
              <w:t>m</w:t>
            </w:r>
            <w:r>
              <w:rPr>
                <w:rFonts w:ascii="Times New Roman" w:hAnsi="Times New Roman"/>
                <w:color w:val="auto"/>
                <w:sz w:val="24"/>
                <w:u w:val="none" w:color="auto"/>
                <w:vertAlign w:val="superscript"/>
              </w:rPr>
              <w:t>3</w:t>
            </w:r>
            <w:r>
              <w:rPr>
                <w:rFonts w:ascii="Times New Roman" w:hAnsi="Times New Roman"/>
                <w:color w:val="auto"/>
                <w:sz w:val="24"/>
                <w:u w:val="none" w:color="auto"/>
              </w:rPr>
              <w:t>/d</w:t>
            </w:r>
            <w:r>
              <w:rPr>
                <w:rFonts w:ascii="Times New Roman" w:hAnsi="宋体"/>
                <w:color w:val="auto"/>
                <w:sz w:val="24"/>
                <w:u w:val="none" w:color="auto"/>
              </w:rPr>
              <w:t>，合计</w:t>
            </w:r>
            <w:r>
              <w:rPr>
                <w:rFonts w:hint="eastAsia" w:hAnsi="宋体"/>
                <w:color w:val="auto"/>
                <w:sz w:val="24"/>
                <w:u w:val="none" w:color="auto"/>
                <w:lang w:val="en-US" w:eastAsia="zh-CN"/>
              </w:rPr>
              <w:t>29.200</w:t>
            </w:r>
            <w:r>
              <w:rPr>
                <w:rFonts w:ascii="Times New Roman" w:hAnsi="Times New Roman"/>
                <w:color w:val="auto"/>
                <w:sz w:val="24"/>
                <w:u w:val="none" w:color="auto"/>
              </w:rPr>
              <w:t>m</w:t>
            </w:r>
            <w:r>
              <w:rPr>
                <w:rFonts w:ascii="Times New Roman" w:hAnsi="Times New Roman"/>
                <w:color w:val="auto"/>
                <w:sz w:val="24"/>
                <w:u w:val="none" w:color="auto"/>
                <w:vertAlign w:val="superscript"/>
              </w:rPr>
              <w:t>3</w:t>
            </w:r>
            <w:r>
              <w:rPr>
                <w:rFonts w:ascii="Times New Roman" w:hAnsi="Times New Roman"/>
                <w:color w:val="auto"/>
                <w:sz w:val="24"/>
                <w:u w:val="none" w:color="auto"/>
              </w:rPr>
              <w:t>/a</w:t>
            </w:r>
            <w:r>
              <w:rPr>
                <w:rFonts w:ascii="Times New Roman" w:hAnsi="宋体"/>
                <w:color w:val="auto"/>
                <w:kern w:val="0"/>
                <w:sz w:val="24"/>
                <w:u w:val="none" w:color="auto"/>
              </w:rPr>
              <w:t>。</w:t>
            </w:r>
          </w:p>
          <w:p w14:paraId="3B5461BA">
            <w:pPr>
              <w:spacing w:line="480" w:lineRule="exact"/>
              <w:ind w:firstLine="480" w:firstLineChars="200"/>
              <w:rPr>
                <w:rFonts w:ascii="Times New Roman" w:hAnsi="Times New Roman"/>
                <w:color w:val="auto"/>
                <w:sz w:val="24"/>
                <w:u w:val="none" w:color="auto"/>
              </w:rPr>
            </w:pPr>
            <w:r>
              <w:rPr>
                <w:rFonts w:hint="eastAsia" w:ascii="宋体" w:hAnsi="宋体"/>
                <w:color w:val="auto"/>
                <w:sz w:val="24"/>
                <w:u w:val="none" w:color="auto"/>
                <w:lang w:val="en-US" w:eastAsia="zh-CN"/>
              </w:rPr>
              <w:t>②</w:t>
            </w:r>
            <w:r>
              <w:rPr>
                <w:rFonts w:ascii="Times New Roman" w:hAnsi="宋体"/>
                <w:color w:val="auto"/>
                <w:sz w:val="24"/>
                <w:u w:val="none" w:color="auto"/>
              </w:rPr>
              <w:t>一般性医疗废水</w:t>
            </w:r>
          </w:p>
          <w:p w14:paraId="3AD3E0D6">
            <w:pPr>
              <w:spacing w:line="480" w:lineRule="exact"/>
              <w:ind w:firstLine="480" w:firstLineChars="200"/>
              <w:rPr>
                <w:rFonts w:hint="eastAsia" w:ascii="Times New Roman" w:hAnsi="宋体"/>
                <w:color w:val="auto"/>
                <w:sz w:val="24"/>
                <w:u w:val="none" w:color="auto"/>
              </w:rPr>
            </w:pPr>
            <w:r>
              <w:rPr>
                <w:rFonts w:ascii="Times New Roman" w:hAnsi="宋体"/>
                <w:color w:val="auto"/>
                <w:sz w:val="24"/>
                <w:u w:val="none" w:color="auto"/>
              </w:rPr>
              <w:t>主要指含病原体的废水，</w:t>
            </w:r>
            <w:r>
              <w:rPr>
                <w:rFonts w:hint="eastAsia" w:ascii="Times New Roman" w:hAnsi="宋体"/>
                <w:color w:val="auto"/>
                <w:sz w:val="24"/>
                <w:u w:val="none" w:color="auto"/>
              </w:rPr>
              <w:t>根据项目设置情况，其一般性医疗废水</w:t>
            </w:r>
            <w:r>
              <w:rPr>
                <w:rFonts w:hint="eastAsia" w:hAnsi="宋体"/>
                <w:color w:val="auto"/>
                <w:sz w:val="24"/>
                <w:u w:val="none" w:color="auto"/>
                <w:lang w:val="en-US" w:eastAsia="zh-CN"/>
              </w:rPr>
              <w:t>为2号楼产生的各项废水，如病房区病人住院期间产生的废水、医护人员及后勤人员在岗期间产生的生活污水</w:t>
            </w:r>
            <w:r>
              <w:rPr>
                <w:rFonts w:ascii="Times New Roman" w:hAnsi="宋体"/>
                <w:color w:val="auto"/>
                <w:sz w:val="24"/>
                <w:u w:val="none" w:color="auto"/>
              </w:rPr>
              <w:t>、门诊污水、洗衣房废水</w:t>
            </w:r>
            <w:r>
              <w:rPr>
                <w:rFonts w:hint="eastAsia" w:hAnsi="宋体"/>
                <w:color w:val="auto"/>
                <w:sz w:val="24"/>
                <w:u w:val="none" w:color="auto"/>
                <w:lang w:eastAsia="zh-CN"/>
              </w:rPr>
              <w:t>、</w:t>
            </w:r>
            <w:r>
              <w:rPr>
                <w:rFonts w:hint="eastAsia" w:hAnsi="宋体"/>
                <w:color w:val="auto"/>
                <w:sz w:val="24"/>
                <w:u w:val="none" w:color="auto"/>
                <w:lang w:val="en-US" w:eastAsia="zh-CN"/>
              </w:rPr>
              <w:t>煎药设备清洗废水等</w:t>
            </w:r>
            <w:r>
              <w:rPr>
                <w:rFonts w:ascii="Times New Roman" w:hAnsi="宋体"/>
                <w:color w:val="auto"/>
                <w:sz w:val="24"/>
                <w:u w:val="none" w:color="auto"/>
              </w:rPr>
              <w:t>，该部分废水产生量为</w:t>
            </w:r>
            <w:r>
              <w:rPr>
                <w:rFonts w:hint="eastAsia"/>
                <w:color w:val="auto"/>
                <w:sz w:val="24"/>
                <w:u w:val="none" w:color="auto"/>
                <w:lang w:val="en-US" w:eastAsia="zh-CN"/>
              </w:rPr>
              <w:t>112.008</w:t>
            </w:r>
            <w:r>
              <w:rPr>
                <w:rFonts w:ascii="Times New Roman" w:hAnsi="Times New Roman"/>
                <w:color w:val="auto"/>
                <w:sz w:val="24"/>
                <w:u w:val="none" w:color="auto"/>
              </w:rPr>
              <w:t>m</w:t>
            </w:r>
            <w:r>
              <w:rPr>
                <w:rFonts w:ascii="Times New Roman" w:hAnsi="Times New Roman"/>
                <w:color w:val="auto"/>
                <w:sz w:val="24"/>
                <w:u w:val="none" w:color="auto"/>
                <w:vertAlign w:val="superscript"/>
              </w:rPr>
              <w:t>3</w:t>
            </w:r>
            <w:r>
              <w:rPr>
                <w:rFonts w:ascii="Times New Roman" w:hAnsi="Times New Roman"/>
                <w:color w:val="auto"/>
                <w:sz w:val="24"/>
                <w:u w:val="none" w:color="auto"/>
              </w:rPr>
              <w:t>/d</w:t>
            </w:r>
            <w:r>
              <w:rPr>
                <w:color w:val="auto"/>
                <w:sz w:val="24"/>
                <w:u w:val="none" w:color="auto"/>
              </w:rPr>
              <w:t>（</w:t>
            </w:r>
            <w:r>
              <w:rPr>
                <w:rFonts w:hint="eastAsia"/>
                <w:color w:val="auto"/>
                <w:sz w:val="24"/>
                <w:u w:val="none" w:color="auto"/>
                <w:lang w:val="en-US" w:eastAsia="zh-CN"/>
              </w:rPr>
              <w:t>40882.920</w:t>
            </w:r>
            <w:r>
              <w:rPr>
                <w:color w:val="auto"/>
                <w:sz w:val="24"/>
                <w:u w:val="none" w:color="auto"/>
              </w:rPr>
              <w:t>m</w:t>
            </w:r>
            <w:r>
              <w:rPr>
                <w:color w:val="auto"/>
                <w:sz w:val="24"/>
                <w:u w:val="none" w:color="auto"/>
                <w:vertAlign w:val="superscript"/>
              </w:rPr>
              <w:t>3</w:t>
            </w:r>
            <w:r>
              <w:rPr>
                <w:color w:val="auto"/>
                <w:sz w:val="24"/>
                <w:u w:val="none" w:color="auto"/>
              </w:rPr>
              <w:t>/a）</w:t>
            </w:r>
            <w:r>
              <w:rPr>
                <w:rFonts w:ascii="Times New Roman" w:hAnsi="宋体"/>
                <w:color w:val="auto"/>
                <w:sz w:val="24"/>
                <w:u w:val="none" w:color="auto"/>
              </w:rPr>
              <w:t>，</w:t>
            </w:r>
            <w:r>
              <w:rPr>
                <w:rFonts w:hint="eastAsia" w:hAnsi="宋体"/>
                <w:color w:val="auto"/>
                <w:sz w:val="24"/>
                <w:u w:val="none" w:color="auto"/>
                <w:lang w:val="en-US" w:eastAsia="zh-CN"/>
              </w:rPr>
              <w:t>项目为精神病专科医院，主要治疗的疾病是精神疾病，不设置其他疾病及发热科室等，日常主要通过药物治疗（抗精神病类的药物，抗抑郁药物，心境稳定剂以及抗焦虑的药物）、心理疗法或者是通过物理方法来进行治疗，检验科废水为酸性废水，不涉及重金属、放射性及含氰废水，其医疗废水与日常居民生活污水差别不大，</w:t>
            </w:r>
            <w:r>
              <w:rPr>
                <w:rFonts w:ascii="Times New Roman" w:hAnsi="宋体"/>
                <w:color w:val="auto"/>
                <w:sz w:val="24"/>
                <w:u w:val="none" w:color="auto"/>
              </w:rPr>
              <w:t>主要污染物为</w:t>
            </w:r>
            <w:r>
              <w:rPr>
                <w:rFonts w:ascii="Times New Roman" w:hAnsi="Times New Roman"/>
                <w:color w:val="auto"/>
                <w:sz w:val="24"/>
                <w:u w:val="none" w:color="auto"/>
              </w:rPr>
              <w:t>pH</w:t>
            </w:r>
            <w:r>
              <w:rPr>
                <w:rFonts w:ascii="Times New Roman" w:hAnsi="宋体"/>
                <w:color w:val="auto"/>
                <w:sz w:val="24"/>
                <w:u w:val="none" w:color="auto"/>
              </w:rPr>
              <w:t>值、</w:t>
            </w:r>
            <w:r>
              <w:rPr>
                <w:rFonts w:ascii="Times New Roman" w:hAnsi="Times New Roman"/>
                <w:color w:val="auto"/>
                <w:sz w:val="24"/>
                <w:u w:val="none" w:color="auto"/>
              </w:rPr>
              <w:t>SS</w:t>
            </w:r>
            <w:r>
              <w:rPr>
                <w:rFonts w:ascii="Times New Roman" w:hAnsi="宋体"/>
                <w:color w:val="auto"/>
                <w:sz w:val="24"/>
                <w:u w:val="none" w:color="auto"/>
              </w:rPr>
              <w:t>、</w:t>
            </w:r>
            <w:r>
              <w:rPr>
                <w:rFonts w:ascii="Times New Roman" w:hAnsi="Times New Roman"/>
                <w:color w:val="auto"/>
                <w:sz w:val="24"/>
                <w:u w:val="none" w:color="auto"/>
              </w:rPr>
              <w:t>COD</w:t>
            </w:r>
            <w:r>
              <w:rPr>
                <w:rFonts w:ascii="Times New Roman" w:hAnsi="Times New Roman"/>
                <w:color w:val="auto"/>
                <w:sz w:val="24"/>
                <w:u w:val="none" w:color="auto"/>
                <w:vertAlign w:val="subscript"/>
              </w:rPr>
              <w:t>cr</w:t>
            </w:r>
            <w:r>
              <w:rPr>
                <w:rFonts w:ascii="Times New Roman" w:hAnsi="宋体"/>
                <w:color w:val="auto"/>
                <w:sz w:val="24"/>
                <w:u w:val="none" w:color="auto"/>
              </w:rPr>
              <w:t>、</w:t>
            </w:r>
            <w:r>
              <w:rPr>
                <w:rFonts w:ascii="Times New Roman" w:hAnsi="Times New Roman"/>
                <w:color w:val="auto"/>
                <w:sz w:val="24"/>
                <w:u w:val="none" w:color="auto"/>
              </w:rPr>
              <w:t>BOD</w:t>
            </w:r>
            <w:r>
              <w:rPr>
                <w:rFonts w:ascii="Times New Roman" w:hAnsi="Times New Roman"/>
                <w:color w:val="auto"/>
                <w:sz w:val="24"/>
                <w:u w:val="none" w:color="auto"/>
                <w:vertAlign w:val="subscript"/>
              </w:rPr>
              <w:t>5</w:t>
            </w:r>
            <w:r>
              <w:rPr>
                <w:rFonts w:ascii="Times New Roman" w:hAnsi="宋体"/>
                <w:color w:val="auto"/>
                <w:sz w:val="24"/>
                <w:u w:val="none" w:color="auto"/>
              </w:rPr>
              <w:t>、氨氮、粪大肠菌群等</w:t>
            </w:r>
            <w:r>
              <w:rPr>
                <w:rFonts w:hint="eastAsia" w:hAnsi="宋体"/>
                <w:color w:val="auto"/>
                <w:sz w:val="24"/>
                <w:u w:val="none" w:color="auto"/>
                <w:lang w:val="en-US" w:eastAsia="zh-CN"/>
              </w:rPr>
              <w:t>。根据</w:t>
            </w:r>
            <w:r>
              <w:rPr>
                <w:rFonts w:hint="eastAsia" w:ascii="Times New Roman" w:hAnsi="宋体"/>
                <w:color w:val="auto"/>
                <w:sz w:val="24"/>
                <w:u w:val="none" w:color="auto"/>
              </w:rPr>
              <w:t>《医院污水处理技术指南》（环发〔20</w:t>
            </w:r>
            <w:r>
              <w:rPr>
                <w:rFonts w:hint="eastAsia" w:hAnsi="宋体"/>
                <w:color w:val="auto"/>
                <w:sz w:val="24"/>
                <w:u w:val="none" w:color="auto"/>
                <w:lang w:val="en-US" w:eastAsia="zh-CN"/>
              </w:rPr>
              <w:t>0</w:t>
            </w:r>
            <w:r>
              <w:rPr>
                <w:rFonts w:hint="eastAsia" w:ascii="Times New Roman" w:hAnsi="宋体"/>
                <w:color w:val="auto"/>
                <w:sz w:val="24"/>
                <w:u w:val="none" w:color="auto"/>
              </w:rPr>
              <w:t>3〕197号），《医院污水处理技术指南》（环发〔20</w:t>
            </w:r>
            <w:r>
              <w:rPr>
                <w:rFonts w:hint="eastAsia" w:hAnsi="宋体"/>
                <w:color w:val="auto"/>
                <w:sz w:val="24"/>
                <w:u w:val="none" w:color="auto"/>
                <w:lang w:val="en-US" w:eastAsia="zh-CN"/>
              </w:rPr>
              <w:t>0</w:t>
            </w:r>
            <w:r>
              <w:rPr>
                <w:rFonts w:hint="eastAsia" w:ascii="Times New Roman" w:hAnsi="宋体"/>
                <w:color w:val="auto"/>
                <w:sz w:val="24"/>
                <w:u w:val="none" w:color="auto"/>
              </w:rPr>
              <w:t>3〕197号）</w:t>
            </w:r>
            <w:r>
              <w:rPr>
                <w:rFonts w:hint="eastAsia" w:hAnsi="宋体"/>
                <w:color w:val="auto"/>
                <w:sz w:val="24"/>
                <w:u w:val="none" w:color="auto"/>
                <w:lang w:val="en-US" w:eastAsia="zh-CN"/>
              </w:rPr>
              <w:t>中提出的医疗废水</w:t>
            </w:r>
            <w:r>
              <w:rPr>
                <w:rFonts w:hint="eastAsia" w:ascii="Times New Roman" w:hAnsi="宋体"/>
                <w:color w:val="auto"/>
                <w:sz w:val="24"/>
                <w:u w:val="none" w:color="auto"/>
              </w:rPr>
              <w:t>产生情况具体如下：</w:t>
            </w:r>
          </w:p>
          <w:p w14:paraId="5FAFFD35">
            <w:pPr>
              <w:pStyle w:val="10"/>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firstLine="0" w:firstLineChars="0"/>
              <w:jc w:val="center"/>
              <w:textAlignment w:val="auto"/>
              <w:rPr>
                <w:rFonts w:hint="eastAsia" w:ascii="黑体" w:hAnsi="黑体" w:eastAsia="黑体"/>
                <w:b w:val="0"/>
                <w:color w:val="auto"/>
                <w:u w:val="none" w:color="auto"/>
              </w:rPr>
            </w:pPr>
            <w:r>
              <w:rPr>
                <w:rFonts w:hint="eastAsia" w:ascii="黑体" w:hAnsi="黑体" w:eastAsia="黑体"/>
                <w:b w:val="0"/>
                <w:color w:val="auto"/>
                <w:u w:val="none" w:color="auto"/>
              </w:rPr>
              <w:t>项目医疗废水产生情况</w:t>
            </w:r>
          </w:p>
          <w:tbl>
            <w:tblPr>
              <w:tblStyle w:val="22"/>
              <w:tblW w:w="845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79"/>
              <w:gridCol w:w="1305"/>
              <w:gridCol w:w="990"/>
              <w:gridCol w:w="910"/>
              <w:gridCol w:w="875"/>
              <w:gridCol w:w="855"/>
              <w:gridCol w:w="1740"/>
            </w:tblGrid>
            <w:tr w14:paraId="38CCBC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3084" w:type="dxa"/>
                  <w:gridSpan w:val="2"/>
                  <w:vAlign w:val="center"/>
                </w:tcPr>
                <w:p w14:paraId="14206AD8">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项目</w:t>
                  </w:r>
                </w:p>
              </w:tc>
              <w:tc>
                <w:tcPr>
                  <w:tcW w:w="990" w:type="dxa"/>
                  <w:vAlign w:val="center"/>
                </w:tcPr>
                <w:p w14:paraId="75C562D8">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COD</w:t>
                  </w:r>
                  <w:r>
                    <w:rPr>
                      <w:rFonts w:hint="default" w:ascii="Times New Roman" w:hAnsi="Times New Roman" w:eastAsia="宋体" w:cs="Times New Roman"/>
                      <w:color w:val="auto"/>
                      <w:kern w:val="0"/>
                      <w:sz w:val="21"/>
                      <w:szCs w:val="21"/>
                      <w:u w:val="none" w:color="auto"/>
                      <w:vertAlign w:val="subscript"/>
                    </w:rPr>
                    <w:t>Cr</w:t>
                  </w:r>
                </w:p>
              </w:tc>
              <w:tc>
                <w:tcPr>
                  <w:tcW w:w="910" w:type="dxa"/>
                  <w:vAlign w:val="center"/>
                </w:tcPr>
                <w:p w14:paraId="49A1D743">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BOD</w:t>
                  </w:r>
                  <w:r>
                    <w:rPr>
                      <w:rFonts w:hint="default" w:ascii="Times New Roman" w:hAnsi="Times New Roman" w:eastAsia="宋体" w:cs="Times New Roman"/>
                      <w:color w:val="auto"/>
                      <w:kern w:val="0"/>
                      <w:sz w:val="21"/>
                      <w:szCs w:val="21"/>
                      <w:u w:val="none" w:color="auto"/>
                      <w:vertAlign w:val="subscript"/>
                    </w:rPr>
                    <w:t>5</w:t>
                  </w:r>
                </w:p>
              </w:tc>
              <w:tc>
                <w:tcPr>
                  <w:tcW w:w="875" w:type="dxa"/>
                  <w:vAlign w:val="center"/>
                </w:tcPr>
                <w:p w14:paraId="7DF88F88">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SS</w:t>
                  </w:r>
                </w:p>
              </w:tc>
              <w:tc>
                <w:tcPr>
                  <w:tcW w:w="855" w:type="dxa"/>
                  <w:vAlign w:val="center"/>
                </w:tcPr>
                <w:p w14:paraId="600922D6">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NH</w:t>
                  </w:r>
                  <w:r>
                    <w:rPr>
                      <w:rFonts w:hint="default" w:ascii="Times New Roman" w:hAnsi="Times New Roman" w:eastAsia="宋体" w:cs="Times New Roman"/>
                      <w:color w:val="auto"/>
                      <w:kern w:val="0"/>
                      <w:sz w:val="21"/>
                      <w:szCs w:val="21"/>
                      <w:u w:val="none" w:color="auto"/>
                      <w:vertAlign w:val="subscript"/>
                    </w:rPr>
                    <w:t>3</w:t>
                  </w:r>
                  <w:r>
                    <w:rPr>
                      <w:rFonts w:hint="default" w:ascii="Times New Roman" w:hAnsi="Times New Roman" w:eastAsia="宋体" w:cs="Times New Roman"/>
                      <w:color w:val="auto"/>
                      <w:kern w:val="0"/>
                      <w:sz w:val="21"/>
                      <w:szCs w:val="21"/>
                      <w:u w:val="none" w:color="auto"/>
                    </w:rPr>
                    <w:t>-N</w:t>
                  </w:r>
                </w:p>
              </w:tc>
              <w:tc>
                <w:tcPr>
                  <w:tcW w:w="1740" w:type="dxa"/>
                  <w:vAlign w:val="center"/>
                </w:tcPr>
                <w:p w14:paraId="6519EB04">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粪大肠菌群</w:t>
                  </w:r>
                </w:p>
              </w:tc>
            </w:tr>
            <w:tr w14:paraId="56BADE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779" w:type="dxa"/>
                  <w:vMerge w:val="restart"/>
                  <w:vAlign w:val="center"/>
                </w:tcPr>
                <w:p w14:paraId="7A3F8584">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《医院污水处理技术指南》（环发〔2003〕197号）</w:t>
                  </w:r>
                </w:p>
              </w:tc>
              <w:tc>
                <w:tcPr>
                  <w:tcW w:w="1305" w:type="dxa"/>
                  <w:vAlign w:val="center"/>
                </w:tcPr>
                <w:p w14:paraId="34B89411">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浓度值范围</w:t>
                  </w:r>
                </w:p>
              </w:tc>
              <w:tc>
                <w:tcPr>
                  <w:tcW w:w="990" w:type="dxa"/>
                  <w:vAlign w:val="center"/>
                </w:tcPr>
                <w:p w14:paraId="69F82A45">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150~300</w:t>
                  </w:r>
                </w:p>
              </w:tc>
              <w:tc>
                <w:tcPr>
                  <w:tcW w:w="910" w:type="dxa"/>
                  <w:vAlign w:val="center"/>
                </w:tcPr>
                <w:p w14:paraId="0AEB832F">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80~150</w:t>
                  </w:r>
                </w:p>
              </w:tc>
              <w:tc>
                <w:tcPr>
                  <w:tcW w:w="875" w:type="dxa"/>
                  <w:vAlign w:val="center"/>
                </w:tcPr>
                <w:p w14:paraId="149BAA18">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40~120</w:t>
                  </w:r>
                </w:p>
              </w:tc>
              <w:tc>
                <w:tcPr>
                  <w:tcW w:w="855" w:type="dxa"/>
                  <w:vAlign w:val="center"/>
                </w:tcPr>
                <w:p w14:paraId="3B63188A">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10~50</w:t>
                  </w:r>
                </w:p>
              </w:tc>
              <w:tc>
                <w:tcPr>
                  <w:tcW w:w="1740" w:type="dxa"/>
                  <w:vAlign w:val="center"/>
                </w:tcPr>
                <w:p w14:paraId="5D96440B">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sz w:val="21"/>
                      <w:szCs w:val="21"/>
                      <w:u w:val="none" w:color="auto"/>
                    </w:rPr>
                    <w:t>1.</w:t>
                  </w:r>
                  <w:r>
                    <w:rPr>
                      <w:rFonts w:hint="eastAsia" w:cs="Times New Roman"/>
                      <w:color w:val="auto"/>
                      <w:sz w:val="21"/>
                      <w:szCs w:val="21"/>
                      <w:u w:val="none" w:color="auto"/>
                      <w:lang w:val="en-US" w:eastAsia="zh-CN"/>
                    </w:rPr>
                    <w:t>0</w:t>
                  </w:r>
                  <w:r>
                    <w:rPr>
                      <w:rFonts w:hint="default" w:ascii="Times New Roman" w:hAnsi="Times New Roman" w:eastAsia="宋体" w:cs="Times New Roman"/>
                      <w:color w:val="auto"/>
                      <w:sz w:val="21"/>
                      <w:szCs w:val="21"/>
                      <w:u w:val="none" w:color="auto"/>
                    </w:rPr>
                    <w:t>×10</w:t>
                  </w:r>
                  <w:r>
                    <w:rPr>
                      <w:rFonts w:hint="eastAsia" w:cs="Times New Roman"/>
                      <w:color w:val="auto"/>
                      <w:sz w:val="21"/>
                      <w:szCs w:val="21"/>
                      <w:u w:val="none" w:color="auto"/>
                      <w:vertAlign w:val="superscript"/>
                      <w:lang w:val="en-US" w:eastAsia="zh-CN"/>
                    </w:rPr>
                    <w:t>6</w:t>
                  </w:r>
                  <w:r>
                    <w:rPr>
                      <w:rFonts w:hint="eastAsia" w:cs="Times New Roman"/>
                      <w:color w:val="auto"/>
                      <w:sz w:val="21"/>
                      <w:szCs w:val="21"/>
                      <w:u w:val="none" w:color="auto"/>
                      <w:vertAlign w:val="baseline"/>
                      <w:lang w:val="en-US" w:eastAsia="zh-CN"/>
                    </w:rPr>
                    <w:t>~</w:t>
                  </w:r>
                  <w:r>
                    <w:rPr>
                      <w:rFonts w:hint="eastAsia" w:cs="Times New Roman"/>
                      <w:color w:val="auto"/>
                      <w:sz w:val="21"/>
                      <w:szCs w:val="21"/>
                      <w:u w:val="none" w:color="auto"/>
                      <w:lang w:val="en-US" w:eastAsia="zh-CN"/>
                    </w:rPr>
                    <w:t>3.0</w:t>
                  </w:r>
                  <w:r>
                    <w:rPr>
                      <w:rFonts w:hint="default" w:ascii="Times New Roman" w:hAnsi="Times New Roman" w:eastAsia="宋体" w:cs="Times New Roman"/>
                      <w:color w:val="auto"/>
                      <w:sz w:val="21"/>
                      <w:szCs w:val="21"/>
                      <w:u w:val="none" w:color="auto"/>
                    </w:rPr>
                    <w:t>×10</w:t>
                  </w:r>
                  <w:r>
                    <w:rPr>
                      <w:rFonts w:hint="default" w:ascii="Times New Roman" w:hAnsi="Times New Roman" w:eastAsia="宋体" w:cs="Times New Roman"/>
                      <w:color w:val="auto"/>
                      <w:sz w:val="21"/>
                      <w:szCs w:val="21"/>
                      <w:u w:val="none" w:color="auto"/>
                      <w:vertAlign w:val="superscript"/>
                    </w:rPr>
                    <w:t>8</w:t>
                  </w:r>
                </w:p>
              </w:tc>
            </w:tr>
            <w:tr w14:paraId="576EE3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779" w:type="dxa"/>
                  <w:vMerge w:val="continue"/>
                  <w:vAlign w:val="center"/>
                </w:tcPr>
                <w:p w14:paraId="7DF5AF74">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cs="Times New Roman"/>
                      <w:color w:val="auto"/>
                      <w:kern w:val="0"/>
                      <w:sz w:val="21"/>
                      <w:szCs w:val="21"/>
                      <w:u w:val="none" w:color="auto"/>
                      <w:lang w:val="en-US" w:eastAsia="zh-CN"/>
                    </w:rPr>
                  </w:pPr>
                </w:p>
              </w:tc>
              <w:tc>
                <w:tcPr>
                  <w:tcW w:w="1305" w:type="dxa"/>
                  <w:vAlign w:val="center"/>
                </w:tcPr>
                <w:p w14:paraId="62A7E7E3">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均值</w:t>
                  </w:r>
                </w:p>
              </w:tc>
              <w:tc>
                <w:tcPr>
                  <w:tcW w:w="990" w:type="dxa"/>
                  <w:vAlign w:val="center"/>
                </w:tcPr>
                <w:p w14:paraId="1FF21DFB">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250</w:t>
                  </w:r>
                </w:p>
              </w:tc>
              <w:tc>
                <w:tcPr>
                  <w:tcW w:w="910" w:type="dxa"/>
                  <w:vAlign w:val="center"/>
                </w:tcPr>
                <w:p w14:paraId="2D867673">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100</w:t>
                  </w:r>
                </w:p>
              </w:tc>
              <w:tc>
                <w:tcPr>
                  <w:tcW w:w="875" w:type="dxa"/>
                  <w:vAlign w:val="center"/>
                </w:tcPr>
                <w:p w14:paraId="692ACC9F">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80</w:t>
                  </w:r>
                </w:p>
              </w:tc>
              <w:tc>
                <w:tcPr>
                  <w:tcW w:w="855" w:type="dxa"/>
                  <w:vAlign w:val="center"/>
                </w:tcPr>
                <w:p w14:paraId="5EE93974">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30</w:t>
                  </w:r>
                </w:p>
              </w:tc>
              <w:tc>
                <w:tcPr>
                  <w:tcW w:w="1740" w:type="dxa"/>
                  <w:vAlign w:val="center"/>
                </w:tcPr>
                <w:p w14:paraId="1F25C7A0">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eastAsia" w:cs="Times New Roman"/>
                      <w:color w:val="auto"/>
                      <w:sz w:val="21"/>
                      <w:szCs w:val="21"/>
                      <w:u w:val="none" w:color="auto"/>
                      <w:lang w:val="en-US" w:eastAsia="zh-CN"/>
                    </w:rPr>
                    <w:t>1.6</w:t>
                  </w:r>
                  <w:r>
                    <w:rPr>
                      <w:rFonts w:hint="default" w:ascii="Times New Roman" w:hAnsi="Times New Roman" w:eastAsia="宋体" w:cs="Times New Roman"/>
                      <w:color w:val="auto"/>
                      <w:sz w:val="21"/>
                      <w:szCs w:val="21"/>
                      <w:u w:val="none" w:color="auto"/>
                    </w:rPr>
                    <w:t>×10</w:t>
                  </w:r>
                  <w:r>
                    <w:rPr>
                      <w:rFonts w:hint="default" w:ascii="Times New Roman" w:hAnsi="Times New Roman" w:eastAsia="宋体" w:cs="Times New Roman"/>
                      <w:color w:val="auto"/>
                      <w:sz w:val="21"/>
                      <w:szCs w:val="21"/>
                      <w:u w:val="none" w:color="auto"/>
                      <w:vertAlign w:val="superscript"/>
                    </w:rPr>
                    <w:t>8</w:t>
                  </w:r>
                </w:p>
              </w:tc>
            </w:tr>
          </w:tbl>
          <w:p w14:paraId="4D515D1F">
            <w:pPr>
              <w:pStyle w:val="10"/>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480" w:firstLineChars="200"/>
              <w:jc w:val="both"/>
              <w:textAlignment w:val="auto"/>
              <w:rPr>
                <w:rFonts w:hint="eastAsia" w:ascii="Times New Roman" w:hAnsi="宋体" w:eastAsia="宋体" w:cs="Times New Roman"/>
                <w:b w:val="0"/>
                <w:color w:val="auto"/>
                <w:kern w:val="2"/>
                <w:sz w:val="24"/>
                <w:szCs w:val="24"/>
                <w:u w:val="none" w:color="auto"/>
                <w:lang w:val="en-US" w:eastAsia="zh-CN" w:bidi="ar-SA"/>
              </w:rPr>
            </w:pPr>
            <w:r>
              <w:rPr>
                <w:rFonts w:hint="eastAsia" w:ascii="Times New Roman" w:hAnsi="宋体" w:eastAsia="宋体" w:cs="Times New Roman"/>
                <w:b w:val="0"/>
                <w:color w:val="auto"/>
                <w:kern w:val="2"/>
                <w:sz w:val="24"/>
                <w:szCs w:val="24"/>
                <w:u w:val="none" w:color="auto"/>
                <w:lang w:val="en-US" w:eastAsia="zh-CN" w:bidi="ar-SA"/>
              </w:rPr>
              <w:t>此外，本评价同时调查了同类型医院医疗废水产生浓度情况，同类型医院医疗废水及《医院污水处理技术指南》（环发〔2003〕197号）的结果如下表：</w:t>
            </w:r>
          </w:p>
          <w:p w14:paraId="56A829A4">
            <w:pPr>
              <w:pStyle w:val="11"/>
              <w:rPr>
                <w:rFonts w:hint="eastAsia" w:ascii="Times New Roman" w:hAnsi="宋体" w:eastAsia="宋体" w:cs="Times New Roman"/>
                <w:b w:val="0"/>
                <w:color w:val="auto"/>
                <w:kern w:val="2"/>
                <w:sz w:val="24"/>
                <w:szCs w:val="24"/>
                <w:u w:val="none" w:color="auto"/>
                <w:lang w:val="en-US" w:eastAsia="zh-CN" w:bidi="ar-SA"/>
              </w:rPr>
            </w:pPr>
          </w:p>
          <w:p w14:paraId="55FCB6A2">
            <w:pPr>
              <w:pStyle w:val="11"/>
              <w:rPr>
                <w:rFonts w:hint="default" w:ascii="Times New Roman" w:hAnsi="宋体" w:eastAsia="宋体" w:cs="Times New Roman"/>
                <w:b w:val="0"/>
                <w:color w:val="auto"/>
                <w:kern w:val="2"/>
                <w:sz w:val="24"/>
                <w:szCs w:val="24"/>
                <w:u w:val="none" w:color="auto"/>
                <w:lang w:val="en-US" w:eastAsia="zh-CN" w:bidi="ar-SA"/>
              </w:rPr>
            </w:pPr>
          </w:p>
          <w:p w14:paraId="56ADFFE9">
            <w:pPr>
              <w:pStyle w:val="10"/>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firstLine="0" w:firstLineChars="0"/>
              <w:jc w:val="center"/>
              <w:textAlignment w:val="auto"/>
              <w:rPr>
                <w:rFonts w:hint="default" w:ascii="黑体" w:hAnsi="黑体" w:eastAsia="黑体"/>
                <w:b w:val="0"/>
                <w:color w:val="auto"/>
                <w:u w:val="none" w:color="auto"/>
                <w:lang w:val="en-US" w:eastAsia="zh-CN"/>
              </w:rPr>
            </w:pPr>
            <w:r>
              <w:rPr>
                <w:rFonts w:hint="eastAsia" w:ascii="黑体" w:hAnsi="黑体" w:eastAsia="黑体"/>
                <w:b w:val="0"/>
                <w:color w:val="auto"/>
                <w:u w:val="none" w:color="auto"/>
                <w:lang w:val="en-US" w:eastAsia="zh-CN"/>
              </w:rPr>
              <w:t>类比医院及技术指南废水产生浓度情况表</w:t>
            </w:r>
          </w:p>
          <w:tbl>
            <w:tblPr>
              <w:tblStyle w:val="22"/>
              <w:tblW w:w="8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62"/>
              <w:gridCol w:w="1145"/>
              <w:gridCol w:w="2144"/>
              <w:gridCol w:w="2160"/>
              <w:gridCol w:w="1849"/>
            </w:tblGrid>
            <w:tr w14:paraId="5AEC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7" w:type="dxa"/>
                  <w:gridSpan w:val="2"/>
                  <w:tcBorders>
                    <w:tl2br w:val="nil"/>
                    <w:tr2bl w:val="nil"/>
                  </w:tcBorders>
                  <w:shd w:val="clear" w:color="auto" w:fill="auto"/>
                  <w:vAlign w:val="center"/>
                </w:tcPr>
                <w:p w14:paraId="055D3B7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医院设置情况</w:t>
                  </w:r>
                </w:p>
              </w:tc>
              <w:tc>
                <w:tcPr>
                  <w:tcW w:w="2144" w:type="dxa"/>
                  <w:tcBorders>
                    <w:tl2br w:val="nil"/>
                    <w:tr2bl w:val="nil"/>
                  </w:tcBorders>
                  <w:shd w:val="clear" w:color="auto" w:fill="auto"/>
                  <w:vAlign w:val="center"/>
                </w:tcPr>
                <w:p w14:paraId="4FEACE4E">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常德市神经精神病住院大楼项目：床位350张。</w:t>
                  </w:r>
                </w:p>
              </w:tc>
              <w:tc>
                <w:tcPr>
                  <w:tcW w:w="2160" w:type="dxa"/>
                  <w:tcBorders>
                    <w:tl2br w:val="nil"/>
                    <w:tr2bl w:val="nil"/>
                  </w:tcBorders>
                  <w:shd w:val="clear" w:color="auto" w:fill="auto"/>
                  <w:vAlign w:val="center"/>
                </w:tcPr>
                <w:p w14:paraId="61EE374D">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成都市第一精神卫生医院</w:t>
                  </w:r>
                  <w:r>
                    <w:rPr>
                      <w:rFonts w:hint="default" w:ascii="Times New Roman" w:hAnsi="Times New Roman" w:eastAsia="宋体" w:cs="Times New Roman"/>
                      <w:i w:val="0"/>
                      <w:iCs w:val="0"/>
                      <w:color w:val="auto"/>
                      <w:kern w:val="0"/>
                      <w:sz w:val="21"/>
                      <w:szCs w:val="21"/>
                      <w:u w:val="none" w:color="auto"/>
                      <w:lang w:val="en-US" w:eastAsia="zh-CN" w:bidi="ar"/>
                    </w:rPr>
                    <w:t>：床位</w:t>
                  </w:r>
                  <w:r>
                    <w:rPr>
                      <w:rFonts w:hint="eastAsia" w:cs="Times New Roman"/>
                      <w:i w:val="0"/>
                      <w:iCs w:val="0"/>
                      <w:color w:val="auto"/>
                      <w:kern w:val="0"/>
                      <w:sz w:val="21"/>
                      <w:szCs w:val="21"/>
                      <w:u w:val="none" w:color="auto"/>
                      <w:lang w:val="en-US" w:eastAsia="zh-CN" w:bidi="ar"/>
                    </w:rPr>
                    <w:t>298</w:t>
                  </w:r>
                  <w:r>
                    <w:rPr>
                      <w:rFonts w:hint="default" w:ascii="Times New Roman" w:hAnsi="Times New Roman" w:eastAsia="宋体" w:cs="Times New Roman"/>
                      <w:i w:val="0"/>
                      <w:iCs w:val="0"/>
                      <w:color w:val="auto"/>
                      <w:kern w:val="0"/>
                      <w:sz w:val="21"/>
                      <w:szCs w:val="21"/>
                      <w:u w:val="none" w:color="auto"/>
                      <w:lang w:val="en-US" w:eastAsia="zh-CN" w:bidi="ar"/>
                    </w:rPr>
                    <w:t>张。</w:t>
                  </w:r>
                </w:p>
              </w:tc>
              <w:tc>
                <w:tcPr>
                  <w:tcW w:w="1849" w:type="dxa"/>
                  <w:tcBorders>
                    <w:tl2br w:val="nil"/>
                    <w:tr2bl w:val="nil"/>
                  </w:tcBorders>
                  <w:shd w:val="clear" w:color="auto" w:fill="auto"/>
                  <w:vAlign w:val="center"/>
                </w:tcPr>
                <w:p w14:paraId="397DE80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color w:val="auto"/>
                      <w:kern w:val="0"/>
                      <w:sz w:val="21"/>
                      <w:szCs w:val="21"/>
                      <w:u w:val="none" w:color="auto"/>
                      <w:lang w:val="en-US" w:eastAsia="zh-CN"/>
                    </w:rPr>
                    <w:t>《医院污水处理技术指南》（环发〔2003〕197号）</w:t>
                  </w:r>
                </w:p>
              </w:tc>
            </w:tr>
            <w:tr w14:paraId="261E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362" w:type="dxa"/>
                  <w:tcBorders>
                    <w:tl2br w:val="nil"/>
                    <w:tr2bl w:val="nil"/>
                  </w:tcBorders>
                  <w:shd w:val="clear" w:color="auto" w:fill="auto"/>
                  <w:vAlign w:val="center"/>
                </w:tcPr>
                <w:p w14:paraId="3B9AF9CA">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污染因子</w:t>
                  </w:r>
                </w:p>
              </w:tc>
              <w:tc>
                <w:tcPr>
                  <w:tcW w:w="1145" w:type="dxa"/>
                  <w:tcBorders>
                    <w:tl2br w:val="nil"/>
                    <w:tr2bl w:val="nil"/>
                  </w:tcBorders>
                  <w:shd w:val="clear" w:color="auto" w:fill="auto"/>
                  <w:vAlign w:val="center"/>
                </w:tcPr>
                <w:p w14:paraId="4619F4CB">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单位</w:t>
                  </w:r>
                </w:p>
              </w:tc>
              <w:tc>
                <w:tcPr>
                  <w:tcW w:w="2144" w:type="dxa"/>
                  <w:tcBorders>
                    <w:tl2br w:val="nil"/>
                    <w:tr2bl w:val="nil"/>
                  </w:tcBorders>
                  <w:shd w:val="clear" w:color="auto" w:fill="auto"/>
                  <w:vAlign w:val="center"/>
                </w:tcPr>
                <w:p w14:paraId="19C450E0">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监测浓度值范围</w:t>
                  </w:r>
                </w:p>
              </w:tc>
              <w:tc>
                <w:tcPr>
                  <w:tcW w:w="2160" w:type="dxa"/>
                  <w:tcBorders>
                    <w:tl2br w:val="nil"/>
                    <w:tr2bl w:val="nil"/>
                  </w:tcBorders>
                  <w:shd w:val="clear" w:color="auto" w:fill="auto"/>
                  <w:vAlign w:val="center"/>
                </w:tcPr>
                <w:p w14:paraId="334B656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监测浓度值范围</w:t>
                  </w:r>
                </w:p>
              </w:tc>
              <w:tc>
                <w:tcPr>
                  <w:tcW w:w="1849" w:type="dxa"/>
                  <w:tcBorders>
                    <w:tl2br w:val="nil"/>
                    <w:tr2bl w:val="nil"/>
                  </w:tcBorders>
                  <w:shd w:val="clear" w:color="auto" w:fill="auto"/>
                  <w:vAlign w:val="center"/>
                </w:tcPr>
                <w:p w14:paraId="088F118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监测浓度值范围</w:t>
                  </w:r>
                </w:p>
              </w:tc>
            </w:tr>
            <w:tr w14:paraId="22998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362" w:type="dxa"/>
                  <w:tcBorders>
                    <w:tl2br w:val="nil"/>
                    <w:tr2bl w:val="nil"/>
                  </w:tcBorders>
                  <w:shd w:val="clear" w:color="auto" w:fill="auto"/>
                  <w:vAlign w:val="center"/>
                </w:tcPr>
                <w:p w14:paraId="61498227">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pH</w:t>
                  </w:r>
                </w:p>
              </w:tc>
              <w:tc>
                <w:tcPr>
                  <w:tcW w:w="1145" w:type="dxa"/>
                  <w:tcBorders>
                    <w:tl2br w:val="nil"/>
                    <w:tr2bl w:val="nil"/>
                  </w:tcBorders>
                  <w:shd w:val="clear" w:color="auto" w:fill="auto"/>
                  <w:vAlign w:val="center"/>
                </w:tcPr>
                <w:p w14:paraId="027D25D7">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无量纲</w:t>
                  </w:r>
                </w:p>
              </w:tc>
              <w:tc>
                <w:tcPr>
                  <w:tcW w:w="2144" w:type="dxa"/>
                  <w:tcBorders>
                    <w:tl2br w:val="nil"/>
                    <w:tr2bl w:val="nil"/>
                  </w:tcBorders>
                  <w:shd w:val="clear" w:color="auto" w:fill="auto"/>
                  <w:vAlign w:val="center"/>
                </w:tcPr>
                <w:p w14:paraId="1C6E5E7B">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7.63~7.82</w:t>
                  </w:r>
                </w:p>
              </w:tc>
              <w:tc>
                <w:tcPr>
                  <w:tcW w:w="2160" w:type="dxa"/>
                  <w:tcBorders>
                    <w:tl2br w:val="nil"/>
                    <w:tr2bl w:val="nil"/>
                  </w:tcBorders>
                  <w:shd w:val="clear" w:color="auto" w:fill="auto"/>
                  <w:vAlign w:val="center"/>
                </w:tcPr>
                <w:p w14:paraId="04FEE6C3">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6.82~7.02</w:t>
                  </w:r>
                </w:p>
              </w:tc>
              <w:tc>
                <w:tcPr>
                  <w:tcW w:w="1849" w:type="dxa"/>
                  <w:tcBorders>
                    <w:tl2br w:val="nil"/>
                    <w:tr2bl w:val="nil"/>
                  </w:tcBorders>
                  <w:shd w:val="clear" w:color="auto" w:fill="auto"/>
                  <w:vAlign w:val="center"/>
                </w:tcPr>
                <w:p w14:paraId="2A19C0DD">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w:t>
                  </w:r>
                </w:p>
              </w:tc>
            </w:tr>
            <w:tr w14:paraId="6407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362" w:type="dxa"/>
                  <w:tcBorders>
                    <w:tl2br w:val="nil"/>
                    <w:tr2bl w:val="nil"/>
                  </w:tcBorders>
                  <w:shd w:val="clear" w:color="auto" w:fill="auto"/>
                  <w:vAlign w:val="center"/>
                </w:tcPr>
                <w:p w14:paraId="70C5451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SS</w:t>
                  </w:r>
                </w:p>
              </w:tc>
              <w:tc>
                <w:tcPr>
                  <w:tcW w:w="1145" w:type="dxa"/>
                  <w:tcBorders>
                    <w:tl2br w:val="nil"/>
                    <w:tr2bl w:val="nil"/>
                  </w:tcBorders>
                  <w:shd w:val="clear" w:color="auto" w:fill="auto"/>
                  <w:vAlign w:val="center"/>
                </w:tcPr>
                <w:p w14:paraId="1AC91C2F">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mg/L</w:t>
                  </w:r>
                </w:p>
              </w:tc>
              <w:tc>
                <w:tcPr>
                  <w:tcW w:w="2144" w:type="dxa"/>
                  <w:tcBorders>
                    <w:tl2br w:val="nil"/>
                    <w:tr2bl w:val="nil"/>
                  </w:tcBorders>
                  <w:shd w:val="clear" w:color="auto" w:fill="auto"/>
                  <w:vAlign w:val="center"/>
                </w:tcPr>
                <w:p w14:paraId="6092BA40">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69.26~83.10</w:t>
                  </w:r>
                </w:p>
              </w:tc>
              <w:tc>
                <w:tcPr>
                  <w:tcW w:w="2160" w:type="dxa"/>
                  <w:tcBorders>
                    <w:tl2br w:val="nil"/>
                    <w:tr2bl w:val="nil"/>
                  </w:tcBorders>
                  <w:shd w:val="clear" w:color="auto" w:fill="auto"/>
                  <w:vAlign w:val="center"/>
                </w:tcPr>
                <w:p w14:paraId="727F6DA7">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w:t>
                  </w:r>
                </w:p>
              </w:tc>
              <w:tc>
                <w:tcPr>
                  <w:tcW w:w="1849" w:type="dxa"/>
                  <w:tcBorders>
                    <w:tl2br w:val="nil"/>
                    <w:tr2bl w:val="nil"/>
                  </w:tcBorders>
                  <w:shd w:val="clear" w:color="auto" w:fill="auto"/>
                  <w:vAlign w:val="center"/>
                </w:tcPr>
                <w:p w14:paraId="7E77F849">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color w:val="auto"/>
                      <w:kern w:val="0"/>
                      <w:sz w:val="21"/>
                      <w:szCs w:val="21"/>
                      <w:u w:val="none" w:color="auto"/>
                      <w:lang w:val="en-US" w:eastAsia="zh-CN"/>
                    </w:rPr>
                    <w:t>40~120</w:t>
                  </w:r>
                </w:p>
              </w:tc>
            </w:tr>
            <w:tr w14:paraId="70AF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362" w:type="dxa"/>
                  <w:tcBorders>
                    <w:tl2br w:val="nil"/>
                    <w:tr2bl w:val="nil"/>
                  </w:tcBorders>
                  <w:shd w:val="clear" w:color="auto" w:fill="auto"/>
                  <w:vAlign w:val="center"/>
                </w:tcPr>
                <w:p w14:paraId="3AEE380B">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COD</w:t>
                  </w:r>
                  <w:r>
                    <w:rPr>
                      <w:rStyle w:val="50"/>
                      <w:rFonts w:hint="default" w:ascii="Times New Roman" w:hAnsi="Times New Roman" w:eastAsia="宋体" w:cs="Times New Roman"/>
                      <w:color w:val="auto"/>
                      <w:sz w:val="21"/>
                      <w:szCs w:val="21"/>
                      <w:u w:val="none" w:color="auto"/>
                      <w:lang w:val="en-US" w:eastAsia="zh-CN" w:bidi="ar"/>
                    </w:rPr>
                    <w:t>cr</w:t>
                  </w:r>
                </w:p>
              </w:tc>
              <w:tc>
                <w:tcPr>
                  <w:tcW w:w="1145" w:type="dxa"/>
                  <w:tcBorders>
                    <w:tl2br w:val="nil"/>
                    <w:tr2bl w:val="nil"/>
                  </w:tcBorders>
                  <w:shd w:val="clear" w:color="auto" w:fill="auto"/>
                  <w:vAlign w:val="center"/>
                </w:tcPr>
                <w:p w14:paraId="3D3FE00B">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mg/L</w:t>
                  </w:r>
                </w:p>
              </w:tc>
              <w:tc>
                <w:tcPr>
                  <w:tcW w:w="2144" w:type="dxa"/>
                  <w:tcBorders>
                    <w:tl2br w:val="nil"/>
                    <w:tr2bl w:val="nil"/>
                  </w:tcBorders>
                  <w:shd w:val="clear" w:color="auto" w:fill="auto"/>
                  <w:vAlign w:val="center"/>
                </w:tcPr>
                <w:p w14:paraId="3E4F3C5D">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223.63~253.52</w:t>
                  </w:r>
                </w:p>
              </w:tc>
              <w:tc>
                <w:tcPr>
                  <w:tcW w:w="2160" w:type="dxa"/>
                  <w:tcBorders>
                    <w:tl2br w:val="nil"/>
                    <w:tr2bl w:val="nil"/>
                  </w:tcBorders>
                  <w:shd w:val="clear" w:color="auto" w:fill="auto"/>
                  <w:vAlign w:val="center"/>
                </w:tcPr>
                <w:p w14:paraId="65F9525C">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233~302</w:t>
                  </w:r>
                </w:p>
              </w:tc>
              <w:tc>
                <w:tcPr>
                  <w:tcW w:w="1849" w:type="dxa"/>
                  <w:tcBorders>
                    <w:tl2br w:val="nil"/>
                    <w:tr2bl w:val="nil"/>
                  </w:tcBorders>
                  <w:shd w:val="clear" w:color="auto" w:fill="auto"/>
                  <w:vAlign w:val="center"/>
                </w:tcPr>
                <w:p w14:paraId="009D0CE3">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color w:val="auto"/>
                      <w:kern w:val="0"/>
                      <w:sz w:val="21"/>
                      <w:szCs w:val="21"/>
                      <w:u w:val="none" w:color="auto"/>
                      <w:lang w:val="en-US" w:eastAsia="zh-CN"/>
                    </w:rPr>
                    <w:t>150~300</w:t>
                  </w:r>
                </w:p>
              </w:tc>
            </w:tr>
            <w:tr w14:paraId="0ACEB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362" w:type="dxa"/>
                  <w:tcBorders>
                    <w:tl2br w:val="nil"/>
                    <w:tr2bl w:val="nil"/>
                  </w:tcBorders>
                  <w:shd w:val="clear" w:color="auto" w:fill="auto"/>
                  <w:vAlign w:val="center"/>
                </w:tcPr>
                <w:p w14:paraId="0E0C87D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BOD</w:t>
                  </w:r>
                  <w:r>
                    <w:rPr>
                      <w:rStyle w:val="50"/>
                      <w:rFonts w:hint="default" w:ascii="Times New Roman" w:hAnsi="Times New Roman" w:eastAsia="宋体" w:cs="Times New Roman"/>
                      <w:color w:val="auto"/>
                      <w:sz w:val="21"/>
                      <w:szCs w:val="21"/>
                      <w:u w:val="none" w:color="auto"/>
                      <w:lang w:val="en-US" w:eastAsia="zh-CN" w:bidi="ar"/>
                    </w:rPr>
                    <w:t>5</w:t>
                  </w:r>
                </w:p>
              </w:tc>
              <w:tc>
                <w:tcPr>
                  <w:tcW w:w="1145" w:type="dxa"/>
                  <w:tcBorders>
                    <w:tl2br w:val="nil"/>
                    <w:tr2bl w:val="nil"/>
                  </w:tcBorders>
                  <w:shd w:val="clear" w:color="auto" w:fill="auto"/>
                  <w:vAlign w:val="center"/>
                </w:tcPr>
                <w:p w14:paraId="4B749B0D">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mg/L</w:t>
                  </w:r>
                </w:p>
              </w:tc>
              <w:tc>
                <w:tcPr>
                  <w:tcW w:w="2144" w:type="dxa"/>
                  <w:tcBorders>
                    <w:tl2br w:val="nil"/>
                    <w:tr2bl w:val="nil"/>
                  </w:tcBorders>
                  <w:shd w:val="clear" w:color="auto" w:fill="auto"/>
                  <w:vAlign w:val="center"/>
                </w:tcPr>
                <w:p w14:paraId="7BB23120">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92.38~110.22</w:t>
                  </w:r>
                </w:p>
              </w:tc>
              <w:tc>
                <w:tcPr>
                  <w:tcW w:w="2160" w:type="dxa"/>
                  <w:tcBorders>
                    <w:tl2br w:val="nil"/>
                    <w:tr2bl w:val="nil"/>
                  </w:tcBorders>
                  <w:shd w:val="clear" w:color="auto" w:fill="auto"/>
                  <w:vAlign w:val="center"/>
                </w:tcPr>
                <w:p w14:paraId="4110C0B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156~190</w:t>
                  </w:r>
                </w:p>
              </w:tc>
              <w:tc>
                <w:tcPr>
                  <w:tcW w:w="1849" w:type="dxa"/>
                  <w:tcBorders>
                    <w:tl2br w:val="nil"/>
                    <w:tr2bl w:val="nil"/>
                  </w:tcBorders>
                  <w:shd w:val="clear" w:color="auto" w:fill="auto"/>
                  <w:vAlign w:val="center"/>
                </w:tcPr>
                <w:p w14:paraId="64F9DA9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color w:val="auto"/>
                      <w:kern w:val="0"/>
                      <w:sz w:val="21"/>
                      <w:szCs w:val="21"/>
                      <w:u w:val="none" w:color="auto"/>
                      <w:lang w:val="en-US" w:eastAsia="zh-CN"/>
                    </w:rPr>
                    <w:t>80~150</w:t>
                  </w:r>
                </w:p>
              </w:tc>
            </w:tr>
            <w:tr w14:paraId="13DF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362" w:type="dxa"/>
                  <w:tcBorders>
                    <w:tl2br w:val="nil"/>
                    <w:tr2bl w:val="nil"/>
                  </w:tcBorders>
                  <w:shd w:val="clear" w:color="auto" w:fill="auto"/>
                  <w:vAlign w:val="center"/>
                </w:tcPr>
                <w:p w14:paraId="3CE5E053">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NH</w:t>
                  </w:r>
                  <w:r>
                    <w:rPr>
                      <w:rStyle w:val="50"/>
                      <w:rFonts w:hint="default" w:ascii="Times New Roman" w:hAnsi="Times New Roman" w:eastAsia="宋体" w:cs="Times New Roman"/>
                      <w:color w:val="auto"/>
                      <w:sz w:val="21"/>
                      <w:szCs w:val="21"/>
                      <w:u w:val="none" w:color="auto"/>
                      <w:lang w:val="en-US" w:eastAsia="zh-CN" w:bidi="ar"/>
                    </w:rPr>
                    <w:t>3</w:t>
                  </w:r>
                  <w:r>
                    <w:rPr>
                      <w:rFonts w:hint="default" w:ascii="Times New Roman" w:hAnsi="Times New Roman" w:eastAsia="宋体" w:cs="Times New Roman"/>
                      <w:i w:val="0"/>
                      <w:iCs w:val="0"/>
                      <w:color w:val="auto"/>
                      <w:kern w:val="0"/>
                      <w:sz w:val="21"/>
                      <w:szCs w:val="21"/>
                      <w:u w:val="none" w:color="auto"/>
                      <w:lang w:val="en-US" w:eastAsia="zh-CN" w:bidi="ar"/>
                    </w:rPr>
                    <w:t>-N</w:t>
                  </w:r>
                </w:p>
              </w:tc>
              <w:tc>
                <w:tcPr>
                  <w:tcW w:w="1145" w:type="dxa"/>
                  <w:tcBorders>
                    <w:tl2br w:val="nil"/>
                    <w:tr2bl w:val="nil"/>
                  </w:tcBorders>
                  <w:shd w:val="clear" w:color="auto" w:fill="auto"/>
                  <w:vAlign w:val="center"/>
                </w:tcPr>
                <w:p w14:paraId="47F2B110">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mg/L</w:t>
                  </w:r>
                </w:p>
              </w:tc>
              <w:tc>
                <w:tcPr>
                  <w:tcW w:w="2144" w:type="dxa"/>
                  <w:tcBorders>
                    <w:tl2br w:val="nil"/>
                    <w:tr2bl w:val="nil"/>
                  </w:tcBorders>
                  <w:shd w:val="clear" w:color="auto" w:fill="auto"/>
                  <w:vAlign w:val="center"/>
                </w:tcPr>
                <w:p w14:paraId="2A9D3B00">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25.96~32.11</w:t>
                  </w:r>
                </w:p>
              </w:tc>
              <w:tc>
                <w:tcPr>
                  <w:tcW w:w="2160" w:type="dxa"/>
                  <w:tcBorders>
                    <w:tl2br w:val="nil"/>
                    <w:tr2bl w:val="nil"/>
                  </w:tcBorders>
                  <w:shd w:val="clear" w:color="auto" w:fill="auto"/>
                  <w:vAlign w:val="center"/>
                </w:tcPr>
                <w:p w14:paraId="60FD89C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40.9~46.3</w:t>
                  </w:r>
                </w:p>
              </w:tc>
              <w:tc>
                <w:tcPr>
                  <w:tcW w:w="1849" w:type="dxa"/>
                  <w:tcBorders>
                    <w:tl2br w:val="nil"/>
                    <w:tr2bl w:val="nil"/>
                  </w:tcBorders>
                  <w:shd w:val="clear" w:color="auto" w:fill="auto"/>
                  <w:vAlign w:val="center"/>
                </w:tcPr>
                <w:p w14:paraId="468CDCB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color w:val="auto"/>
                      <w:kern w:val="0"/>
                      <w:sz w:val="21"/>
                      <w:szCs w:val="21"/>
                      <w:u w:val="none" w:color="auto"/>
                      <w:lang w:val="en-US" w:eastAsia="zh-CN"/>
                    </w:rPr>
                    <w:t>10~50</w:t>
                  </w:r>
                </w:p>
              </w:tc>
            </w:tr>
            <w:tr w14:paraId="498C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362" w:type="dxa"/>
                  <w:tcBorders>
                    <w:tl2br w:val="nil"/>
                    <w:tr2bl w:val="nil"/>
                  </w:tcBorders>
                  <w:shd w:val="clear" w:color="auto" w:fill="auto"/>
                  <w:vAlign w:val="center"/>
                </w:tcPr>
                <w:p w14:paraId="17335F5F">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汞</w:t>
                  </w:r>
                </w:p>
              </w:tc>
              <w:tc>
                <w:tcPr>
                  <w:tcW w:w="1145" w:type="dxa"/>
                  <w:tcBorders>
                    <w:tl2br w:val="nil"/>
                    <w:tr2bl w:val="nil"/>
                  </w:tcBorders>
                  <w:shd w:val="clear" w:color="auto" w:fill="auto"/>
                  <w:vAlign w:val="center"/>
                </w:tcPr>
                <w:p w14:paraId="4254D52E">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mg/L</w:t>
                  </w:r>
                </w:p>
              </w:tc>
              <w:tc>
                <w:tcPr>
                  <w:tcW w:w="2144" w:type="dxa"/>
                  <w:tcBorders>
                    <w:tl2br w:val="nil"/>
                    <w:tr2bl w:val="nil"/>
                  </w:tcBorders>
                  <w:shd w:val="clear" w:color="auto" w:fill="auto"/>
                  <w:vAlign w:val="center"/>
                </w:tcPr>
                <w:p w14:paraId="72E2FC8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未检出</w:t>
                  </w:r>
                </w:p>
              </w:tc>
              <w:tc>
                <w:tcPr>
                  <w:tcW w:w="2160" w:type="dxa"/>
                  <w:tcBorders>
                    <w:tl2br w:val="nil"/>
                    <w:tr2bl w:val="nil"/>
                  </w:tcBorders>
                  <w:shd w:val="clear" w:color="auto" w:fill="auto"/>
                  <w:vAlign w:val="center"/>
                </w:tcPr>
                <w:p w14:paraId="47AB201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w:t>
                  </w:r>
                </w:p>
              </w:tc>
              <w:tc>
                <w:tcPr>
                  <w:tcW w:w="1849" w:type="dxa"/>
                  <w:tcBorders>
                    <w:tl2br w:val="nil"/>
                    <w:tr2bl w:val="nil"/>
                  </w:tcBorders>
                  <w:shd w:val="clear" w:color="auto" w:fill="auto"/>
                  <w:vAlign w:val="center"/>
                </w:tcPr>
                <w:p w14:paraId="5BEB6333">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w:t>
                  </w:r>
                </w:p>
              </w:tc>
            </w:tr>
            <w:tr w14:paraId="0F1D3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3" w:hRule="atLeast"/>
                <w:jc w:val="center"/>
              </w:trPr>
              <w:tc>
                <w:tcPr>
                  <w:tcW w:w="1362" w:type="dxa"/>
                  <w:tcBorders>
                    <w:tl2br w:val="nil"/>
                    <w:tr2bl w:val="nil"/>
                  </w:tcBorders>
                  <w:shd w:val="clear" w:color="auto" w:fill="auto"/>
                  <w:vAlign w:val="center"/>
                </w:tcPr>
                <w:p w14:paraId="0043F2B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color="auto"/>
                    </w:rPr>
                  </w:pPr>
                  <w:r>
                    <w:rPr>
                      <w:rFonts w:hint="default" w:ascii="Times New Roman" w:hAnsi="Times New Roman" w:eastAsia="宋体" w:cs="Times New Roman"/>
                      <w:b w:val="0"/>
                      <w:bCs w:val="0"/>
                      <w:i w:val="0"/>
                      <w:iCs w:val="0"/>
                      <w:color w:val="auto"/>
                      <w:kern w:val="0"/>
                      <w:sz w:val="21"/>
                      <w:szCs w:val="21"/>
                      <w:u w:val="none" w:color="auto"/>
                      <w:lang w:val="en-US" w:eastAsia="zh-CN" w:bidi="ar"/>
                    </w:rPr>
                    <w:t>粪大肠杆菌</w:t>
                  </w:r>
                </w:p>
              </w:tc>
              <w:tc>
                <w:tcPr>
                  <w:tcW w:w="1145" w:type="dxa"/>
                  <w:tcBorders>
                    <w:tl2br w:val="nil"/>
                    <w:tr2bl w:val="nil"/>
                  </w:tcBorders>
                  <w:shd w:val="clear" w:color="auto" w:fill="auto"/>
                  <w:vAlign w:val="center"/>
                </w:tcPr>
                <w:p w14:paraId="6A5BA0C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color="auto"/>
                    </w:rPr>
                  </w:pPr>
                  <w:r>
                    <w:rPr>
                      <w:rFonts w:hint="default" w:ascii="Times New Roman" w:hAnsi="Times New Roman" w:eastAsia="宋体" w:cs="Times New Roman"/>
                      <w:b w:val="0"/>
                      <w:bCs w:val="0"/>
                      <w:i w:val="0"/>
                      <w:iCs w:val="0"/>
                      <w:color w:val="auto"/>
                      <w:kern w:val="0"/>
                      <w:sz w:val="21"/>
                      <w:szCs w:val="21"/>
                      <w:u w:val="none" w:color="auto"/>
                      <w:lang w:val="en-US" w:eastAsia="zh-CN" w:bidi="ar"/>
                    </w:rPr>
                    <w:t>MPN/L</w:t>
                  </w:r>
                </w:p>
              </w:tc>
              <w:tc>
                <w:tcPr>
                  <w:tcW w:w="2144" w:type="dxa"/>
                  <w:tcBorders>
                    <w:tl2br w:val="nil"/>
                    <w:tr2bl w:val="nil"/>
                  </w:tcBorders>
                  <w:shd w:val="clear" w:color="auto" w:fill="auto"/>
                  <w:vAlign w:val="center"/>
                </w:tcPr>
                <w:p w14:paraId="391CADF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color="auto"/>
                    </w:rPr>
                  </w:pPr>
                  <w:r>
                    <w:rPr>
                      <w:rFonts w:hint="default" w:ascii="Times New Roman" w:hAnsi="Times New Roman" w:eastAsia="宋体" w:cs="Times New Roman"/>
                      <w:b w:val="0"/>
                      <w:bCs w:val="0"/>
                      <w:i w:val="0"/>
                      <w:iCs w:val="0"/>
                      <w:color w:val="auto"/>
                      <w:kern w:val="0"/>
                      <w:sz w:val="21"/>
                      <w:szCs w:val="21"/>
                      <w:u w:val="none" w:color="auto"/>
                      <w:lang w:val="en-US" w:eastAsia="zh-CN" w:bidi="ar"/>
                    </w:rPr>
                    <w:t>1.02*10</w:t>
                  </w:r>
                  <w:r>
                    <w:rPr>
                      <w:rFonts w:hint="default" w:ascii="Times New Roman" w:hAnsi="Times New Roman" w:eastAsia="宋体" w:cs="Times New Roman"/>
                      <w:b w:val="0"/>
                      <w:bCs w:val="0"/>
                      <w:i w:val="0"/>
                      <w:iCs w:val="0"/>
                      <w:color w:val="auto"/>
                      <w:kern w:val="0"/>
                      <w:sz w:val="21"/>
                      <w:szCs w:val="21"/>
                      <w:u w:val="none" w:color="auto"/>
                      <w:vertAlign w:val="superscript"/>
                      <w:lang w:val="en-US" w:eastAsia="zh-CN" w:bidi="ar"/>
                    </w:rPr>
                    <w:t>8</w:t>
                  </w:r>
                  <w:r>
                    <w:rPr>
                      <w:rFonts w:hint="default" w:ascii="Times New Roman" w:hAnsi="Times New Roman" w:eastAsia="宋体" w:cs="Times New Roman"/>
                      <w:b w:val="0"/>
                      <w:bCs w:val="0"/>
                      <w:i w:val="0"/>
                      <w:iCs w:val="0"/>
                      <w:color w:val="auto"/>
                      <w:kern w:val="0"/>
                      <w:sz w:val="21"/>
                      <w:szCs w:val="21"/>
                      <w:u w:val="none" w:color="auto"/>
                      <w:lang w:val="en-US" w:eastAsia="zh-CN" w:bidi="ar"/>
                    </w:rPr>
                    <w:t>~1.58*10</w:t>
                  </w:r>
                  <w:r>
                    <w:rPr>
                      <w:rFonts w:hint="default" w:ascii="Times New Roman" w:hAnsi="Times New Roman" w:eastAsia="宋体" w:cs="Times New Roman"/>
                      <w:b w:val="0"/>
                      <w:bCs w:val="0"/>
                      <w:i w:val="0"/>
                      <w:iCs w:val="0"/>
                      <w:color w:val="auto"/>
                      <w:kern w:val="0"/>
                      <w:sz w:val="21"/>
                      <w:szCs w:val="21"/>
                      <w:u w:val="none" w:color="auto"/>
                      <w:vertAlign w:val="superscript"/>
                      <w:lang w:val="en-US" w:eastAsia="zh-CN" w:bidi="ar"/>
                    </w:rPr>
                    <w:t>8</w:t>
                  </w:r>
                </w:p>
              </w:tc>
              <w:tc>
                <w:tcPr>
                  <w:tcW w:w="2160" w:type="dxa"/>
                  <w:tcBorders>
                    <w:tl2br w:val="nil"/>
                    <w:tr2bl w:val="nil"/>
                  </w:tcBorders>
                  <w:shd w:val="clear" w:color="auto" w:fill="auto"/>
                  <w:vAlign w:val="center"/>
                </w:tcPr>
                <w:p w14:paraId="0A6BAD3C">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color="auto"/>
                      <w:lang w:val="en-US" w:eastAsia="zh-CN" w:bidi="ar"/>
                    </w:rPr>
                  </w:pPr>
                  <w:r>
                    <w:rPr>
                      <w:rFonts w:hint="eastAsia" w:cs="Times New Roman"/>
                      <w:b w:val="0"/>
                      <w:bCs w:val="0"/>
                      <w:i w:val="0"/>
                      <w:iCs w:val="0"/>
                      <w:color w:val="auto"/>
                      <w:kern w:val="0"/>
                      <w:sz w:val="21"/>
                      <w:szCs w:val="21"/>
                      <w:u w:val="none" w:color="auto"/>
                      <w:lang w:val="en-US" w:eastAsia="zh-CN" w:bidi="ar"/>
                    </w:rPr>
                    <w:t>≥2.4</w:t>
                  </w:r>
                  <w:r>
                    <w:rPr>
                      <w:rFonts w:hint="default" w:ascii="Times New Roman" w:hAnsi="Times New Roman" w:eastAsia="宋体" w:cs="Times New Roman"/>
                      <w:b w:val="0"/>
                      <w:bCs w:val="0"/>
                      <w:i w:val="0"/>
                      <w:iCs w:val="0"/>
                      <w:color w:val="auto"/>
                      <w:kern w:val="0"/>
                      <w:sz w:val="21"/>
                      <w:szCs w:val="21"/>
                      <w:u w:val="none" w:color="auto"/>
                      <w:lang w:val="en-US" w:eastAsia="zh-CN" w:bidi="ar"/>
                    </w:rPr>
                    <w:t>*10</w:t>
                  </w:r>
                  <w:r>
                    <w:rPr>
                      <w:rFonts w:hint="eastAsia" w:ascii="Times New Roman" w:hAnsi="Times New Roman" w:eastAsia="宋体" w:cs="Times New Roman"/>
                      <w:b w:val="0"/>
                      <w:bCs w:val="0"/>
                      <w:i w:val="0"/>
                      <w:iCs w:val="0"/>
                      <w:color w:val="auto"/>
                      <w:kern w:val="0"/>
                      <w:sz w:val="21"/>
                      <w:szCs w:val="21"/>
                      <w:u w:val="none" w:color="auto"/>
                      <w:vertAlign w:val="superscript"/>
                      <w:lang w:val="en-US" w:eastAsia="zh-CN" w:bidi="ar"/>
                    </w:rPr>
                    <w:t>4</w:t>
                  </w:r>
                </w:p>
              </w:tc>
              <w:tc>
                <w:tcPr>
                  <w:tcW w:w="1849" w:type="dxa"/>
                  <w:tcBorders>
                    <w:tl2br w:val="nil"/>
                    <w:tr2bl w:val="nil"/>
                  </w:tcBorders>
                  <w:shd w:val="clear" w:color="auto" w:fill="auto"/>
                  <w:vAlign w:val="center"/>
                </w:tcPr>
                <w:p w14:paraId="30874B7C">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color="auto"/>
                      <w:lang w:val="en-US" w:eastAsia="zh-CN" w:bidi="ar"/>
                    </w:rPr>
                  </w:pPr>
                  <w:r>
                    <w:rPr>
                      <w:rFonts w:hint="default" w:ascii="Times New Roman" w:hAnsi="Times New Roman" w:eastAsia="宋体" w:cs="Times New Roman"/>
                      <w:b w:val="0"/>
                      <w:bCs w:val="0"/>
                      <w:color w:val="auto"/>
                      <w:sz w:val="21"/>
                      <w:szCs w:val="21"/>
                      <w:u w:val="none" w:color="auto"/>
                    </w:rPr>
                    <w:t>1.</w:t>
                  </w:r>
                  <w:r>
                    <w:rPr>
                      <w:rFonts w:hint="default" w:ascii="Times New Roman" w:hAnsi="Times New Roman" w:eastAsia="宋体" w:cs="Times New Roman"/>
                      <w:b w:val="0"/>
                      <w:bCs w:val="0"/>
                      <w:color w:val="auto"/>
                      <w:sz w:val="21"/>
                      <w:szCs w:val="21"/>
                      <w:u w:val="none" w:color="auto"/>
                      <w:lang w:val="en-US" w:eastAsia="zh-CN"/>
                    </w:rPr>
                    <w:t>0</w:t>
                  </w:r>
                  <w:r>
                    <w:rPr>
                      <w:rFonts w:hint="default" w:ascii="Times New Roman" w:hAnsi="Times New Roman" w:eastAsia="宋体" w:cs="Times New Roman"/>
                      <w:b w:val="0"/>
                      <w:bCs w:val="0"/>
                      <w:color w:val="auto"/>
                      <w:sz w:val="21"/>
                      <w:szCs w:val="21"/>
                      <w:u w:val="none" w:color="auto"/>
                    </w:rPr>
                    <w:t>×10</w:t>
                  </w:r>
                  <w:r>
                    <w:rPr>
                      <w:rFonts w:hint="default" w:ascii="Times New Roman" w:hAnsi="Times New Roman" w:eastAsia="宋体" w:cs="Times New Roman"/>
                      <w:b w:val="0"/>
                      <w:bCs w:val="0"/>
                      <w:color w:val="auto"/>
                      <w:sz w:val="21"/>
                      <w:szCs w:val="21"/>
                      <w:u w:val="none" w:color="auto"/>
                      <w:vertAlign w:val="superscript"/>
                      <w:lang w:val="en-US" w:eastAsia="zh-CN"/>
                    </w:rPr>
                    <w:t>6</w:t>
                  </w:r>
                  <w:r>
                    <w:rPr>
                      <w:rFonts w:hint="default" w:ascii="Times New Roman" w:hAnsi="Times New Roman" w:eastAsia="宋体" w:cs="Times New Roman"/>
                      <w:b w:val="0"/>
                      <w:bCs w:val="0"/>
                      <w:color w:val="auto"/>
                      <w:sz w:val="21"/>
                      <w:szCs w:val="21"/>
                      <w:u w:val="none" w:color="auto"/>
                      <w:vertAlign w:val="baseline"/>
                      <w:lang w:val="en-US" w:eastAsia="zh-CN"/>
                    </w:rPr>
                    <w:t>~</w:t>
                  </w:r>
                  <w:r>
                    <w:rPr>
                      <w:rFonts w:hint="default" w:ascii="Times New Roman" w:hAnsi="Times New Roman" w:eastAsia="宋体" w:cs="Times New Roman"/>
                      <w:b w:val="0"/>
                      <w:bCs w:val="0"/>
                      <w:color w:val="auto"/>
                      <w:sz w:val="21"/>
                      <w:szCs w:val="21"/>
                      <w:u w:val="none" w:color="auto"/>
                      <w:lang w:val="en-US" w:eastAsia="zh-CN"/>
                    </w:rPr>
                    <w:t>3.0</w:t>
                  </w:r>
                  <w:r>
                    <w:rPr>
                      <w:rFonts w:hint="default" w:ascii="Times New Roman" w:hAnsi="Times New Roman" w:eastAsia="宋体" w:cs="Times New Roman"/>
                      <w:b w:val="0"/>
                      <w:bCs w:val="0"/>
                      <w:color w:val="auto"/>
                      <w:sz w:val="21"/>
                      <w:szCs w:val="21"/>
                      <w:u w:val="none" w:color="auto"/>
                    </w:rPr>
                    <w:t>×10</w:t>
                  </w:r>
                  <w:r>
                    <w:rPr>
                      <w:rFonts w:hint="default" w:ascii="Times New Roman" w:hAnsi="Times New Roman" w:eastAsia="宋体" w:cs="Times New Roman"/>
                      <w:b w:val="0"/>
                      <w:bCs w:val="0"/>
                      <w:color w:val="auto"/>
                      <w:sz w:val="21"/>
                      <w:szCs w:val="21"/>
                      <w:u w:val="none" w:color="auto"/>
                      <w:vertAlign w:val="superscript"/>
                    </w:rPr>
                    <w:t>8</w:t>
                  </w:r>
                </w:p>
              </w:tc>
            </w:tr>
            <w:tr w14:paraId="36D6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tcBorders>
                    <w:tl2br w:val="nil"/>
                    <w:tr2bl w:val="nil"/>
                  </w:tcBorders>
                  <w:shd w:val="clear" w:color="auto" w:fill="auto"/>
                  <w:vAlign w:val="center"/>
                </w:tcPr>
                <w:p w14:paraId="2F0D529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color="auto"/>
                      <w:lang w:val="en-US" w:eastAsia="zh-CN" w:bidi="ar"/>
                    </w:rPr>
                  </w:pPr>
                  <w:r>
                    <w:rPr>
                      <w:rFonts w:hint="eastAsia" w:cs="Times New Roman"/>
                      <w:b w:val="0"/>
                      <w:bCs w:val="0"/>
                      <w:i w:val="0"/>
                      <w:iCs w:val="0"/>
                      <w:color w:val="auto"/>
                      <w:kern w:val="0"/>
                      <w:sz w:val="21"/>
                      <w:szCs w:val="21"/>
                      <w:u w:val="none" w:color="auto"/>
                      <w:lang w:val="en-US" w:eastAsia="zh-CN" w:bidi="ar"/>
                    </w:rPr>
                    <w:t>色度</w:t>
                  </w:r>
                </w:p>
              </w:tc>
              <w:tc>
                <w:tcPr>
                  <w:tcW w:w="1145" w:type="dxa"/>
                  <w:tcBorders>
                    <w:tl2br w:val="nil"/>
                    <w:tr2bl w:val="nil"/>
                  </w:tcBorders>
                  <w:shd w:val="clear" w:color="auto" w:fill="auto"/>
                  <w:vAlign w:val="center"/>
                </w:tcPr>
                <w:p w14:paraId="111A992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color="auto"/>
                      <w:lang w:val="en-US" w:eastAsia="zh-CN" w:bidi="ar"/>
                    </w:rPr>
                  </w:pPr>
                  <w:r>
                    <w:rPr>
                      <w:rFonts w:hint="eastAsia" w:cs="Times New Roman"/>
                      <w:b w:val="0"/>
                      <w:bCs w:val="0"/>
                      <w:i w:val="0"/>
                      <w:iCs w:val="0"/>
                      <w:color w:val="auto"/>
                      <w:kern w:val="0"/>
                      <w:sz w:val="21"/>
                      <w:szCs w:val="21"/>
                      <w:u w:val="none" w:color="auto"/>
                      <w:lang w:val="en-US" w:eastAsia="zh-CN" w:bidi="ar"/>
                    </w:rPr>
                    <w:t>稀释倍数</w:t>
                  </w:r>
                </w:p>
              </w:tc>
              <w:tc>
                <w:tcPr>
                  <w:tcW w:w="2144" w:type="dxa"/>
                  <w:tcBorders>
                    <w:tl2br w:val="nil"/>
                    <w:tr2bl w:val="nil"/>
                  </w:tcBorders>
                  <w:shd w:val="clear" w:color="auto" w:fill="auto"/>
                  <w:vAlign w:val="center"/>
                </w:tcPr>
                <w:p w14:paraId="3989584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color="auto"/>
                      <w:lang w:val="en-US" w:eastAsia="zh-CN" w:bidi="ar"/>
                    </w:rPr>
                  </w:pPr>
                  <w:r>
                    <w:rPr>
                      <w:rFonts w:hint="eastAsia" w:cs="Times New Roman"/>
                      <w:b w:val="0"/>
                      <w:bCs w:val="0"/>
                      <w:i w:val="0"/>
                      <w:iCs w:val="0"/>
                      <w:color w:val="auto"/>
                      <w:kern w:val="0"/>
                      <w:sz w:val="21"/>
                      <w:szCs w:val="21"/>
                      <w:u w:val="none" w:color="auto"/>
                      <w:lang w:val="en-US" w:eastAsia="zh-CN" w:bidi="ar"/>
                    </w:rPr>
                    <w:t>20</w:t>
                  </w:r>
                </w:p>
              </w:tc>
              <w:tc>
                <w:tcPr>
                  <w:tcW w:w="2160" w:type="dxa"/>
                  <w:tcBorders>
                    <w:tl2br w:val="nil"/>
                    <w:tr2bl w:val="nil"/>
                  </w:tcBorders>
                  <w:shd w:val="clear" w:color="auto" w:fill="auto"/>
                  <w:vAlign w:val="center"/>
                </w:tcPr>
                <w:p w14:paraId="5EAA254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color="auto"/>
                      <w:lang w:val="en-US" w:eastAsia="zh-CN" w:bidi="ar"/>
                    </w:rPr>
                  </w:pPr>
                  <w:r>
                    <w:rPr>
                      <w:rFonts w:hint="eastAsia" w:cs="Times New Roman"/>
                      <w:b w:val="0"/>
                      <w:bCs w:val="0"/>
                      <w:i w:val="0"/>
                      <w:iCs w:val="0"/>
                      <w:color w:val="auto"/>
                      <w:kern w:val="0"/>
                      <w:sz w:val="21"/>
                      <w:szCs w:val="21"/>
                      <w:u w:val="none" w:color="auto"/>
                      <w:lang w:val="en-US" w:eastAsia="zh-CN" w:bidi="ar"/>
                    </w:rPr>
                    <w:t>/</w:t>
                  </w:r>
                </w:p>
              </w:tc>
              <w:tc>
                <w:tcPr>
                  <w:tcW w:w="1849" w:type="dxa"/>
                  <w:tcBorders>
                    <w:tl2br w:val="nil"/>
                    <w:tr2bl w:val="nil"/>
                  </w:tcBorders>
                  <w:shd w:val="clear" w:color="auto" w:fill="auto"/>
                  <w:vAlign w:val="center"/>
                </w:tcPr>
                <w:p w14:paraId="392D628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color="auto"/>
                      <w:lang w:val="en-US" w:eastAsia="zh-CN" w:bidi="ar"/>
                    </w:rPr>
                  </w:pPr>
                  <w:r>
                    <w:rPr>
                      <w:rFonts w:hint="eastAsia" w:cs="Times New Roman"/>
                      <w:b w:val="0"/>
                      <w:bCs w:val="0"/>
                      <w:i w:val="0"/>
                      <w:iCs w:val="0"/>
                      <w:color w:val="auto"/>
                      <w:kern w:val="0"/>
                      <w:sz w:val="21"/>
                      <w:szCs w:val="21"/>
                      <w:u w:val="none" w:color="auto"/>
                      <w:lang w:val="en-US" w:eastAsia="zh-CN" w:bidi="ar"/>
                    </w:rPr>
                    <w:t>/</w:t>
                  </w:r>
                </w:p>
              </w:tc>
            </w:tr>
            <w:tr w14:paraId="5BB6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2" w:type="dxa"/>
                  <w:tcBorders>
                    <w:tl2br w:val="nil"/>
                    <w:tr2bl w:val="nil"/>
                  </w:tcBorders>
                  <w:shd w:val="clear" w:color="auto" w:fill="auto"/>
                  <w:vAlign w:val="center"/>
                </w:tcPr>
                <w:p w14:paraId="1E4675CF">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cs="Times New Roman"/>
                      <w:b w:val="0"/>
                      <w:bCs w:val="0"/>
                      <w:i w:val="0"/>
                      <w:iCs w:val="0"/>
                      <w:color w:val="auto"/>
                      <w:kern w:val="0"/>
                      <w:sz w:val="21"/>
                      <w:szCs w:val="21"/>
                      <w:u w:val="none" w:color="auto"/>
                      <w:lang w:val="en-US" w:eastAsia="zh-CN" w:bidi="ar"/>
                    </w:rPr>
                  </w:pPr>
                  <w:r>
                    <w:rPr>
                      <w:rFonts w:hint="eastAsia" w:cs="Times New Roman"/>
                      <w:b w:val="0"/>
                      <w:bCs w:val="0"/>
                      <w:i w:val="0"/>
                      <w:iCs w:val="0"/>
                      <w:color w:val="auto"/>
                      <w:kern w:val="0"/>
                      <w:sz w:val="21"/>
                      <w:szCs w:val="21"/>
                      <w:u w:val="none" w:color="auto"/>
                      <w:lang w:val="en-US" w:eastAsia="zh-CN" w:bidi="ar"/>
                    </w:rPr>
                    <w:t>阴离子表面活性剂</w:t>
                  </w:r>
                </w:p>
              </w:tc>
              <w:tc>
                <w:tcPr>
                  <w:tcW w:w="1145" w:type="dxa"/>
                  <w:tcBorders>
                    <w:tl2br w:val="nil"/>
                    <w:tr2bl w:val="nil"/>
                  </w:tcBorders>
                  <w:shd w:val="clear" w:color="auto" w:fill="auto"/>
                  <w:vAlign w:val="center"/>
                </w:tcPr>
                <w:p w14:paraId="246C196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cs="Times New Roman"/>
                      <w:b w:val="0"/>
                      <w:bCs w:val="0"/>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mg/L</w:t>
                  </w:r>
                </w:p>
              </w:tc>
              <w:tc>
                <w:tcPr>
                  <w:tcW w:w="2144" w:type="dxa"/>
                  <w:tcBorders>
                    <w:tl2br w:val="nil"/>
                    <w:tr2bl w:val="nil"/>
                  </w:tcBorders>
                  <w:shd w:val="clear" w:color="auto" w:fill="auto"/>
                  <w:vAlign w:val="center"/>
                </w:tcPr>
                <w:p w14:paraId="7B6C3CE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cs="Times New Roman"/>
                      <w:b w:val="0"/>
                      <w:bCs w:val="0"/>
                      <w:i w:val="0"/>
                      <w:iCs w:val="0"/>
                      <w:color w:val="auto"/>
                      <w:kern w:val="0"/>
                      <w:sz w:val="21"/>
                      <w:szCs w:val="21"/>
                      <w:u w:val="none" w:color="auto"/>
                      <w:lang w:val="en-US" w:eastAsia="zh-CN" w:bidi="ar"/>
                    </w:rPr>
                  </w:pPr>
                  <w:r>
                    <w:rPr>
                      <w:rFonts w:hint="eastAsia" w:cs="Times New Roman"/>
                      <w:b w:val="0"/>
                      <w:bCs w:val="0"/>
                      <w:i w:val="0"/>
                      <w:iCs w:val="0"/>
                      <w:color w:val="auto"/>
                      <w:kern w:val="0"/>
                      <w:sz w:val="21"/>
                      <w:szCs w:val="21"/>
                      <w:u w:val="none" w:color="auto"/>
                      <w:lang w:val="en-US" w:eastAsia="zh-CN" w:bidi="ar"/>
                    </w:rPr>
                    <w:t>/</w:t>
                  </w:r>
                </w:p>
              </w:tc>
              <w:tc>
                <w:tcPr>
                  <w:tcW w:w="2160" w:type="dxa"/>
                  <w:tcBorders>
                    <w:tl2br w:val="nil"/>
                    <w:tr2bl w:val="nil"/>
                  </w:tcBorders>
                  <w:shd w:val="clear" w:color="auto" w:fill="auto"/>
                  <w:vAlign w:val="center"/>
                </w:tcPr>
                <w:p w14:paraId="6F0D2017">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color="auto"/>
                      <w:lang w:val="en-US" w:eastAsia="zh-CN" w:bidi="ar"/>
                    </w:rPr>
                  </w:pPr>
                  <w:r>
                    <w:rPr>
                      <w:rFonts w:hint="eastAsia" w:cs="Times New Roman"/>
                      <w:b w:val="0"/>
                      <w:bCs w:val="0"/>
                      <w:i w:val="0"/>
                      <w:iCs w:val="0"/>
                      <w:color w:val="auto"/>
                      <w:kern w:val="0"/>
                      <w:sz w:val="21"/>
                      <w:szCs w:val="21"/>
                      <w:u w:val="none" w:color="auto"/>
                      <w:lang w:val="en-US" w:eastAsia="zh-CN" w:bidi="ar"/>
                    </w:rPr>
                    <w:t>1.15~1.25</w:t>
                  </w:r>
                </w:p>
              </w:tc>
              <w:tc>
                <w:tcPr>
                  <w:tcW w:w="1849" w:type="dxa"/>
                  <w:tcBorders>
                    <w:tl2br w:val="nil"/>
                    <w:tr2bl w:val="nil"/>
                  </w:tcBorders>
                  <w:shd w:val="clear" w:color="auto" w:fill="auto"/>
                  <w:vAlign w:val="center"/>
                </w:tcPr>
                <w:p w14:paraId="61CC9E3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cs="Times New Roman"/>
                      <w:b w:val="0"/>
                      <w:bCs w:val="0"/>
                      <w:i w:val="0"/>
                      <w:iCs w:val="0"/>
                      <w:color w:val="auto"/>
                      <w:kern w:val="0"/>
                      <w:sz w:val="21"/>
                      <w:szCs w:val="21"/>
                      <w:u w:val="none" w:color="auto"/>
                      <w:lang w:val="en-US" w:eastAsia="zh-CN" w:bidi="ar"/>
                    </w:rPr>
                  </w:pPr>
                  <w:r>
                    <w:rPr>
                      <w:rFonts w:hint="eastAsia" w:cs="Times New Roman"/>
                      <w:b w:val="0"/>
                      <w:bCs w:val="0"/>
                      <w:i w:val="0"/>
                      <w:iCs w:val="0"/>
                      <w:color w:val="auto"/>
                      <w:kern w:val="0"/>
                      <w:sz w:val="21"/>
                      <w:szCs w:val="21"/>
                      <w:u w:val="none" w:color="auto"/>
                      <w:lang w:val="en-US" w:eastAsia="zh-CN" w:bidi="ar"/>
                    </w:rPr>
                    <w:t>/</w:t>
                  </w:r>
                </w:p>
              </w:tc>
            </w:tr>
            <w:tr w14:paraId="26A19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362" w:type="dxa"/>
                  <w:tcBorders>
                    <w:tl2br w:val="nil"/>
                    <w:tr2bl w:val="nil"/>
                  </w:tcBorders>
                  <w:shd w:val="clear" w:color="auto" w:fill="auto"/>
                  <w:vAlign w:val="center"/>
                </w:tcPr>
                <w:p w14:paraId="43674C4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cs="Times New Roman"/>
                      <w:b w:val="0"/>
                      <w:bCs w:val="0"/>
                      <w:i w:val="0"/>
                      <w:iCs w:val="0"/>
                      <w:color w:val="auto"/>
                      <w:kern w:val="0"/>
                      <w:sz w:val="21"/>
                      <w:szCs w:val="21"/>
                      <w:u w:val="none" w:color="auto"/>
                      <w:lang w:val="en-US" w:eastAsia="zh-CN" w:bidi="ar"/>
                    </w:rPr>
                  </w:pPr>
                  <w:r>
                    <w:rPr>
                      <w:rFonts w:hint="eastAsia" w:cs="Times New Roman"/>
                      <w:b w:val="0"/>
                      <w:bCs w:val="0"/>
                      <w:i w:val="0"/>
                      <w:iCs w:val="0"/>
                      <w:color w:val="auto"/>
                      <w:kern w:val="0"/>
                      <w:sz w:val="21"/>
                      <w:szCs w:val="21"/>
                      <w:u w:val="none" w:color="auto"/>
                      <w:lang w:val="en-US" w:eastAsia="zh-CN" w:bidi="ar"/>
                    </w:rPr>
                    <w:t>挥发酚</w:t>
                  </w:r>
                </w:p>
              </w:tc>
              <w:tc>
                <w:tcPr>
                  <w:tcW w:w="1145" w:type="dxa"/>
                  <w:tcBorders>
                    <w:tl2br w:val="nil"/>
                    <w:tr2bl w:val="nil"/>
                  </w:tcBorders>
                  <w:shd w:val="clear" w:color="auto" w:fill="auto"/>
                  <w:vAlign w:val="center"/>
                </w:tcPr>
                <w:p w14:paraId="48D50F5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mg/L</w:t>
                  </w:r>
                </w:p>
              </w:tc>
              <w:tc>
                <w:tcPr>
                  <w:tcW w:w="2144" w:type="dxa"/>
                  <w:tcBorders>
                    <w:tl2br w:val="nil"/>
                    <w:tr2bl w:val="nil"/>
                  </w:tcBorders>
                  <w:shd w:val="clear" w:color="auto" w:fill="auto"/>
                  <w:vAlign w:val="center"/>
                </w:tcPr>
                <w:p w14:paraId="3C4ED4ED">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cs="Times New Roman"/>
                      <w:b w:val="0"/>
                      <w:bCs w:val="0"/>
                      <w:i w:val="0"/>
                      <w:iCs w:val="0"/>
                      <w:color w:val="auto"/>
                      <w:kern w:val="0"/>
                      <w:sz w:val="21"/>
                      <w:szCs w:val="21"/>
                      <w:u w:val="none" w:color="auto"/>
                      <w:lang w:val="en-US" w:eastAsia="zh-CN" w:bidi="ar"/>
                    </w:rPr>
                  </w:pPr>
                  <w:r>
                    <w:rPr>
                      <w:rFonts w:hint="eastAsia" w:cs="Times New Roman"/>
                      <w:b w:val="0"/>
                      <w:bCs w:val="0"/>
                      <w:i w:val="0"/>
                      <w:iCs w:val="0"/>
                      <w:color w:val="auto"/>
                      <w:kern w:val="0"/>
                      <w:sz w:val="21"/>
                      <w:szCs w:val="21"/>
                      <w:u w:val="none" w:color="auto"/>
                      <w:lang w:val="en-US" w:eastAsia="zh-CN" w:bidi="ar"/>
                    </w:rPr>
                    <w:t>0.0021</w:t>
                  </w:r>
                </w:p>
              </w:tc>
              <w:tc>
                <w:tcPr>
                  <w:tcW w:w="2160" w:type="dxa"/>
                  <w:tcBorders>
                    <w:tl2br w:val="nil"/>
                    <w:tr2bl w:val="nil"/>
                  </w:tcBorders>
                  <w:shd w:val="clear" w:color="auto" w:fill="auto"/>
                  <w:vAlign w:val="center"/>
                </w:tcPr>
                <w:p w14:paraId="7423FF3D">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cs="Times New Roman"/>
                      <w:b w:val="0"/>
                      <w:bCs w:val="0"/>
                      <w:i w:val="0"/>
                      <w:iCs w:val="0"/>
                      <w:color w:val="auto"/>
                      <w:kern w:val="0"/>
                      <w:sz w:val="21"/>
                      <w:szCs w:val="21"/>
                      <w:u w:val="none" w:color="auto"/>
                      <w:lang w:val="en-US" w:eastAsia="zh-CN" w:bidi="ar"/>
                    </w:rPr>
                  </w:pPr>
                  <w:r>
                    <w:rPr>
                      <w:rFonts w:hint="eastAsia" w:cs="Times New Roman"/>
                      <w:b w:val="0"/>
                      <w:bCs w:val="0"/>
                      <w:i w:val="0"/>
                      <w:iCs w:val="0"/>
                      <w:color w:val="auto"/>
                      <w:kern w:val="0"/>
                      <w:sz w:val="21"/>
                      <w:szCs w:val="21"/>
                      <w:u w:val="none" w:color="auto"/>
                      <w:lang w:val="en-US" w:eastAsia="zh-CN" w:bidi="ar"/>
                    </w:rPr>
                    <w:t>/</w:t>
                  </w:r>
                </w:p>
              </w:tc>
              <w:tc>
                <w:tcPr>
                  <w:tcW w:w="1849" w:type="dxa"/>
                  <w:tcBorders>
                    <w:tl2br w:val="nil"/>
                    <w:tr2bl w:val="nil"/>
                  </w:tcBorders>
                  <w:shd w:val="clear" w:color="auto" w:fill="auto"/>
                  <w:vAlign w:val="center"/>
                </w:tcPr>
                <w:p w14:paraId="2157100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cs="Times New Roman"/>
                      <w:b w:val="0"/>
                      <w:bCs w:val="0"/>
                      <w:i w:val="0"/>
                      <w:iCs w:val="0"/>
                      <w:color w:val="auto"/>
                      <w:kern w:val="0"/>
                      <w:sz w:val="21"/>
                      <w:szCs w:val="21"/>
                      <w:u w:val="none" w:color="auto"/>
                      <w:lang w:val="en-US" w:eastAsia="zh-CN" w:bidi="ar"/>
                    </w:rPr>
                  </w:pPr>
                  <w:r>
                    <w:rPr>
                      <w:rFonts w:hint="eastAsia" w:cs="Times New Roman"/>
                      <w:b w:val="0"/>
                      <w:bCs w:val="0"/>
                      <w:i w:val="0"/>
                      <w:iCs w:val="0"/>
                      <w:color w:val="auto"/>
                      <w:kern w:val="0"/>
                      <w:sz w:val="21"/>
                      <w:szCs w:val="21"/>
                      <w:u w:val="none" w:color="auto"/>
                      <w:lang w:val="en-US" w:eastAsia="zh-CN" w:bidi="ar"/>
                    </w:rPr>
                    <w:t>/</w:t>
                  </w:r>
                </w:p>
              </w:tc>
            </w:tr>
            <w:tr w14:paraId="3A92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362" w:type="dxa"/>
                  <w:tcBorders>
                    <w:tl2br w:val="nil"/>
                    <w:tr2bl w:val="nil"/>
                  </w:tcBorders>
                  <w:shd w:val="clear" w:color="auto" w:fill="auto"/>
                  <w:vAlign w:val="center"/>
                </w:tcPr>
                <w:p w14:paraId="68D3BF3B">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cs="Times New Roman"/>
                      <w:b w:val="0"/>
                      <w:bCs w:val="0"/>
                      <w:i w:val="0"/>
                      <w:iCs w:val="0"/>
                      <w:color w:val="auto"/>
                      <w:kern w:val="0"/>
                      <w:sz w:val="21"/>
                      <w:szCs w:val="21"/>
                      <w:u w:val="none" w:color="auto"/>
                      <w:lang w:val="en-US" w:eastAsia="zh-CN" w:bidi="ar"/>
                    </w:rPr>
                  </w:pPr>
                  <w:r>
                    <w:rPr>
                      <w:rFonts w:hint="eastAsia" w:cs="Times New Roman"/>
                      <w:b w:val="0"/>
                      <w:bCs w:val="0"/>
                      <w:i w:val="0"/>
                      <w:iCs w:val="0"/>
                      <w:color w:val="auto"/>
                      <w:kern w:val="0"/>
                      <w:sz w:val="21"/>
                      <w:szCs w:val="21"/>
                      <w:u w:val="none" w:color="auto"/>
                      <w:lang w:val="en-US" w:eastAsia="zh-CN" w:bidi="ar"/>
                    </w:rPr>
                    <w:t>动植物有</w:t>
                  </w:r>
                </w:p>
              </w:tc>
              <w:tc>
                <w:tcPr>
                  <w:tcW w:w="1145" w:type="dxa"/>
                  <w:tcBorders>
                    <w:tl2br w:val="nil"/>
                    <w:tr2bl w:val="nil"/>
                  </w:tcBorders>
                  <w:shd w:val="clear" w:color="auto" w:fill="auto"/>
                  <w:vAlign w:val="center"/>
                </w:tcPr>
                <w:p w14:paraId="5E057F4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mg/L</w:t>
                  </w:r>
                </w:p>
              </w:tc>
              <w:tc>
                <w:tcPr>
                  <w:tcW w:w="2144" w:type="dxa"/>
                  <w:tcBorders>
                    <w:tl2br w:val="nil"/>
                    <w:tr2bl w:val="nil"/>
                  </w:tcBorders>
                  <w:shd w:val="clear" w:color="auto" w:fill="auto"/>
                  <w:vAlign w:val="center"/>
                </w:tcPr>
                <w:p w14:paraId="38F275D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cs="Times New Roman"/>
                      <w:b w:val="0"/>
                      <w:bCs w:val="0"/>
                      <w:i w:val="0"/>
                      <w:iCs w:val="0"/>
                      <w:color w:val="auto"/>
                      <w:kern w:val="0"/>
                      <w:sz w:val="21"/>
                      <w:szCs w:val="21"/>
                      <w:u w:val="none" w:color="auto"/>
                      <w:lang w:val="en-US" w:eastAsia="zh-CN" w:bidi="ar"/>
                    </w:rPr>
                  </w:pPr>
                  <w:r>
                    <w:rPr>
                      <w:rFonts w:hint="eastAsia" w:cs="Times New Roman"/>
                      <w:b w:val="0"/>
                      <w:bCs w:val="0"/>
                      <w:i w:val="0"/>
                      <w:iCs w:val="0"/>
                      <w:color w:val="auto"/>
                      <w:kern w:val="0"/>
                      <w:sz w:val="21"/>
                      <w:szCs w:val="21"/>
                      <w:u w:val="none" w:color="auto"/>
                      <w:lang w:val="en-US" w:eastAsia="zh-CN" w:bidi="ar"/>
                    </w:rPr>
                    <w:t>20</w:t>
                  </w:r>
                </w:p>
              </w:tc>
              <w:tc>
                <w:tcPr>
                  <w:tcW w:w="2160" w:type="dxa"/>
                  <w:tcBorders>
                    <w:tl2br w:val="nil"/>
                    <w:tr2bl w:val="nil"/>
                  </w:tcBorders>
                  <w:shd w:val="clear" w:color="auto" w:fill="auto"/>
                  <w:vAlign w:val="center"/>
                </w:tcPr>
                <w:p w14:paraId="42EF0D5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cs="Times New Roman"/>
                      <w:b w:val="0"/>
                      <w:bCs w:val="0"/>
                      <w:i w:val="0"/>
                      <w:iCs w:val="0"/>
                      <w:color w:val="auto"/>
                      <w:kern w:val="0"/>
                      <w:sz w:val="21"/>
                      <w:szCs w:val="21"/>
                      <w:u w:val="none" w:color="auto"/>
                      <w:lang w:val="en-US" w:eastAsia="zh-CN" w:bidi="ar"/>
                    </w:rPr>
                  </w:pPr>
                  <w:r>
                    <w:rPr>
                      <w:rFonts w:hint="eastAsia" w:cs="Times New Roman"/>
                      <w:b w:val="0"/>
                      <w:bCs w:val="0"/>
                      <w:i w:val="0"/>
                      <w:iCs w:val="0"/>
                      <w:color w:val="auto"/>
                      <w:kern w:val="0"/>
                      <w:sz w:val="21"/>
                      <w:szCs w:val="21"/>
                      <w:u w:val="none" w:color="auto"/>
                      <w:lang w:val="en-US" w:eastAsia="zh-CN" w:bidi="ar"/>
                    </w:rPr>
                    <w:t>/</w:t>
                  </w:r>
                </w:p>
              </w:tc>
              <w:tc>
                <w:tcPr>
                  <w:tcW w:w="1849" w:type="dxa"/>
                  <w:tcBorders>
                    <w:tl2br w:val="nil"/>
                    <w:tr2bl w:val="nil"/>
                  </w:tcBorders>
                  <w:shd w:val="clear" w:color="auto" w:fill="auto"/>
                  <w:vAlign w:val="center"/>
                </w:tcPr>
                <w:p w14:paraId="192F0D0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cs="Times New Roman"/>
                      <w:b w:val="0"/>
                      <w:bCs w:val="0"/>
                      <w:i w:val="0"/>
                      <w:iCs w:val="0"/>
                      <w:color w:val="auto"/>
                      <w:kern w:val="0"/>
                      <w:sz w:val="21"/>
                      <w:szCs w:val="21"/>
                      <w:u w:val="none" w:color="auto"/>
                      <w:lang w:val="en-US" w:eastAsia="zh-CN" w:bidi="ar"/>
                    </w:rPr>
                  </w:pPr>
                  <w:r>
                    <w:rPr>
                      <w:rFonts w:hint="eastAsia" w:cs="Times New Roman"/>
                      <w:b w:val="0"/>
                      <w:bCs w:val="0"/>
                      <w:i w:val="0"/>
                      <w:iCs w:val="0"/>
                      <w:color w:val="auto"/>
                      <w:kern w:val="0"/>
                      <w:sz w:val="21"/>
                      <w:szCs w:val="21"/>
                      <w:u w:val="none" w:color="auto"/>
                      <w:lang w:val="en-US" w:eastAsia="zh-CN" w:bidi="ar"/>
                    </w:rPr>
                    <w:t>/</w:t>
                  </w:r>
                </w:p>
              </w:tc>
            </w:tr>
          </w:tbl>
          <w:p w14:paraId="0B178E94">
            <w:pPr>
              <w:spacing w:line="480" w:lineRule="exact"/>
              <w:ind w:firstLine="480" w:firstLineChars="200"/>
              <w:rPr>
                <w:rFonts w:hint="eastAsia" w:hAnsi="宋体"/>
                <w:color w:val="auto"/>
                <w:sz w:val="24"/>
                <w:u w:val="none" w:color="auto"/>
                <w:lang w:val="en-US" w:eastAsia="zh-CN"/>
              </w:rPr>
            </w:pPr>
            <w:r>
              <w:rPr>
                <w:rFonts w:hint="eastAsia" w:hAnsi="宋体"/>
                <w:color w:val="auto"/>
                <w:sz w:val="24"/>
                <w:u w:val="none" w:color="auto"/>
                <w:lang w:val="en-US" w:eastAsia="zh-CN"/>
              </w:rPr>
              <w:t>由上表可见，各精神病专科医院各污染物的产生浓度基本在《医院污水处理技术指南》（环发〔2003〕197号）的浓度范围内，考虑不同医院管理水平的差异，本次评价</w:t>
            </w:r>
            <w:r>
              <w:rPr>
                <w:rFonts w:ascii="Times New Roman" w:hAnsi="Times New Roman"/>
                <w:color w:val="auto"/>
                <w:sz w:val="24"/>
                <w:u w:val="none" w:color="auto"/>
              </w:rPr>
              <w:t>pH</w:t>
            </w:r>
            <w:r>
              <w:rPr>
                <w:rFonts w:ascii="Times New Roman" w:hAnsi="宋体"/>
                <w:color w:val="auto"/>
                <w:sz w:val="24"/>
                <w:u w:val="none" w:color="auto"/>
              </w:rPr>
              <w:t>值、</w:t>
            </w:r>
            <w:r>
              <w:rPr>
                <w:rFonts w:ascii="Times New Roman" w:hAnsi="Times New Roman"/>
                <w:color w:val="auto"/>
                <w:sz w:val="24"/>
                <w:u w:val="none" w:color="auto"/>
              </w:rPr>
              <w:t>SS</w:t>
            </w:r>
            <w:r>
              <w:rPr>
                <w:rFonts w:ascii="Times New Roman" w:hAnsi="宋体"/>
                <w:color w:val="auto"/>
                <w:sz w:val="24"/>
                <w:u w:val="none" w:color="auto"/>
              </w:rPr>
              <w:t>、</w:t>
            </w:r>
            <w:r>
              <w:rPr>
                <w:rFonts w:ascii="Times New Roman" w:hAnsi="Times New Roman"/>
                <w:color w:val="auto"/>
                <w:sz w:val="24"/>
                <w:u w:val="none" w:color="auto"/>
              </w:rPr>
              <w:t>COD</w:t>
            </w:r>
            <w:r>
              <w:rPr>
                <w:rFonts w:ascii="Times New Roman" w:hAnsi="Times New Roman"/>
                <w:color w:val="auto"/>
                <w:sz w:val="24"/>
                <w:u w:val="none" w:color="auto"/>
                <w:vertAlign w:val="subscript"/>
              </w:rPr>
              <w:t>cr</w:t>
            </w:r>
            <w:r>
              <w:rPr>
                <w:rFonts w:ascii="Times New Roman" w:hAnsi="宋体"/>
                <w:color w:val="auto"/>
                <w:sz w:val="24"/>
                <w:u w:val="none" w:color="auto"/>
              </w:rPr>
              <w:t>、</w:t>
            </w:r>
            <w:r>
              <w:rPr>
                <w:rFonts w:ascii="Times New Roman" w:hAnsi="Times New Roman"/>
                <w:color w:val="auto"/>
                <w:sz w:val="24"/>
                <w:u w:val="none" w:color="auto"/>
              </w:rPr>
              <w:t>BOD</w:t>
            </w:r>
            <w:r>
              <w:rPr>
                <w:rFonts w:ascii="Times New Roman" w:hAnsi="Times New Roman"/>
                <w:color w:val="auto"/>
                <w:sz w:val="24"/>
                <w:u w:val="none" w:color="auto"/>
                <w:vertAlign w:val="subscript"/>
              </w:rPr>
              <w:t>5</w:t>
            </w:r>
            <w:r>
              <w:rPr>
                <w:rFonts w:ascii="Times New Roman" w:hAnsi="宋体"/>
                <w:color w:val="auto"/>
                <w:sz w:val="24"/>
                <w:u w:val="none" w:color="auto"/>
              </w:rPr>
              <w:t>、氨氮、粪大肠菌群</w:t>
            </w:r>
            <w:r>
              <w:rPr>
                <w:rFonts w:hint="eastAsia" w:hAnsi="宋体"/>
                <w:color w:val="auto"/>
                <w:sz w:val="24"/>
                <w:u w:val="none" w:color="auto"/>
                <w:lang w:val="en-US" w:eastAsia="zh-CN"/>
              </w:rPr>
              <w:t>的浓度取值按《医院污水处理技术指南》（环发〔2003〕197号）给出的均值确定，其他污染物的监测结果以验收单位的最大监测结果确定。具体取值如下：</w:t>
            </w:r>
          </w:p>
          <w:p w14:paraId="0D09F271">
            <w:pPr>
              <w:pStyle w:val="10"/>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firstLine="0" w:firstLineChars="0"/>
              <w:jc w:val="center"/>
              <w:textAlignment w:val="auto"/>
              <w:rPr>
                <w:rFonts w:hint="default" w:ascii="黑体" w:hAnsi="黑体" w:eastAsia="黑体"/>
                <w:b w:val="0"/>
                <w:color w:val="auto"/>
                <w:u w:val="none" w:color="auto"/>
                <w:lang w:val="en-US" w:eastAsia="zh-CN"/>
              </w:rPr>
            </w:pPr>
            <w:r>
              <w:rPr>
                <w:rFonts w:hint="eastAsia" w:ascii="黑体" w:hAnsi="黑体" w:eastAsia="黑体"/>
                <w:b w:val="0"/>
                <w:color w:val="auto"/>
                <w:u w:val="none" w:color="auto"/>
                <w:lang w:val="en-US" w:eastAsia="zh-CN"/>
              </w:rPr>
              <w:t>项目医疗废水产生情况表</w:t>
            </w:r>
          </w:p>
          <w:tbl>
            <w:tblPr>
              <w:tblStyle w:val="22"/>
              <w:tblW w:w="81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83"/>
              <w:gridCol w:w="1935"/>
              <w:gridCol w:w="2265"/>
              <w:gridCol w:w="2415"/>
            </w:tblGrid>
            <w:tr w14:paraId="42688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jc w:val="center"/>
              </w:trPr>
              <w:tc>
                <w:tcPr>
                  <w:tcW w:w="1583" w:type="dxa"/>
                  <w:tcBorders>
                    <w:top w:val="single" w:color="000000" w:sz="8" w:space="0"/>
                    <w:left w:val="single" w:color="auto" w:sz="0" w:space="0"/>
                    <w:bottom w:val="single" w:color="000000" w:sz="4" w:space="0"/>
                    <w:right w:val="single" w:color="000000" w:sz="4" w:space="0"/>
                  </w:tcBorders>
                  <w:shd w:val="clear" w:color="auto" w:fill="auto"/>
                  <w:vAlign w:val="center"/>
                </w:tcPr>
                <w:p w14:paraId="1FEEB08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auto"/>
                      <w:sz w:val="22"/>
                      <w:szCs w:val="22"/>
                      <w:u w:val="none" w:color="auto"/>
                    </w:rPr>
                  </w:pPr>
                  <w:r>
                    <w:rPr>
                      <w:rFonts w:hint="eastAsia" w:ascii="宋体" w:hAnsi="宋体" w:eastAsia="宋体" w:cs="宋体"/>
                      <w:i w:val="0"/>
                      <w:iCs w:val="0"/>
                      <w:color w:val="auto"/>
                      <w:kern w:val="0"/>
                      <w:sz w:val="22"/>
                      <w:szCs w:val="22"/>
                      <w:u w:val="none" w:color="auto"/>
                      <w:lang w:val="en-US" w:eastAsia="zh-CN" w:bidi="ar"/>
                    </w:rPr>
                    <w:t>序号</w:t>
                  </w:r>
                </w:p>
              </w:tc>
              <w:tc>
                <w:tcPr>
                  <w:tcW w:w="193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BFDA53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项目</w:t>
                  </w:r>
                </w:p>
              </w:tc>
              <w:tc>
                <w:tcPr>
                  <w:tcW w:w="226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01BE66E">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浓度</w:t>
                  </w:r>
                  <w:r>
                    <w:rPr>
                      <w:rFonts w:hint="eastAsia" w:ascii="宋体" w:hAnsi="宋体" w:cs="宋体"/>
                      <w:i w:val="0"/>
                      <w:iCs w:val="0"/>
                      <w:color w:val="auto"/>
                      <w:kern w:val="0"/>
                      <w:sz w:val="21"/>
                      <w:szCs w:val="21"/>
                      <w:u w:val="none" w:color="auto"/>
                      <w:lang w:val="en-US" w:eastAsia="zh-CN" w:bidi="ar"/>
                    </w:rPr>
                    <w:t>（</w:t>
                  </w:r>
                  <w:r>
                    <w:rPr>
                      <w:rFonts w:hint="default" w:ascii="Times New Roman" w:hAnsi="Times New Roman" w:eastAsia="宋体" w:cs="Times New Roman"/>
                      <w:i w:val="0"/>
                      <w:iCs w:val="0"/>
                      <w:color w:val="auto"/>
                      <w:kern w:val="0"/>
                      <w:sz w:val="21"/>
                      <w:szCs w:val="21"/>
                      <w:u w:val="none" w:color="auto"/>
                      <w:lang w:val="en-US" w:eastAsia="zh-CN" w:bidi="ar"/>
                    </w:rPr>
                    <w:t>mg/L)</w:t>
                  </w:r>
                </w:p>
              </w:tc>
              <w:tc>
                <w:tcPr>
                  <w:tcW w:w="2415"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51DE2BB">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本项目产生量（</w:t>
                  </w:r>
                  <w:r>
                    <w:rPr>
                      <w:rFonts w:hint="default" w:ascii="Times New Roman" w:hAnsi="Times New Roman" w:eastAsia="宋体" w:cs="Times New Roman"/>
                      <w:i w:val="0"/>
                      <w:iCs w:val="0"/>
                      <w:color w:val="auto"/>
                      <w:kern w:val="0"/>
                      <w:sz w:val="21"/>
                      <w:szCs w:val="21"/>
                      <w:u w:val="none" w:color="auto"/>
                      <w:lang w:val="en-US" w:eastAsia="zh-CN" w:bidi="ar"/>
                    </w:rPr>
                    <w:t>t/a</w:t>
                  </w:r>
                  <w:r>
                    <w:rPr>
                      <w:rFonts w:hint="eastAsia" w:ascii="宋体" w:hAnsi="宋体" w:eastAsia="宋体" w:cs="宋体"/>
                      <w:i w:val="0"/>
                      <w:iCs w:val="0"/>
                      <w:color w:val="auto"/>
                      <w:kern w:val="0"/>
                      <w:sz w:val="21"/>
                      <w:szCs w:val="21"/>
                      <w:u w:val="none" w:color="auto"/>
                      <w:lang w:val="en-US" w:eastAsia="zh-CN" w:bidi="ar"/>
                    </w:rPr>
                    <w:t>）</w:t>
                  </w:r>
                </w:p>
              </w:tc>
            </w:tr>
            <w:tr w14:paraId="3FCA4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5D62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1</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6D91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pH</w:t>
                  </w:r>
                  <w:r>
                    <w:rPr>
                      <w:rFonts w:hint="eastAsia" w:ascii="Times New Roman" w:hAnsi="Times New Roman" w:eastAsia="宋体" w:cs="Times New Roman"/>
                      <w:i w:val="0"/>
                      <w:iCs w:val="0"/>
                      <w:color w:val="auto"/>
                      <w:kern w:val="0"/>
                      <w:sz w:val="21"/>
                      <w:szCs w:val="21"/>
                      <w:u w:val="none" w:color="auto"/>
                      <w:lang w:val="en-US" w:eastAsia="zh-CN" w:bidi="ar"/>
                    </w:rPr>
                    <w:t>值</w:t>
                  </w: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CDB1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6~9</w:t>
                  </w:r>
                </w:p>
              </w:tc>
              <w:tc>
                <w:tcPr>
                  <w:tcW w:w="241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A8B005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w:t>
                  </w:r>
                </w:p>
              </w:tc>
            </w:tr>
            <w:tr w14:paraId="49EAE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jc w:val="center"/>
              </w:trPr>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C0663">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2</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35E0B">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COD</w:t>
                  </w:r>
                  <w:r>
                    <w:rPr>
                      <w:rFonts w:hint="default" w:ascii="Times New Roman" w:hAnsi="Times New Roman" w:eastAsia="宋体" w:cs="Times New Roman"/>
                      <w:i w:val="0"/>
                      <w:iCs w:val="0"/>
                      <w:color w:val="auto"/>
                      <w:kern w:val="0"/>
                      <w:sz w:val="21"/>
                      <w:szCs w:val="21"/>
                      <w:u w:val="none" w:color="auto"/>
                      <w:vertAlign w:val="subscript"/>
                      <w:lang w:val="en-US" w:eastAsia="zh-CN" w:bidi="ar"/>
                    </w:rPr>
                    <w:t>Cr</w:t>
                  </w: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79179">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250</w:t>
                  </w:r>
                </w:p>
              </w:tc>
              <w:tc>
                <w:tcPr>
                  <w:tcW w:w="241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D434F3F">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0000FF"/>
                      <w:kern w:val="0"/>
                      <w:sz w:val="21"/>
                      <w:szCs w:val="21"/>
                      <w:u w:val="none" w:color="auto"/>
                      <w:lang w:val="en-US" w:eastAsia="zh-CN" w:bidi="ar"/>
                    </w:rPr>
                  </w:pPr>
                  <w:r>
                    <w:rPr>
                      <w:rFonts w:hint="default" w:ascii="Times New Roman" w:hAnsi="Times New Roman" w:eastAsia="宋体" w:cs="Times New Roman"/>
                      <w:i w:val="0"/>
                      <w:iCs w:val="0"/>
                      <w:color w:val="0000FF"/>
                      <w:kern w:val="0"/>
                      <w:sz w:val="21"/>
                      <w:szCs w:val="21"/>
                      <w:u w:val="none" w:color="auto"/>
                      <w:lang w:val="en-US" w:eastAsia="zh-CN" w:bidi="ar"/>
                    </w:rPr>
                    <w:t>7.834</w:t>
                  </w:r>
                </w:p>
              </w:tc>
            </w:tr>
            <w:tr w14:paraId="7CBDD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B73D0">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3</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ABB6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BOD</w:t>
                  </w:r>
                  <w:r>
                    <w:rPr>
                      <w:rFonts w:hint="default" w:ascii="Times New Roman" w:hAnsi="Times New Roman" w:eastAsia="宋体" w:cs="Times New Roman"/>
                      <w:i w:val="0"/>
                      <w:iCs w:val="0"/>
                      <w:color w:val="auto"/>
                      <w:kern w:val="0"/>
                      <w:sz w:val="21"/>
                      <w:szCs w:val="21"/>
                      <w:u w:val="none" w:color="auto"/>
                      <w:vertAlign w:val="subscript"/>
                      <w:lang w:val="en-US" w:eastAsia="zh-CN" w:bidi="ar"/>
                    </w:rPr>
                    <w:t>5</w:t>
                  </w: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03DF0">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100</w:t>
                  </w:r>
                </w:p>
              </w:tc>
              <w:tc>
                <w:tcPr>
                  <w:tcW w:w="241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B0C367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0000FF"/>
                      <w:kern w:val="0"/>
                      <w:sz w:val="21"/>
                      <w:szCs w:val="21"/>
                      <w:u w:val="none" w:color="auto"/>
                      <w:lang w:val="en-US" w:eastAsia="zh-CN" w:bidi="ar"/>
                    </w:rPr>
                  </w:pPr>
                  <w:r>
                    <w:rPr>
                      <w:rFonts w:hint="default" w:ascii="Times New Roman" w:hAnsi="Times New Roman" w:eastAsia="宋体" w:cs="Times New Roman"/>
                      <w:i w:val="0"/>
                      <w:iCs w:val="0"/>
                      <w:color w:val="0000FF"/>
                      <w:kern w:val="0"/>
                      <w:sz w:val="21"/>
                      <w:szCs w:val="21"/>
                      <w:u w:val="none" w:color="auto"/>
                      <w:lang w:val="en-US" w:eastAsia="zh-CN" w:bidi="ar"/>
                    </w:rPr>
                    <w:t>3.134</w:t>
                  </w:r>
                </w:p>
              </w:tc>
            </w:tr>
            <w:tr w14:paraId="4E027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FC44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4</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D60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SS</w:t>
                  </w: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C8A6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80</w:t>
                  </w:r>
                </w:p>
              </w:tc>
              <w:tc>
                <w:tcPr>
                  <w:tcW w:w="241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A0ABB4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0000FF"/>
                      <w:kern w:val="0"/>
                      <w:sz w:val="21"/>
                      <w:szCs w:val="21"/>
                      <w:u w:val="none" w:color="auto"/>
                      <w:lang w:val="en-US" w:eastAsia="zh-CN" w:bidi="ar"/>
                    </w:rPr>
                  </w:pPr>
                  <w:r>
                    <w:rPr>
                      <w:rFonts w:hint="default" w:ascii="Times New Roman" w:hAnsi="Times New Roman" w:eastAsia="宋体" w:cs="Times New Roman"/>
                      <w:i w:val="0"/>
                      <w:iCs w:val="0"/>
                      <w:color w:val="0000FF"/>
                      <w:kern w:val="0"/>
                      <w:sz w:val="21"/>
                      <w:szCs w:val="21"/>
                      <w:u w:val="none" w:color="auto"/>
                      <w:lang w:val="en-US" w:eastAsia="zh-CN" w:bidi="ar"/>
                    </w:rPr>
                    <w:t>2.507</w:t>
                  </w:r>
                </w:p>
              </w:tc>
            </w:tr>
            <w:tr w14:paraId="7DAEC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EBFEF">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5</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60EB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NH</w:t>
                  </w:r>
                  <w:r>
                    <w:rPr>
                      <w:rFonts w:hint="default" w:ascii="Times New Roman" w:hAnsi="Times New Roman" w:eastAsia="宋体" w:cs="Times New Roman"/>
                      <w:i w:val="0"/>
                      <w:iCs w:val="0"/>
                      <w:color w:val="auto"/>
                      <w:kern w:val="0"/>
                      <w:sz w:val="21"/>
                      <w:szCs w:val="21"/>
                      <w:u w:val="none" w:color="auto"/>
                      <w:vertAlign w:val="subscript"/>
                      <w:lang w:val="en-US" w:eastAsia="zh-CN" w:bidi="ar"/>
                    </w:rPr>
                    <w:t>3</w:t>
                  </w:r>
                  <w:r>
                    <w:rPr>
                      <w:rFonts w:hint="default" w:ascii="Times New Roman" w:hAnsi="Times New Roman" w:eastAsia="宋体" w:cs="Times New Roman"/>
                      <w:i w:val="0"/>
                      <w:iCs w:val="0"/>
                      <w:color w:val="auto"/>
                      <w:kern w:val="0"/>
                      <w:sz w:val="21"/>
                      <w:szCs w:val="21"/>
                      <w:u w:val="none" w:color="auto"/>
                      <w:lang w:val="en-US" w:eastAsia="zh-CN" w:bidi="ar"/>
                    </w:rPr>
                    <w:t>-N</w:t>
                  </w: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9DB4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30</w:t>
                  </w:r>
                </w:p>
              </w:tc>
              <w:tc>
                <w:tcPr>
                  <w:tcW w:w="241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49395AD">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0000FF"/>
                      <w:kern w:val="0"/>
                      <w:sz w:val="21"/>
                      <w:szCs w:val="21"/>
                      <w:u w:val="none" w:color="auto"/>
                      <w:lang w:val="en-US" w:eastAsia="zh-CN" w:bidi="ar"/>
                    </w:rPr>
                  </w:pPr>
                  <w:r>
                    <w:rPr>
                      <w:rFonts w:hint="default" w:ascii="Times New Roman" w:hAnsi="Times New Roman" w:eastAsia="宋体" w:cs="Times New Roman"/>
                      <w:i w:val="0"/>
                      <w:iCs w:val="0"/>
                      <w:color w:val="0000FF"/>
                      <w:kern w:val="0"/>
                      <w:sz w:val="21"/>
                      <w:szCs w:val="21"/>
                      <w:u w:val="none" w:color="auto"/>
                      <w:lang w:val="en-US" w:eastAsia="zh-CN" w:bidi="ar"/>
                    </w:rPr>
                    <w:t>0.940</w:t>
                  </w:r>
                </w:p>
              </w:tc>
            </w:tr>
            <w:tr w14:paraId="5901F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9410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6</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BE8F3">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动植物油</w:t>
                  </w: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9F3E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1.24</w:t>
                  </w:r>
                </w:p>
              </w:tc>
              <w:tc>
                <w:tcPr>
                  <w:tcW w:w="241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D0A3AC0">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0000FF"/>
                      <w:kern w:val="0"/>
                      <w:sz w:val="21"/>
                      <w:szCs w:val="21"/>
                      <w:u w:val="none" w:color="auto"/>
                      <w:lang w:val="en-US" w:eastAsia="zh-CN" w:bidi="ar"/>
                    </w:rPr>
                  </w:pPr>
                  <w:r>
                    <w:rPr>
                      <w:rFonts w:hint="default" w:ascii="Times New Roman" w:hAnsi="Times New Roman" w:eastAsia="宋体" w:cs="Times New Roman"/>
                      <w:i w:val="0"/>
                      <w:iCs w:val="0"/>
                      <w:color w:val="0000FF"/>
                      <w:kern w:val="0"/>
                      <w:sz w:val="21"/>
                      <w:szCs w:val="21"/>
                      <w:u w:val="none" w:color="auto"/>
                      <w:lang w:val="en-US" w:eastAsia="zh-CN" w:bidi="ar"/>
                    </w:rPr>
                    <w:t>0.039</w:t>
                  </w:r>
                </w:p>
              </w:tc>
            </w:tr>
            <w:tr w14:paraId="62AB0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644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7</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C9A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氰化物</w:t>
                  </w: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8BF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0.083</w:t>
                  </w:r>
                </w:p>
              </w:tc>
              <w:tc>
                <w:tcPr>
                  <w:tcW w:w="241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86F824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0000FF"/>
                      <w:kern w:val="0"/>
                      <w:sz w:val="21"/>
                      <w:szCs w:val="21"/>
                      <w:u w:val="none" w:color="auto"/>
                      <w:lang w:val="en-US" w:eastAsia="zh-CN" w:bidi="ar"/>
                    </w:rPr>
                  </w:pPr>
                  <w:r>
                    <w:rPr>
                      <w:rFonts w:hint="default" w:ascii="Times New Roman" w:hAnsi="Times New Roman" w:eastAsia="宋体" w:cs="Times New Roman"/>
                      <w:i w:val="0"/>
                      <w:iCs w:val="0"/>
                      <w:color w:val="0000FF"/>
                      <w:kern w:val="0"/>
                      <w:sz w:val="21"/>
                      <w:szCs w:val="21"/>
                      <w:u w:val="none" w:color="auto"/>
                      <w:lang w:val="en-US" w:eastAsia="zh-CN" w:bidi="ar"/>
                    </w:rPr>
                    <w:t>0.003</w:t>
                  </w:r>
                </w:p>
              </w:tc>
            </w:tr>
            <w:tr w14:paraId="614C6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B6BE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8</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C19F0">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LAS</w:t>
                  </w: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21DA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1.75</w:t>
                  </w:r>
                </w:p>
              </w:tc>
              <w:tc>
                <w:tcPr>
                  <w:tcW w:w="241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3EB7DD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0000FF"/>
                      <w:kern w:val="0"/>
                      <w:sz w:val="21"/>
                      <w:szCs w:val="21"/>
                      <w:u w:val="none" w:color="auto"/>
                      <w:lang w:val="en-US" w:eastAsia="zh-CN" w:bidi="ar"/>
                    </w:rPr>
                  </w:pPr>
                  <w:r>
                    <w:rPr>
                      <w:rFonts w:hint="default" w:ascii="Times New Roman" w:hAnsi="Times New Roman" w:eastAsia="宋体" w:cs="Times New Roman"/>
                      <w:i w:val="0"/>
                      <w:iCs w:val="0"/>
                      <w:color w:val="0000FF"/>
                      <w:kern w:val="0"/>
                      <w:sz w:val="21"/>
                      <w:szCs w:val="21"/>
                      <w:u w:val="none" w:color="auto"/>
                      <w:lang w:val="en-US" w:eastAsia="zh-CN" w:bidi="ar"/>
                    </w:rPr>
                    <w:t>0.055</w:t>
                  </w:r>
                </w:p>
              </w:tc>
            </w:tr>
            <w:tr w14:paraId="50715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560A7">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9</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5B2F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挥发酚</w:t>
                  </w: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9DD5F">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0.0021</w:t>
                  </w:r>
                </w:p>
              </w:tc>
              <w:tc>
                <w:tcPr>
                  <w:tcW w:w="241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2C6258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Times New Roman" w:hAnsi="Times New Roman" w:eastAsia="宋体" w:cs="Times New Roman"/>
                      <w:i w:val="0"/>
                      <w:iCs w:val="0"/>
                      <w:color w:val="0000FF"/>
                      <w:kern w:val="0"/>
                      <w:sz w:val="21"/>
                      <w:szCs w:val="21"/>
                      <w:u w:val="none" w:color="auto"/>
                      <w:lang w:val="en-US" w:eastAsia="zh-CN" w:bidi="ar"/>
                    </w:rPr>
                  </w:pPr>
                  <w:r>
                    <w:rPr>
                      <w:rFonts w:hint="default" w:ascii="Times New Roman" w:hAnsi="Times New Roman" w:eastAsia="宋体" w:cs="Times New Roman"/>
                      <w:i w:val="0"/>
                      <w:iCs w:val="0"/>
                      <w:color w:val="0000FF"/>
                      <w:kern w:val="0"/>
                      <w:sz w:val="21"/>
                      <w:szCs w:val="21"/>
                      <w:u w:val="none" w:color="auto"/>
                      <w:lang w:val="en-US" w:eastAsia="zh-CN" w:bidi="ar"/>
                    </w:rPr>
                    <w:t>0.0001</w:t>
                  </w:r>
                </w:p>
              </w:tc>
            </w:tr>
            <w:tr w14:paraId="4452B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79E2C">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10</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3F68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动植物油</w:t>
                  </w: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61B0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20</w:t>
                  </w:r>
                </w:p>
              </w:tc>
              <w:tc>
                <w:tcPr>
                  <w:tcW w:w="241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AE980DD">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0000FF"/>
                      <w:kern w:val="0"/>
                      <w:sz w:val="21"/>
                      <w:szCs w:val="21"/>
                      <w:u w:val="none" w:color="auto"/>
                      <w:lang w:val="en-US" w:eastAsia="zh-CN" w:bidi="ar"/>
                    </w:rPr>
                  </w:pPr>
                  <w:r>
                    <w:rPr>
                      <w:rFonts w:hint="default" w:ascii="Times New Roman" w:hAnsi="Times New Roman" w:eastAsia="宋体" w:cs="Times New Roman"/>
                      <w:i w:val="0"/>
                      <w:iCs w:val="0"/>
                      <w:color w:val="0000FF"/>
                      <w:kern w:val="0"/>
                      <w:sz w:val="21"/>
                      <w:szCs w:val="21"/>
                      <w:u w:val="none" w:color="auto"/>
                      <w:lang w:val="en-US" w:eastAsia="zh-CN" w:bidi="ar"/>
                    </w:rPr>
                    <w:t>0.627</w:t>
                  </w:r>
                </w:p>
              </w:tc>
            </w:tr>
            <w:tr w14:paraId="101F0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583" w:type="dxa"/>
                  <w:tcBorders>
                    <w:top w:val="single" w:color="000000" w:sz="4" w:space="0"/>
                    <w:left w:val="single" w:color="000000" w:sz="4" w:space="0"/>
                    <w:bottom w:val="single" w:color="000000" w:sz="8" w:space="0"/>
                    <w:right w:val="single" w:color="000000" w:sz="4" w:space="0"/>
                  </w:tcBorders>
                  <w:shd w:val="clear" w:color="auto" w:fill="auto"/>
                  <w:vAlign w:val="center"/>
                </w:tcPr>
                <w:p w14:paraId="0EA4953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cs="宋体"/>
                      <w:i w:val="0"/>
                      <w:iCs w:val="0"/>
                      <w:color w:val="auto"/>
                      <w:kern w:val="0"/>
                      <w:sz w:val="22"/>
                      <w:szCs w:val="22"/>
                      <w:u w:val="none" w:color="auto"/>
                      <w:lang w:val="en-US" w:eastAsia="zh-CN" w:bidi="ar"/>
                    </w:rPr>
                  </w:pPr>
                  <w:r>
                    <w:rPr>
                      <w:rFonts w:hint="eastAsia" w:ascii="宋体" w:hAnsi="宋体" w:cs="宋体"/>
                      <w:i w:val="0"/>
                      <w:iCs w:val="0"/>
                      <w:color w:val="auto"/>
                      <w:kern w:val="0"/>
                      <w:sz w:val="22"/>
                      <w:szCs w:val="22"/>
                      <w:u w:val="none" w:color="auto"/>
                      <w:lang w:val="en-US" w:eastAsia="zh-CN" w:bidi="ar"/>
                    </w:rPr>
                    <w:t>11</w:t>
                  </w:r>
                </w:p>
              </w:tc>
              <w:tc>
                <w:tcPr>
                  <w:tcW w:w="193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28097C17">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cs="Times New Roman"/>
                      <w:b w:val="0"/>
                      <w:bCs w:val="0"/>
                      <w:i w:val="0"/>
                      <w:iCs w:val="0"/>
                      <w:color w:val="auto"/>
                      <w:kern w:val="0"/>
                      <w:sz w:val="21"/>
                      <w:szCs w:val="21"/>
                      <w:u w:val="none" w:color="auto"/>
                      <w:lang w:val="en-US" w:eastAsia="zh-CN" w:bidi="ar"/>
                    </w:rPr>
                  </w:pPr>
                  <w:r>
                    <w:rPr>
                      <w:rFonts w:hint="eastAsia" w:ascii="宋体" w:hAnsi="宋体" w:eastAsia="宋体" w:cs="宋体"/>
                      <w:i w:val="0"/>
                      <w:iCs w:val="0"/>
                      <w:color w:val="auto"/>
                      <w:kern w:val="0"/>
                      <w:sz w:val="21"/>
                      <w:szCs w:val="21"/>
                      <w:u w:val="none" w:color="auto"/>
                      <w:lang w:val="en-US" w:eastAsia="zh-CN" w:bidi="ar"/>
                    </w:rPr>
                    <w:t>粪大肠菌群</w:t>
                  </w:r>
                  <w:r>
                    <w:rPr>
                      <w:rFonts w:hint="eastAsia" w:ascii="宋体" w:hAnsi="宋体" w:cs="宋体"/>
                      <w:i w:val="0"/>
                      <w:iCs w:val="0"/>
                      <w:color w:val="auto"/>
                      <w:kern w:val="0"/>
                      <w:sz w:val="21"/>
                      <w:szCs w:val="21"/>
                      <w:u w:val="none" w:color="auto"/>
                      <w:lang w:val="en-US" w:eastAsia="zh-CN" w:bidi="ar"/>
                    </w:rPr>
                    <w:t>（</w:t>
                  </w:r>
                  <w:r>
                    <w:rPr>
                      <w:rFonts w:hint="eastAsia" w:ascii="宋体" w:hAnsi="宋体" w:eastAsia="宋体" w:cs="宋体"/>
                      <w:i w:val="0"/>
                      <w:iCs w:val="0"/>
                      <w:color w:val="auto"/>
                      <w:kern w:val="0"/>
                      <w:sz w:val="21"/>
                      <w:szCs w:val="21"/>
                      <w:u w:val="none" w:color="auto"/>
                      <w:lang w:val="en-US" w:eastAsia="zh-CN" w:bidi="ar"/>
                    </w:rPr>
                    <w:t>个</w:t>
                  </w:r>
                  <w:r>
                    <w:rPr>
                      <w:rFonts w:hint="default" w:ascii="Times New Roman" w:hAnsi="Times New Roman" w:eastAsia="宋体" w:cs="Times New Roman"/>
                      <w:i w:val="0"/>
                      <w:iCs w:val="0"/>
                      <w:color w:val="auto"/>
                      <w:kern w:val="0"/>
                      <w:sz w:val="21"/>
                      <w:szCs w:val="21"/>
                      <w:u w:val="none" w:color="auto"/>
                      <w:lang w:val="en-US" w:eastAsia="zh-CN" w:bidi="ar"/>
                    </w:rPr>
                    <w:t>/L)</w:t>
                  </w:r>
                </w:p>
              </w:tc>
              <w:tc>
                <w:tcPr>
                  <w:tcW w:w="226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7711453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1.6×10</w:t>
                  </w:r>
                  <w:r>
                    <w:rPr>
                      <w:rStyle w:val="51"/>
                      <w:rFonts w:eastAsia="宋体"/>
                      <w:color w:val="auto"/>
                      <w:u w:val="none" w:color="auto"/>
                      <w:lang w:val="en-US" w:eastAsia="zh-CN" w:bidi="ar"/>
                    </w:rPr>
                    <w:t>8</w:t>
                  </w:r>
                </w:p>
              </w:tc>
              <w:tc>
                <w:tcPr>
                  <w:tcW w:w="2415" w:type="dxa"/>
                  <w:tcBorders>
                    <w:top w:val="single" w:color="000000" w:sz="4" w:space="0"/>
                    <w:left w:val="single" w:color="000000" w:sz="4" w:space="0"/>
                    <w:bottom w:val="single" w:color="000000" w:sz="8" w:space="0"/>
                    <w:right w:val="single" w:color="000000" w:sz="8" w:space="0"/>
                  </w:tcBorders>
                  <w:shd w:val="clear" w:color="auto" w:fill="auto"/>
                  <w:vAlign w:val="center"/>
                </w:tcPr>
                <w:p w14:paraId="39D2871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cs="Times New Roman"/>
                      <w:i w:val="0"/>
                      <w:iCs w:val="0"/>
                      <w:color w:val="auto"/>
                      <w:kern w:val="0"/>
                      <w:sz w:val="21"/>
                      <w:szCs w:val="21"/>
                      <w:u w:val="none" w:color="auto"/>
                      <w:lang w:val="en-US" w:eastAsia="zh-CN" w:bidi="ar"/>
                    </w:rPr>
                  </w:pPr>
                  <w:r>
                    <w:rPr>
                      <w:rFonts w:hint="eastAsia" w:cs="Times New Roman"/>
                      <w:i w:val="0"/>
                      <w:iCs w:val="0"/>
                      <w:color w:val="auto"/>
                      <w:sz w:val="21"/>
                      <w:szCs w:val="21"/>
                      <w:u w:val="none" w:color="auto"/>
                      <w:lang w:val="en-US" w:eastAsia="zh-CN"/>
                    </w:rPr>
                    <w:t>/</w:t>
                  </w:r>
                </w:p>
              </w:tc>
            </w:tr>
          </w:tbl>
          <w:p w14:paraId="7DB3E55A">
            <w:pPr>
              <w:spacing w:line="480" w:lineRule="exact"/>
              <w:ind w:firstLine="480" w:firstLineChars="200"/>
              <w:rPr>
                <w:rFonts w:hint="default" w:ascii="Times New Roman" w:hAnsi="宋体" w:eastAsia="宋体"/>
                <w:color w:val="auto"/>
                <w:sz w:val="24"/>
                <w:u w:val="none" w:color="auto"/>
                <w:lang w:val="en-US" w:eastAsia="zh-CN"/>
              </w:rPr>
            </w:pPr>
            <w:r>
              <w:rPr>
                <w:rFonts w:hint="eastAsia" w:ascii="Times New Roman" w:hAnsi="宋体"/>
                <w:color w:val="auto"/>
                <w:sz w:val="24"/>
                <w:u w:val="none" w:color="auto"/>
                <w:lang w:eastAsia="zh-CN"/>
              </w:rPr>
              <w:t>（</w:t>
            </w:r>
            <w:r>
              <w:rPr>
                <w:rFonts w:hint="eastAsia" w:hAnsi="宋体"/>
                <w:color w:val="auto"/>
                <w:sz w:val="24"/>
                <w:u w:val="none" w:color="auto"/>
                <w:lang w:val="en-US" w:eastAsia="zh-CN"/>
              </w:rPr>
              <w:t>3</w:t>
            </w:r>
            <w:r>
              <w:rPr>
                <w:rFonts w:hint="eastAsia" w:ascii="Times New Roman" w:hAnsi="宋体"/>
                <w:color w:val="auto"/>
                <w:sz w:val="24"/>
                <w:u w:val="none" w:color="auto"/>
                <w:lang w:eastAsia="zh-CN"/>
              </w:rPr>
              <w:t>）</w:t>
            </w:r>
            <w:r>
              <w:rPr>
                <w:rFonts w:hint="eastAsia" w:ascii="Times New Roman" w:hAnsi="宋体"/>
                <w:color w:val="auto"/>
                <w:sz w:val="24"/>
                <w:u w:val="none" w:color="auto"/>
                <w:lang w:val="en-US" w:eastAsia="zh-CN"/>
              </w:rPr>
              <w:t>污水处理工艺及废水产、排情况</w:t>
            </w:r>
          </w:p>
          <w:p w14:paraId="43DFDB06">
            <w:pPr>
              <w:spacing w:line="480" w:lineRule="exact"/>
              <w:ind w:firstLine="480" w:firstLineChars="200"/>
              <w:rPr>
                <w:rFonts w:hint="eastAsia" w:ascii="Times New Roman" w:hAnsi="宋体"/>
                <w:color w:val="auto"/>
                <w:sz w:val="24"/>
                <w:u w:val="none" w:color="auto"/>
                <w:lang w:val="en-US" w:eastAsia="zh-CN"/>
              </w:rPr>
            </w:pPr>
            <w:r>
              <w:rPr>
                <w:rFonts w:ascii="Times New Roman" w:hAnsi="宋体"/>
                <w:color w:val="auto"/>
                <w:sz w:val="24"/>
                <w:highlight w:val="none"/>
                <w:u w:val="none" w:color="auto"/>
              </w:rPr>
              <w:t>项目</w:t>
            </w:r>
            <w:r>
              <w:rPr>
                <w:rFonts w:hint="eastAsia" w:hAnsi="宋体"/>
                <w:color w:val="auto"/>
                <w:sz w:val="24"/>
                <w:u w:val="none" w:color="auto"/>
                <w:lang w:val="en-US" w:eastAsia="zh-CN"/>
              </w:rPr>
              <w:t>特殊医疗废水（为酸性废水）经中和预处理、食堂废水经隔油池预处理后，与其他一般医疗废水（含生活污水）</w:t>
            </w:r>
            <w:r>
              <w:rPr>
                <w:rFonts w:hint="default" w:ascii="Times New Roman" w:hAnsi="Times New Roman" w:eastAsia="宋体" w:cs="Times New Roman"/>
                <w:color w:val="auto"/>
                <w:highlight w:val="none"/>
                <w:u w:val="none" w:color="auto"/>
                <w:lang w:eastAsia="zh-CN"/>
              </w:rPr>
              <w:t>排入</w:t>
            </w:r>
            <w:r>
              <w:rPr>
                <w:rFonts w:hint="eastAsia" w:cs="Times New Roman"/>
                <w:color w:val="auto"/>
                <w:highlight w:val="none"/>
                <w:u w:val="none" w:color="auto"/>
                <w:lang w:val="en-US" w:eastAsia="zh-CN"/>
              </w:rPr>
              <w:t>化粪池+地埋式</w:t>
            </w:r>
            <w:r>
              <w:rPr>
                <w:rFonts w:hint="default" w:ascii="Times New Roman" w:hAnsi="Times New Roman" w:eastAsia="宋体" w:cs="Times New Roman"/>
                <w:color w:val="auto"/>
                <w:highlight w:val="none"/>
                <w:u w:val="none" w:color="auto"/>
                <w:lang w:eastAsia="zh-CN"/>
              </w:rPr>
              <w:t>污水处理站，</w:t>
            </w:r>
            <w:r>
              <w:rPr>
                <w:rFonts w:hint="eastAsia" w:cs="Times New Roman"/>
                <w:color w:val="auto"/>
                <w:highlight w:val="none"/>
                <w:u w:val="none" w:color="auto"/>
                <w:lang w:val="en-US" w:eastAsia="zh-CN"/>
              </w:rPr>
              <w:t>地埋式污水处理工艺为“格栅+</w:t>
            </w:r>
            <w:r>
              <w:rPr>
                <w:rFonts w:hint="default" w:ascii="Times New Roman" w:hAnsi="Times New Roman" w:eastAsia="宋体" w:cs="Times New Roman"/>
                <w:color w:val="auto"/>
                <w:highlight w:val="none"/>
                <w:u w:val="none" w:color="auto"/>
                <w:lang w:val="en-US" w:eastAsia="zh-CN"/>
              </w:rPr>
              <w:t>混凝沉淀</w:t>
            </w:r>
            <w:r>
              <w:rPr>
                <w:rFonts w:hint="default"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lang w:val="en-US" w:eastAsia="zh-CN"/>
              </w:rPr>
              <w:t>A/O生物接触氧化+紫外线消毒</w:t>
            </w:r>
            <w:r>
              <w:rPr>
                <w:rFonts w:hint="eastAsia" w:cs="Times New Roman"/>
                <w:color w:val="auto"/>
                <w:highlight w:val="none"/>
                <w:u w:val="none" w:color="auto"/>
                <w:lang w:val="en-US" w:eastAsia="zh-CN"/>
              </w:rPr>
              <w:t>”</w:t>
            </w:r>
            <w:r>
              <w:rPr>
                <w:rFonts w:hint="eastAsia" w:ascii="Times New Roman" w:hAnsi="宋体"/>
                <w:color w:val="auto"/>
                <w:sz w:val="24"/>
                <w:highlight w:val="none"/>
                <w:u w:val="none" w:color="auto"/>
              </w:rPr>
              <w:t>，处理能力为</w:t>
            </w:r>
            <w:r>
              <w:rPr>
                <w:rFonts w:hint="eastAsia" w:hAnsi="宋体"/>
                <w:color w:val="0000FF"/>
                <w:sz w:val="24"/>
                <w:highlight w:val="none"/>
                <w:u w:val="none" w:color="auto"/>
                <w:lang w:val="en-US" w:eastAsia="zh-CN"/>
              </w:rPr>
              <w:t>100</w:t>
            </w:r>
            <w:r>
              <w:rPr>
                <w:color w:val="auto"/>
                <w:sz w:val="24"/>
                <w:highlight w:val="none"/>
                <w:u w:val="none" w:color="auto"/>
              </w:rPr>
              <w:t>m</w:t>
            </w:r>
            <w:r>
              <w:rPr>
                <w:color w:val="auto"/>
                <w:sz w:val="24"/>
                <w:highlight w:val="none"/>
                <w:u w:val="none" w:color="auto"/>
                <w:vertAlign w:val="superscript"/>
              </w:rPr>
              <w:t>3</w:t>
            </w:r>
            <w:r>
              <w:rPr>
                <w:color w:val="auto"/>
                <w:sz w:val="24"/>
                <w:highlight w:val="none"/>
                <w:u w:val="none" w:color="auto"/>
              </w:rPr>
              <w:t>/d</w:t>
            </w:r>
            <w:r>
              <w:rPr>
                <w:rFonts w:ascii="Times New Roman" w:hAnsi="宋体"/>
                <w:color w:val="auto"/>
                <w:sz w:val="24"/>
                <w:highlight w:val="none"/>
                <w:u w:val="none" w:color="auto"/>
              </w:rPr>
              <w:t>，</w:t>
            </w:r>
            <w:r>
              <w:rPr>
                <w:rFonts w:hint="eastAsia" w:hAnsi="宋体"/>
                <w:color w:val="auto"/>
                <w:sz w:val="24"/>
                <w:highlight w:val="none"/>
                <w:u w:val="none" w:color="auto"/>
                <w:lang w:val="en-US" w:eastAsia="zh-CN"/>
              </w:rPr>
              <w:t>院</w:t>
            </w:r>
            <w:r>
              <w:rPr>
                <w:rFonts w:hint="eastAsia" w:hAnsi="宋体"/>
                <w:color w:val="auto"/>
                <w:sz w:val="24"/>
                <w:u w:val="none" w:color="auto"/>
                <w:lang w:val="en-US" w:eastAsia="zh-CN"/>
              </w:rPr>
              <w:t>区各股废水</w:t>
            </w:r>
            <w:r>
              <w:rPr>
                <w:rFonts w:ascii="Times New Roman" w:hAnsi="宋体"/>
                <w:color w:val="auto"/>
                <w:sz w:val="24"/>
                <w:u w:val="none" w:color="auto"/>
              </w:rPr>
              <w:t>处理工艺流程</w:t>
            </w:r>
            <w:r>
              <w:rPr>
                <w:rFonts w:hint="eastAsia" w:ascii="Times New Roman" w:hAnsi="宋体"/>
                <w:color w:val="auto"/>
                <w:sz w:val="24"/>
                <w:u w:val="none" w:color="auto"/>
                <w:lang w:val="en-US" w:eastAsia="zh-CN"/>
              </w:rPr>
              <w:t>如下图：</w:t>
            </w:r>
          </w:p>
          <w:p w14:paraId="1A717100">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u w:val="none" w:color="auto"/>
                <w:lang w:val="en-US" w:eastAsia="zh-CN"/>
              </w:rPr>
            </w:pPr>
            <w:r>
              <w:rPr>
                <w:color w:val="auto"/>
                <w:u w:val="none" w:color="auto"/>
              </w:rPr>
              <w:drawing>
                <wp:inline distT="0" distB="0" distL="114300" distR="114300">
                  <wp:extent cx="5549265" cy="3494405"/>
                  <wp:effectExtent l="0" t="0" r="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7"/>
                          <a:stretch>
                            <a:fillRect/>
                          </a:stretch>
                        </pic:blipFill>
                        <pic:spPr>
                          <a:xfrm>
                            <a:off x="0" y="0"/>
                            <a:ext cx="5549265" cy="3494405"/>
                          </a:xfrm>
                          <a:prstGeom prst="rect">
                            <a:avLst/>
                          </a:prstGeom>
                          <a:noFill/>
                          <a:ln>
                            <a:noFill/>
                          </a:ln>
                        </pic:spPr>
                      </pic:pic>
                    </a:graphicData>
                  </a:graphic>
                </wp:inline>
              </w:drawing>
            </w:r>
          </w:p>
          <w:p w14:paraId="13989158">
            <w:pPr>
              <w:spacing w:line="480" w:lineRule="exact"/>
              <w:ind w:firstLine="480" w:firstLineChars="200"/>
              <w:jc w:val="center"/>
              <w:rPr>
                <w:rFonts w:eastAsia="黑体"/>
                <w:color w:val="auto"/>
                <w:sz w:val="24"/>
                <w:u w:val="none" w:color="auto"/>
              </w:rPr>
            </w:pPr>
            <w:r>
              <w:rPr>
                <w:rFonts w:eastAsia="黑体"/>
                <w:color w:val="auto"/>
                <w:sz w:val="24"/>
                <w:u w:val="none" w:color="auto"/>
              </w:rPr>
              <w:t>图</w:t>
            </w:r>
            <w:r>
              <w:rPr>
                <w:rFonts w:hint="eastAsia" w:eastAsia="黑体"/>
                <w:color w:val="auto"/>
                <w:sz w:val="24"/>
                <w:u w:val="none" w:color="auto"/>
              </w:rPr>
              <w:t>2</w:t>
            </w:r>
            <w:r>
              <w:rPr>
                <w:rFonts w:eastAsia="黑体"/>
                <w:color w:val="auto"/>
                <w:sz w:val="24"/>
                <w:u w:val="none" w:color="auto"/>
              </w:rPr>
              <w:t xml:space="preserve"> 医院</w:t>
            </w:r>
            <w:r>
              <w:rPr>
                <w:rFonts w:hint="eastAsia" w:eastAsia="黑体"/>
                <w:color w:val="auto"/>
                <w:sz w:val="24"/>
                <w:u w:val="none" w:color="auto"/>
                <w:lang w:val="en-US" w:eastAsia="zh-CN"/>
              </w:rPr>
              <w:t>医疗</w:t>
            </w:r>
            <w:r>
              <w:rPr>
                <w:rFonts w:hint="eastAsia" w:eastAsia="黑体"/>
                <w:color w:val="auto"/>
                <w:sz w:val="24"/>
                <w:u w:val="none" w:color="auto"/>
              </w:rPr>
              <w:t>废水处理</w:t>
            </w:r>
            <w:r>
              <w:rPr>
                <w:rFonts w:eastAsia="黑体"/>
                <w:color w:val="auto"/>
                <w:sz w:val="24"/>
                <w:u w:val="none" w:color="auto"/>
              </w:rPr>
              <w:t>流程</w:t>
            </w:r>
            <w:r>
              <w:rPr>
                <w:rFonts w:hint="eastAsia" w:eastAsia="黑体"/>
                <w:color w:val="auto"/>
                <w:sz w:val="24"/>
                <w:u w:val="none" w:color="auto"/>
                <w:lang w:val="en-US" w:eastAsia="zh-CN"/>
              </w:rPr>
              <w:t>及产污节点</w:t>
            </w:r>
            <w:r>
              <w:rPr>
                <w:rFonts w:eastAsia="黑体"/>
                <w:color w:val="auto"/>
                <w:sz w:val="24"/>
                <w:u w:val="none" w:color="auto"/>
              </w:rPr>
              <w:t>图</w:t>
            </w:r>
          </w:p>
          <w:p w14:paraId="7A274E6F">
            <w:pPr>
              <w:spacing w:line="500" w:lineRule="exact"/>
              <w:ind w:firstLine="480" w:firstLineChars="200"/>
              <w:jc w:val="left"/>
              <w:rPr>
                <w:rFonts w:hint="eastAsia"/>
                <w:color w:val="auto"/>
                <w:sz w:val="24"/>
                <w:highlight w:val="none"/>
                <w:u w:val="none" w:color="auto"/>
              </w:rPr>
            </w:pPr>
            <w:r>
              <w:rPr>
                <w:rFonts w:hint="eastAsia"/>
                <w:color w:val="auto"/>
                <w:sz w:val="24"/>
                <w:highlight w:val="none"/>
                <w:u w:val="none" w:color="auto"/>
              </w:rPr>
              <w:t>根据《</w:t>
            </w:r>
            <w:r>
              <w:rPr>
                <w:rFonts w:hint="eastAsia"/>
                <w:color w:val="auto"/>
                <w:sz w:val="24"/>
                <w:highlight w:val="none"/>
                <w:u w:val="none" w:color="auto"/>
                <w:lang w:val="en-US" w:eastAsia="zh-CN"/>
              </w:rPr>
              <w:t>环境工程学</w:t>
            </w:r>
            <w:r>
              <w:rPr>
                <w:rFonts w:hint="eastAsia"/>
                <w:color w:val="auto"/>
                <w:sz w:val="24"/>
                <w:highlight w:val="none"/>
                <w:u w:val="none" w:color="auto"/>
              </w:rPr>
              <w:t>》（</w:t>
            </w:r>
            <w:r>
              <w:rPr>
                <w:rFonts w:hint="eastAsia"/>
                <w:color w:val="auto"/>
                <w:sz w:val="24"/>
                <w:highlight w:val="none"/>
                <w:u w:val="none" w:color="auto"/>
                <w:lang w:val="en-US" w:eastAsia="zh-CN"/>
              </w:rPr>
              <w:t>第三版，高等教育出版社</w:t>
            </w:r>
            <w:r>
              <w:rPr>
                <w:rFonts w:hint="eastAsia"/>
                <w:color w:val="auto"/>
                <w:sz w:val="24"/>
                <w:highlight w:val="none"/>
                <w:u w:val="none" w:color="auto"/>
              </w:rPr>
              <w:t>）</w:t>
            </w:r>
            <w:r>
              <w:rPr>
                <w:rFonts w:hint="eastAsia"/>
                <w:color w:val="auto"/>
                <w:sz w:val="24"/>
                <w:highlight w:val="none"/>
                <w:u w:val="none" w:color="auto"/>
                <w:lang w:eastAsia="zh-CN"/>
              </w:rPr>
              <w:t>、《</w:t>
            </w:r>
            <w:r>
              <w:rPr>
                <w:rFonts w:hint="eastAsia"/>
                <w:color w:val="auto"/>
                <w:sz w:val="24"/>
                <w:highlight w:val="none"/>
                <w:u w:val="none" w:color="auto"/>
                <w:lang w:val="en-US" w:eastAsia="zh-CN"/>
              </w:rPr>
              <w:t>水污染控制工程</w:t>
            </w:r>
            <w:r>
              <w:rPr>
                <w:rFonts w:hint="eastAsia"/>
                <w:color w:val="auto"/>
                <w:sz w:val="24"/>
                <w:highlight w:val="none"/>
                <w:u w:val="none" w:color="auto"/>
                <w:lang w:eastAsia="zh-CN"/>
              </w:rPr>
              <w:t>》</w:t>
            </w:r>
            <w:r>
              <w:rPr>
                <w:rFonts w:hint="eastAsia"/>
                <w:color w:val="auto"/>
                <w:sz w:val="24"/>
                <w:highlight w:val="none"/>
                <w:u w:val="none" w:color="auto"/>
              </w:rPr>
              <w:t>（</w:t>
            </w:r>
            <w:r>
              <w:rPr>
                <w:rFonts w:hint="eastAsia"/>
                <w:color w:val="auto"/>
                <w:sz w:val="24"/>
                <w:highlight w:val="none"/>
                <w:u w:val="none" w:color="auto"/>
                <w:lang w:val="en-US" w:eastAsia="zh-CN"/>
              </w:rPr>
              <w:t>第三版，高等教育出版社</w:t>
            </w:r>
            <w:r>
              <w:rPr>
                <w:rFonts w:hint="eastAsia"/>
                <w:color w:val="auto"/>
                <w:sz w:val="24"/>
                <w:highlight w:val="none"/>
                <w:u w:val="none" w:color="auto"/>
              </w:rPr>
              <w:t>），A/O工艺对各污染因子的去除效率分别为COD</w:t>
            </w:r>
            <w:r>
              <w:rPr>
                <w:rFonts w:hint="eastAsia"/>
                <w:color w:val="auto"/>
                <w:sz w:val="24"/>
                <w:highlight w:val="none"/>
                <w:u w:val="none" w:color="auto"/>
                <w:vertAlign w:val="subscript"/>
              </w:rPr>
              <w:t>Cr</w:t>
            </w:r>
            <w:r>
              <w:rPr>
                <w:rFonts w:hint="eastAsia"/>
                <w:color w:val="auto"/>
                <w:sz w:val="24"/>
                <w:highlight w:val="none"/>
                <w:u w:val="none" w:color="auto"/>
              </w:rPr>
              <w:t>：</w:t>
            </w:r>
            <w:r>
              <w:rPr>
                <w:rFonts w:hint="eastAsia"/>
                <w:color w:val="auto"/>
                <w:sz w:val="24"/>
                <w:highlight w:val="none"/>
                <w:u w:val="none" w:color="auto"/>
                <w:lang w:val="en-US" w:eastAsia="zh-CN"/>
              </w:rPr>
              <w:t>80</w:t>
            </w:r>
            <w:r>
              <w:rPr>
                <w:rFonts w:hint="eastAsia"/>
                <w:color w:val="auto"/>
                <w:sz w:val="24"/>
                <w:highlight w:val="none"/>
                <w:u w:val="none" w:color="auto"/>
              </w:rPr>
              <w:t>%</w:t>
            </w:r>
            <w:r>
              <w:rPr>
                <w:rFonts w:hint="eastAsia"/>
                <w:color w:val="auto"/>
                <w:sz w:val="24"/>
                <w:highlight w:val="none"/>
                <w:u w:val="none" w:color="auto"/>
                <w:lang w:eastAsia="zh-CN"/>
              </w:rPr>
              <w:t>～</w:t>
            </w:r>
            <w:r>
              <w:rPr>
                <w:rFonts w:hint="eastAsia"/>
                <w:color w:val="auto"/>
                <w:sz w:val="24"/>
                <w:highlight w:val="none"/>
                <w:u w:val="none" w:color="auto"/>
                <w:lang w:val="en-US" w:eastAsia="zh-CN"/>
              </w:rPr>
              <w:t>85%</w:t>
            </w:r>
            <w:r>
              <w:rPr>
                <w:rFonts w:hint="eastAsia"/>
                <w:color w:val="auto"/>
                <w:sz w:val="24"/>
                <w:highlight w:val="none"/>
                <w:u w:val="none" w:color="auto"/>
              </w:rPr>
              <w:t>、BOD</w:t>
            </w:r>
            <w:r>
              <w:rPr>
                <w:rFonts w:hint="eastAsia"/>
                <w:color w:val="auto"/>
                <w:sz w:val="24"/>
                <w:highlight w:val="none"/>
                <w:u w:val="none" w:color="auto"/>
                <w:vertAlign w:val="subscript"/>
              </w:rPr>
              <w:t>5</w:t>
            </w:r>
            <w:r>
              <w:rPr>
                <w:rFonts w:hint="eastAsia"/>
                <w:color w:val="auto"/>
                <w:sz w:val="24"/>
                <w:highlight w:val="none"/>
                <w:u w:val="none" w:color="auto"/>
              </w:rPr>
              <w:t>：</w:t>
            </w:r>
            <w:r>
              <w:rPr>
                <w:rFonts w:hint="eastAsia"/>
                <w:color w:val="auto"/>
                <w:sz w:val="24"/>
                <w:highlight w:val="none"/>
                <w:u w:val="none" w:color="auto"/>
                <w:lang w:val="en-US" w:eastAsia="zh-CN"/>
              </w:rPr>
              <w:t>85</w:t>
            </w:r>
            <w:r>
              <w:rPr>
                <w:rFonts w:hint="eastAsia"/>
                <w:color w:val="auto"/>
                <w:sz w:val="24"/>
                <w:highlight w:val="none"/>
                <w:u w:val="none" w:color="auto"/>
              </w:rPr>
              <w:t>%</w:t>
            </w:r>
            <w:r>
              <w:rPr>
                <w:rFonts w:hint="eastAsia"/>
                <w:color w:val="auto"/>
                <w:sz w:val="24"/>
                <w:highlight w:val="none"/>
                <w:u w:val="none" w:color="auto"/>
                <w:lang w:eastAsia="zh-CN"/>
              </w:rPr>
              <w:t>～</w:t>
            </w:r>
            <w:r>
              <w:rPr>
                <w:rFonts w:hint="eastAsia"/>
                <w:color w:val="auto"/>
                <w:sz w:val="24"/>
                <w:highlight w:val="none"/>
                <w:u w:val="none" w:color="auto"/>
                <w:lang w:val="en-US" w:eastAsia="zh-CN"/>
              </w:rPr>
              <w:t>95%</w:t>
            </w:r>
            <w:r>
              <w:rPr>
                <w:rFonts w:hint="eastAsia"/>
                <w:color w:val="auto"/>
                <w:sz w:val="24"/>
                <w:highlight w:val="none"/>
                <w:u w:val="none" w:color="auto"/>
              </w:rPr>
              <w:t>、SS：</w:t>
            </w:r>
            <w:r>
              <w:rPr>
                <w:rFonts w:hint="eastAsia"/>
                <w:color w:val="auto"/>
                <w:sz w:val="24"/>
                <w:highlight w:val="none"/>
                <w:u w:val="none" w:color="auto"/>
                <w:lang w:val="en-US" w:eastAsia="zh-CN"/>
              </w:rPr>
              <w:t>40</w:t>
            </w:r>
            <w:r>
              <w:rPr>
                <w:rFonts w:hint="eastAsia"/>
                <w:color w:val="auto"/>
                <w:sz w:val="24"/>
                <w:highlight w:val="none"/>
                <w:u w:val="none" w:color="auto"/>
              </w:rPr>
              <w:t>%</w:t>
            </w:r>
            <w:r>
              <w:rPr>
                <w:rFonts w:hint="eastAsia"/>
                <w:color w:val="auto"/>
                <w:sz w:val="24"/>
                <w:highlight w:val="none"/>
                <w:u w:val="none" w:color="auto"/>
                <w:lang w:eastAsia="zh-CN"/>
              </w:rPr>
              <w:t>～</w:t>
            </w:r>
            <w:r>
              <w:rPr>
                <w:rFonts w:hint="eastAsia"/>
                <w:color w:val="auto"/>
                <w:sz w:val="24"/>
                <w:highlight w:val="none"/>
                <w:u w:val="none" w:color="auto"/>
                <w:lang w:val="en-US" w:eastAsia="zh-CN"/>
              </w:rPr>
              <w:t>50%</w:t>
            </w:r>
            <w:r>
              <w:rPr>
                <w:rFonts w:hint="eastAsia"/>
                <w:color w:val="auto"/>
                <w:sz w:val="24"/>
                <w:highlight w:val="none"/>
                <w:u w:val="none" w:color="auto"/>
              </w:rPr>
              <w:t>、NH</w:t>
            </w:r>
            <w:r>
              <w:rPr>
                <w:rFonts w:hint="eastAsia"/>
                <w:color w:val="auto"/>
                <w:sz w:val="24"/>
                <w:highlight w:val="none"/>
                <w:u w:val="none" w:color="auto"/>
                <w:vertAlign w:val="subscript"/>
              </w:rPr>
              <w:t>3</w:t>
            </w:r>
            <w:r>
              <w:rPr>
                <w:rFonts w:hint="eastAsia"/>
                <w:color w:val="auto"/>
                <w:sz w:val="24"/>
                <w:highlight w:val="none"/>
                <w:u w:val="none" w:color="auto"/>
              </w:rPr>
              <w:t>-N：</w:t>
            </w:r>
            <w:r>
              <w:rPr>
                <w:rFonts w:hint="eastAsia"/>
                <w:color w:val="auto"/>
                <w:sz w:val="24"/>
                <w:highlight w:val="none"/>
                <w:u w:val="none" w:color="auto"/>
                <w:lang w:val="en-US" w:eastAsia="zh-CN"/>
              </w:rPr>
              <w:t>60</w:t>
            </w:r>
            <w:r>
              <w:rPr>
                <w:rFonts w:hint="eastAsia"/>
                <w:color w:val="auto"/>
                <w:sz w:val="24"/>
                <w:highlight w:val="none"/>
                <w:u w:val="none" w:color="auto"/>
              </w:rPr>
              <w:t>%</w:t>
            </w:r>
            <w:r>
              <w:rPr>
                <w:rFonts w:hint="eastAsia"/>
                <w:color w:val="auto"/>
                <w:sz w:val="24"/>
                <w:highlight w:val="none"/>
                <w:u w:val="none" w:color="auto"/>
                <w:lang w:eastAsia="zh-CN"/>
              </w:rPr>
              <w:t>～</w:t>
            </w:r>
            <w:r>
              <w:rPr>
                <w:rFonts w:hint="eastAsia"/>
                <w:color w:val="auto"/>
                <w:sz w:val="24"/>
                <w:highlight w:val="none"/>
                <w:u w:val="none" w:color="auto"/>
                <w:lang w:val="en-US" w:eastAsia="zh-CN"/>
              </w:rPr>
              <w:t>65%，混凝沉淀对悬浮物的去除效率＞60%，考虑不利情况，化粪池</w:t>
            </w:r>
            <w:r>
              <w:rPr>
                <w:rFonts w:hint="eastAsia"/>
                <w:color w:val="auto"/>
                <w:sz w:val="24"/>
                <w:highlight w:val="none"/>
                <w:u w:val="none" w:color="auto"/>
              </w:rPr>
              <w:t>对各污染因子的去除效率分别为COD</w:t>
            </w:r>
            <w:r>
              <w:rPr>
                <w:rFonts w:hint="eastAsia"/>
                <w:color w:val="auto"/>
                <w:sz w:val="24"/>
                <w:highlight w:val="none"/>
                <w:u w:val="none" w:color="auto"/>
                <w:vertAlign w:val="subscript"/>
              </w:rPr>
              <w:t>Cr</w:t>
            </w:r>
            <w:r>
              <w:rPr>
                <w:rFonts w:hint="eastAsia"/>
                <w:color w:val="auto"/>
                <w:sz w:val="24"/>
                <w:highlight w:val="none"/>
                <w:u w:val="none" w:color="auto"/>
              </w:rPr>
              <w:t>：</w:t>
            </w:r>
            <w:r>
              <w:rPr>
                <w:rFonts w:hint="eastAsia"/>
                <w:color w:val="auto"/>
                <w:sz w:val="24"/>
                <w:highlight w:val="none"/>
                <w:u w:val="none" w:color="auto"/>
                <w:lang w:val="en-US" w:eastAsia="zh-CN"/>
              </w:rPr>
              <w:t>5%</w:t>
            </w:r>
            <w:r>
              <w:rPr>
                <w:rFonts w:hint="eastAsia"/>
                <w:color w:val="auto"/>
                <w:sz w:val="24"/>
                <w:highlight w:val="none"/>
                <w:u w:val="none" w:color="auto"/>
              </w:rPr>
              <w:t>、BOD</w:t>
            </w:r>
            <w:r>
              <w:rPr>
                <w:rFonts w:hint="eastAsia"/>
                <w:color w:val="auto"/>
                <w:sz w:val="24"/>
                <w:highlight w:val="none"/>
                <w:u w:val="none" w:color="auto"/>
                <w:vertAlign w:val="subscript"/>
              </w:rPr>
              <w:t>5</w:t>
            </w:r>
            <w:r>
              <w:rPr>
                <w:rFonts w:hint="eastAsia"/>
                <w:color w:val="auto"/>
                <w:sz w:val="24"/>
                <w:highlight w:val="none"/>
                <w:u w:val="none" w:color="auto"/>
              </w:rPr>
              <w:t>：</w:t>
            </w:r>
            <w:r>
              <w:rPr>
                <w:rFonts w:hint="eastAsia"/>
                <w:color w:val="auto"/>
                <w:sz w:val="24"/>
                <w:highlight w:val="none"/>
                <w:u w:val="none" w:color="auto"/>
                <w:lang w:val="en-US" w:eastAsia="zh-CN"/>
              </w:rPr>
              <w:t>5%</w:t>
            </w:r>
            <w:r>
              <w:rPr>
                <w:rFonts w:hint="eastAsia"/>
                <w:color w:val="auto"/>
                <w:sz w:val="24"/>
                <w:highlight w:val="none"/>
                <w:u w:val="none" w:color="auto"/>
              </w:rPr>
              <w:t>、SS：</w:t>
            </w:r>
            <w:r>
              <w:rPr>
                <w:rFonts w:hint="eastAsia"/>
                <w:color w:val="auto"/>
                <w:sz w:val="24"/>
                <w:highlight w:val="none"/>
                <w:u w:val="none" w:color="auto"/>
                <w:lang w:val="en-US" w:eastAsia="zh-CN"/>
              </w:rPr>
              <w:t>40%</w:t>
            </w:r>
            <w:r>
              <w:rPr>
                <w:rFonts w:hint="eastAsia"/>
                <w:color w:val="auto"/>
                <w:sz w:val="24"/>
                <w:highlight w:val="none"/>
                <w:u w:val="none" w:color="auto"/>
              </w:rPr>
              <w:t>、NH</w:t>
            </w:r>
            <w:r>
              <w:rPr>
                <w:rFonts w:hint="eastAsia"/>
                <w:color w:val="auto"/>
                <w:sz w:val="24"/>
                <w:highlight w:val="none"/>
                <w:u w:val="none" w:color="auto"/>
                <w:vertAlign w:val="subscript"/>
              </w:rPr>
              <w:t>3</w:t>
            </w:r>
            <w:r>
              <w:rPr>
                <w:rFonts w:hint="eastAsia"/>
                <w:color w:val="auto"/>
                <w:sz w:val="24"/>
                <w:highlight w:val="none"/>
                <w:u w:val="none" w:color="auto"/>
              </w:rPr>
              <w:t>-N：</w:t>
            </w:r>
            <w:r>
              <w:rPr>
                <w:rFonts w:hint="eastAsia"/>
                <w:color w:val="auto"/>
                <w:sz w:val="24"/>
                <w:highlight w:val="none"/>
                <w:u w:val="none" w:color="auto"/>
                <w:lang w:val="en-US" w:eastAsia="zh-CN"/>
              </w:rPr>
              <w:t>1%，本评价综合取值</w:t>
            </w:r>
            <w:r>
              <w:rPr>
                <w:rFonts w:hint="eastAsia"/>
                <w:color w:val="auto"/>
                <w:sz w:val="24"/>
                <w:highlight w:val="none"/>
                <w:u w:val="none" w:color="auto"/>
              </w:rPr>
              <w:t>COD</w:t>
            </w:r>
            <w:r>
              <w:rPr>
                <w:rFonts w:hint="eastAsia"/>
                <w:color w:val="auto"/>
                <w:sz w:val="24"/>
                <w:highlight w:val="none"/>
                <w:u w:val="none" w:color="auto"/>
                <w:vertAlign w:val="subscript"/>
              </w:rPr>
              <w:t>Cr</w:t>
            </w:r>
            <w:r>
              <w:rPr>
                <w:rFonts w:hint="eastAsia"/>
                <w:color w:val="auto"/>
                <w:sz w:val="24"/>
                <w:highlight w:val="none"/>
                <w:u w:val="none" w:color="auto"/>
                <w:lang w:val="en-US" w:eastAsia="zh-CN"/>
              </w:rPr>
              <w:t>80%</w:t>
            </w:r>
            <w:r>
              <w:rPr>
                <w:rFonts w:hint="eastAsia"/>
                <w:color w:val="auto"/>
                <w:sz w:val="24"/>
                <w:highlight w:val="none"/>
                <w:u w:val="none" w:color="auto"/>
              </w:rPr>
              <w:t>、BOD</w:t>
            </w:r>
            <w:r>
              <w:rPr>
                <w:rFonts w:hint="eastAsia"/>
                <w:color w:val="auto"/>
                <w:sz w:val="24"/>
                <w:highlight w:val="none"/>
                <w:u w:val="none" w:color="auto"/>
                <w:vertAlign w:val="subscript"/>
              </w:rPr>
              <w:t>5</w:t>
            </w:r>
            <w:r>
              <w:rPr>
                <w:rFonts w:hint="eastAsia"/>
                <w:color w:val="auto"/>
                <w:sz w:val="24"/>
                <w:highlight w:val="none"/>
                <w:u w:val="none" w:color="auto"/>
                <w:lang w:val="en-US" w:eastAsia="zh-CN"/>
              </w:rPr>
              <w:t>85%</w:t>
            </w:r>
            <w:r>
              <w:rPr>
                <w:rFonts w:hint="eastAsia"/>
                <w:color w:val="auto"/>
                <w:sz w:val="24"/>
                <w:highlight w:val="none"/>
                <w:u w:val="none" w:color="auto"/>
              </w:rPr>
              <w:t>、SS</w:t>
            </w:r>
            <w:r>
              <w:rPr>
                <w:rFonts w:hint="eastAsia"/>
                <w:color w:val="auto"/>
                <w:sz w:val="24"/>
                <w:highlight w:val="none"/>
                <w:u w:val="none" w:color="auto"/>
                <w:lang w:val="en-US" w:eastAsia="zh-CN"/>
              </w:rPr>
              <w:t>75%</w:t>
            </w:r>
            <w:r>
              <w:rPr>
                <w:rFonts w:hint="eastAsia"/>
                <w:color w:val="auto"/>
                <w:sz w:val="24"/>
                <w:highlight w:val="none"/>
                <w:u w:val="none" w:color="auto"/>
              </w:rPr>
              <w:t>、NH</w:t>
            </w:r>
            <w:r>
              <w:rPr>
                <w:rFonts w:hint="eastAsia"/>
                <w:color w:val="auto"/>
                <w:sz w:val="24"/>
                <w:highlight w:val="none"/>
                <w:u w:val="none" w:color="auto"/>
                <w:vertAlign w:val="subscript"/>
              </w:rPr>
              <w:t>3</w:t>
            </w:r>
            <w:r>
              <w:rPr>
                <w:rFonts w:hint="eastAsia"/>
                <w:color w:val="auto"/>
                <w:sz w:val="24"/>
                <w:highlight w:val="none"/>
                <w:u w:val="none" w:color="auto"/>
              </w:rPr>
              <w:t>-N</w:t>
            </w:r>
            <w:r>
              <w:rPr>
                <w:rFonts w:hint="eastAsia"/>
                <w:color w:val="auto"/>
                <w:sz w:val="24"/>
                <w:highlight w:val="none"/>
                <w:u w:val="none" w:color="auto"/>
                <w:lang w:val="en-US" w:eastAsia="zh-CN"/>
              </w:rPr>
              <w:t>60%、SS75%</w:t>
            </w:r>
            <w:r>
              <w:rPr>
                <w:rFonts w:hint="eastAsia"/>
                <w:color w:val="auto"/>
                <w:sz w:val="24"/>
                <w:highlight w:val="none"/>
                <w:u w:val="none" w:color="auto"/>
                <w:lang w:eastAsia="zh-CN"/>
              </w:rPr>
              <w:t>，</w:t>
            </w:r>
            <w:r>
              <w:rPr>
                <w:rFonts w:hint="eastAsia"/>
                <w:color w:val="auto"/>
                <w:sz w:val="24"/>
                <w:highlight w:val="none"/>
                <w:u w:val="none" w:color="auto"/>
                <w:lang w:val="en-US" w:eastAsia="zh-CN"/>
              </w:rPr>
              <w:t>隔油池对动植物油的去除效率按50%计，</w:t>
            </w:r>
            <w:r>
              <w:rPr>
                <w:rFonts w:hint="eastAsia"/>
                <w:color w:val="auto"/>
                <w:sz w:val="24"/>
                <w:highlight w:val="none"/>
                <w:u w:val="none" w:color="auto"/>
              </w:rPr>
              <w:t>项目</w:t>
            </w:r>
            <w:r>
              <w:rPr>
                <w:rFonts w:hint="eastAsia"/>
                <w:color w:val="auto"/>
                <w:sz w:val="24"/>
                <w:highlight w:val="none"/>
                <w:u w:val="none" w:color="auto"/>
                <w:lang w:val="en-US" w:eastAsia="zh-CN"/>
              </w:rPr>
              <w:t>污、废水</w:t>
            </w:r>
            <w:r>
              <w:rPr>
                <w:rFonts w:hint="eastAsia"/>
                <w:color w:val="auto"/>
                <w:sz w:val="24"/>
                <w:highlight w:val="none"/>
                <w:u w:val="none" w:color="auto"/>
              </w:rPr>
              <w:t>各主要污染物产生及排放情况见下表</w:t>
            </w:r>
            <w:r>
              <w:rPr>
                <w:rFonts w:hint="eastAsia"/>
                <w:color w:val="auto"/>
                <w:sz w:val="24"/>
                <w:highlight w:val="none"/>
                <w:u w:val="none" w:color="auto"/>
                <w:lang w:eastAsia="zh-CN"/>
              </w:rPr>
              <w:t>：</w:t>
            </w:r>
          </w:p>
          <w:p w14:paraId="65494D7F">
            <w:pPr>
              <w:pStyle w:val="10"/>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firstLine="0" w:firstLineChars="0"/>
              <w:jc w:val="center"/>
              <w:textAlignment w:val="auto"/>
              <w:rPr>
                <w:rFonts w:hint="eastAsia" w:ascii="黑体" w:hAnsi="黑体" w:eastAsia="黑体"/>
                <w:b w:val="0"/>
                <w:color w:val="auto"/>
                <w:u w:val="none" w:color="auto"/>
              </w:rPr>
            </w:pPr>
            <w:r>
              <w:rPr>
                <w:rFonts w:ascii="黑体" w:hAnsi="黑体" w:eastAsia="黑体"/>
                <w:b w:val="0"/>
                <w:color w:val="auto"/>
                <w:u w:val="none" w:color="auto"/>
              </w:rPr>
              <w:t>项目</w:t>
            </w:r>
            <w:r>
              <w:rPr>
                <w:rFonts w:hint="eastAsia" w:ascii="黑体" w:hAnsi="黑体" w:eastAsia="黑体"/>
                <w:b w:val="0"/>
                <w:color w:val="auto"/>
                <w:u w:val="none" w:color="auto"/>
                <w:lang w:eastAsia="zh-CN"/>
              </w:rPr>
              <w:t>医疗废水</w:t>
            </w:r>
            <w:r>
              <w:rPr>
                <w:rFonts w:ascii="黑体" w:hAnsi="黑体" w:eastAsia="黑体"/>
                <w:b w:val="0"/>
                <w:color w:val="auto"/>
                <w:u w:val="none" w:color="auto"/>
              </w:rPr>
              <w:t>排放汇总表</w:t>
            </w:r>
          </w:p>
          <w:tbl>
            <w:tblPr>
              <w:tblStyle w:val="22"/>
              <w:tblW w:w="935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66"/>
              <w:gridCol w:w="688"/>
              <w:gridCol w:w="806"/>
              <w:gridCol w:w="750"/>
              <w:gridCol w:w="765"/>
              <w:gridCol w:w="840"/>
              <w:gridCol w:w="735"/>
              <w:gridCol w:w="885"/>
              <w:gridCol w:w="735"/>
              <w:gridCol w:w="625"/>
              <w:gridCol w:w="1159"/>
            </w:tblGrid>
            <w:tr w14:paraId="156AF8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66" w:type="dxa"/>
                  <w:vAlign w:val="center"/>
                </w:tcPr>
                <w:p w14:paraId="58C76A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项目</w:t>
                  </w:r>
                </w:p>
              </w:tc>
              <w:tc>
                <w:tcPr>
                  <w:tcW w:w="688" w:type="dxa"/>
                  <w:vAlign w:val="center"/>
                </w:tcPr>
                <w:p w14:paraId="2B1736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pH值</w:t>
                  </w:r>
                </w:p>
              </w:tc>
              <w:tc>
                <w:tcPr>
                  <w:tcW w:w="806" w:type="dxa"/>
                  <w:vAlign w:val="center"/>
                </w:tcPr>
                <w:p w14:paraId="5A3AD7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COD</w:t>
                  </w:r>
                  <w:r>
                    <w:rPr>
                      <w:rFonts w:hint="default" w:ascii="Times New Roman" w:hAnsi="Times New Roman" w:eastAsia="宋体" w:cs="Times New Roman"/>
                      <w:i w:val="0"/>
                      <w:iCs w:val="0"/>
                      <w:color w:val="auto"/>
                      <w:kern w:val="0"/>
                      <w:sz w:val="21"/>
                      <w:szCs w:val="21"/>
                      <w:u w:val="none" w:color="auto"/>
                      <w:vertAlign w:val="subscript"/>
                      <w:lang w:val="en-US" w:eastAsia="zh-CN" w:bidi="ar"/>
                    </w:rPr>
                    <w:t>Cr</w:t>
                  </w:r>
                </w:p>
              </w:tc>
              <w:tc>
                <w:tcPr>
                  <w:tcW w:w="750" w:type="dxa"/>
                  <w:vAlign w:val="center"/>
                </w:tcPr>
                <w:p w14:paraId="075529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BOD</w:t>
                  </w:r>
                  <w:r>
                    <w:rPr>
                      <w:rFonts w:hint="default" w:ascii="Times New Roman" w:hAnsi="Times New Roman" w:eastAsia="宋体" w:cs="Times New Roman"/>
                      <w:i w:val="0"/>
                      <w:iCs w:val="0"/>
                      <w:color w:val="auto"/>
                      <w:kern w:val="0"/>
                      <w:sz w:val="21"/>
                      <w:szCs w:val="21"/>
                      <w:u w:val="none" w:color="auto"/>
                      <w:vertAlign w:val="subscript"/>
                      <w:lang w:val="en-US" w:eastAsia="zh-CN" w:bidi="ar"/>
                    </w:rPr>
                    <w:t>5</w:t>
                  </w:r>
                </w:p>
              </w:tc>
              <w:tc>
                <w:tcPr>
                  <w:tcW w:w="765" w:type="dxa"/>
                  <w:vAlign w:val="center"/>
                </w:tcPr>
                <w:p w14:paraId="23A707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SS</w:t>
                  </w:r>
                </w:p>
              </w:tc>
              <w:tc>
                <w:tcPr>
                  <w:tcW w:w="840" w:type="dxa"/>
                  <w:vAlign w:val="center"/>
                </w:tcPr>
                <w:p w14:paraId="4E517D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NH</w:t>
                  </w:r>
                  <w:r>
                    <w:rPr>
                      <w:rFonts w:hint="default" w:ascii="Times New Roman" w:hAnsi="Times New Roman" w:eastAsia="宋体" w:cs="Times New Roman"/>
                      <w:i w:val="0"/>
                      <w:iCs w:val="0"/>
                      <w:color w:val="auto"/>
                      <w:kern w:val="0"/>
                      <w:sz w:val="21"/>
                      <w:szCs w:val="21"/>
                      <w:u w:val="none" w:color="auto"/>
                      <w:vertAlign w:val="subscript"/>
                      <w:lang w:val="en-US" w:eastAsia="zh-CN" w:bidi="ar"/>
                    </w:rPr>
                    <w:t>3</w:t>
                  </w:r>
                  <w:r>
                    <w:rPr>
                      <w:rFonts w:hint="default" w:ascii="Times New Roman" w:hAnsi="Times New Roman" w:eastAsia="宋体" w:cs="Times New Roman"/>
                      <w:i w:val="0"/>
                      <w:iCs w:val="0"/>
                      <w:color w:val="auto"/>
                      <w:kern w:val="0"/>
                      <w:sz w:val="21"/>
                      <w:szCs w:val="21"/>
                      <w:u w:val="none" w:color="auto"/>
                      <w:lang w:val="en-US" w:eastAsia="zh-CN" w:bidi="ar"/>
                    </w:rPr>
                    <w:t>-N</w:t>
                  </w:r>
                </w:p>
              </w:tc>
              <w:tc>
                <w:tcPr>
                  <w:tcW w:w="735" w:type="dxa"/>
                  <w:vAlign w:val="center"/>
                </w:tcPr>
                <w:p w14:paraId="07C280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LAS</w:t>
                  </w:r>
                </w:p>
              </w:tc>
              <w:tc>
                <w:tcPr>
                  <w:tcW w:w="885" w:type="dxa"/>
                  <w:vAlign w:val="center"/>
                </w:tcPr>
                <w:p w14:paraId="0ED66C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挥发酚</w:t>
                  </w:r>
                </w:p>
              </w:tc>
              <w:tc>
                <w:tcPr>
                  <w:tcW w:w="735" w:type="dxa"/>
                  <w:vAlign w:val="center"/>
                </w:tcPr>
                <w:p w14:paraId="767BFE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动植物油</w:t>
                  </w:r>
                </w:p>
              </w:tc>
              <w:tc>
                <w:tcPr>
                  <w:tcW w:w="625" w:type="dxa"/>
                  <w:vAlign w:val="center"/>
                </w:tcPr>
                <w:p w14:paraId="47AC29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色度</w:t>
                  </w:r>
                </w:p>
              </w:tc>
              <w:tc>
                <w:tcPr>
                  <w:tcW w:w="1159" w:type="dxa"/>
                  <w:vAlign w:val="center"/>
                </w:tcPr>
                <w:p w14:paraId="544150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粪大肠菌群</w:t>
                  </w:r>
                </w:p>
              </w:tc>
            </w:tr>
            <w:tr w14:paraId="520BA4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66" w:type="dxa"/>
                  <w:vAlign w:val="center"/>
                </w:tcPr>
                <w:p w14:paraId="57AE82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产生浓度(mg/L)</w:t>
                  </w:r>
                </w:p>
              </w:tc>
              <w:tc>
                <w:tcPr>
                  <w:tcW w:w="688" w:type="dxa"/>
                  <w:vAlign w:val="center"/>
                </w:tcPr>
                <w:p w14:paraId="0734E4C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6~9</w:t>
                  </w:r>
                </w:p>
              </w:tc>
              <w:tc>
                <w:tcPr>
                  <w:tcW w:w="806" w:type="dxa"/>
                  <w:vAlign w:val="center"/>
                </w:tcPr>
                <w:p w14:paraId="4ABC194B">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300</w:t>
                  </w:r>
                </w:p>
              </w:tc>
              <w:tc>
                <w:tcPr>
                  <w:tcW w:w="750" w:type="dxa"/>
                  <w:vAlign w:val="center"/>
                </w:tcPr>
                <w:p w14:paraId="3C57886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150</w:t>
                  </w:r>
                </w:p>
              </w:tc>
              <w:tc>
                <w:tcPr>
                  <w:tcW w:w="765" w:type="dxa"/>
                  <w:vAlign w:val="center"/>
                </w:tcPr>
                <w:p w14:paraId="021A53A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120</w:t>
                  </w:r>
                </w:p>
              </w:tc>
              <w:tc>
                <w:tcPr>
                  <w:tcW w:w="840" w:type="dxa"/>
                  <w:vAlign w:val="center"/>
                </w:tcPr>
                <w:p w14:paraId="6232FB7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50</w:t>
                  </w:r>
                </w:p>
              </w:tc>
              <w:tc>
                <w:tcPr>
                  <w:tcW w:w="735" w:type="dxa"/>
                  <w:vAlign w:val="center"/>
                </w:tcPr>
                <w:p w14:paraId="4E83534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FF"/>
                      <w:kern w:val="0"/>
                      <w:sz w:val="21"/>
                      <w:szCs w:val="21"/>
                      <w:u w:val="none" w:color="auto"/>
                      <w:lang w:val="en-US" w:eastAsia="zh-CN" w:bidi="ar"/>
                    </w:rPr>
                    <w:t>1.25</w:t>
                  </w:r>
                </w:p>
              </w:tc>
              <w:tc>
                <w:tcPr>
                  <w:tcW w:w="885" w:type="dxa"/>
                  <w:vAlign w:val="center"/>
                </w:tcPr>
                <w:p w14:paraId="43A964EF">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lang w:val="en-US" w:eastAsia="zh-CN"/>
                    </w:rPr>
                  </w:pPr>
                  <w:r>
                    <w:rPr>
                      <w:rFonts w:hint="eastAsia" w:ascii="宋体" w:hAnsi="宋体" w:eastAsia="宋体" w:cs="宋体"/>
                      <w:i w:val="0"/>
                      <w:iCs w:val="0"/>
                      <w:color w:val="0000FF"/>
                      <w:kern w:val="0"/>
                      <w:sz w:val="22"/>
                      <w:szCs w:val="22"/>
                      <w:u w:val="none" w:color="auto"/>
                      <w:lang w:val="en-US" w:eastAsia="zh-CN" w:bidi="ar"/>
                    </w:rPr>
                    <w:t>0.0021</w:t>
                  </w:r>
                </w:p>
              </w:tc>
              <w:tc>
                <w:tcPr>
                  <w:tcW w:w="735" w:type="dxa"/>
                  <w:vAlign w:val="center"/>
                </w:tcPr>
                <w:p w14:paraId="16064DFC">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FF"/>
                      <w:kern w:val="0"/>
                      <w:sz w:val="21"/>
                      <w:szCs w:val="21"/>
                      <w:u w:val="none" w:color="auto"/>
                      <w:lang w:val="en-US" w:eastAsia="zh-CN" w:bidi="ar"/>
                    </w:rPr>
                    <w:t>20</w:t>
                  </w:r>
                </w:p>
              </w:tc>
              <w:tc>
                <w:tcPr>
                  <w:tcW w:w="625" w:type="dxa"/>
                  <w:vAlign w:val="center"/>
                </w:tcPr>
                <w:p w14:paraId="08F9C0C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1159" w:type="dxa"/>
                  <w:vAlign w:val="center"/>
                </w:tcPr>
                <w:p w14:paraId="495B83F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1.6</w:t>
                  </w:r>
                  <w:r>
                    <w:rPr>
                      <w:rFonts w:hint="default" w:ascii="Times New Roman" w:hAnsi="Times New Roman" w:eastAsia="宋体" w:cs="Times New Roman"/>
                      <w:color w:val="auto"/>
                      <w:sz w:val="21"/>
                      <w:szCs w:val="21"/>
                      <w:u w:val="none" w:color="auto"/>
                    </w:rPr>
                    <w:t>×10</w:t>
                  </w:r>
                  <w:r>
                    <w:rPr>
                      <w:rFonts w:hint="default" w:ascii="Times New Roman" w:hAnsi="Times New Roman" w:eastAsia="宋体" w:cs="Times New Roman"/>
                      <w:color w:val="auto"/>
                      <w:sz w:val="21"/>
                      <w:szCs w:val="21"/>
                      <w:u w:val="none" w:color="auto"/>
                      <w:vertAlign w:val="superscript"/>
                      <w:lang w:val="en-US" w:eastAsia="zh-CN"/>
                    </w:rPr>
                    <w:t>8</w:t>
                  </w:r>
                  <w:r>
                    <w:rPr>
                      <w:rFonts w:hint="default"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rPr>
                    <w:t>个/L)</w:t>
                  </w:r>
                </w:p>
              </w:tc>
            </w:tr>
            <w:tr w14:paraId="4C01DD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66" w:type="dxa"/>
                  <w:vAlign w:val="center"/>
                </w:tcPr>
                <w:p w14:paraId="37C64A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产生量（t/a）</w:t>
                  </w:r>
                </w:p>
              </w:tc>
              <w:tc>
                <w:tcPr>
                  <w:tcW w:w="688" w:type="dxa"/>
                  <w:vAlign w:val="center"/>
                </w:tcPr>
                <w:p w14:paraId="510E33D3">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w:t>
                  </w:r>
                </w:p>
              </w:tc>
              <w:tc>
                <w:tcPr>
                  <w:tcW w:w="806" w:type="dxa"/>
                  <w:vAlign w:val="center"/>
                </w:tcPr>
                <w:p w14:paraId="5200AD0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9.401</w:t>
                  </w:r>
                </w:p>
              </w:tc>
              <w:tc>
                <w:tcPr>
                  <w:tcW w:w="750" w:type="dxa"/>
                  <w:vAlign w:val="center"/>
                </w:tcPr>
                <w:p w14:paraId="145E310D">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4.701</w:t>
                  </w:r>
                </w:p>
              </w:tc>
              <w:tc>
                <w:tcPr>
                  <w:tcW w:w="765" w:type="dxa"/>
                  <w:vAlign w:val="center"/>
                </w:tcPr>
                <w:p w14:paraId="5F88E08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3.760</w:t>
                  </w:r>
                </w:p>
              </w:tc>
              <w:tc>
                <w:tcPr>
                  <w:tcW w:w="840" w:type="dxa"/>
                  <w:vAlign w:val="center"/>
                </w:tcPr>
                <w:p w14:paraId="3A5D887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1.567</w:t>
                  </w:r>
                </w:p>
              </w:tc>
              <w:tc>
                <w:tcPr>
                  <w:tcW w:w="735" w:type="dxa"/>
                  <w:vAlign w:val="center"/>
                </w:tcPr>
                <w:p w14:paraId="5ECEA85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FF"/>
                      <w:kern w:val="0"/>
                      <w:sz w:val="21"/>
                      <w:szCs w:val="21"/>
                      <w:u w:val="none" w:color="auto"/>
                      <w:lang w:val="en-US" w:eastAsia="zh-CN" w:bidi="ar"/>
                    </w:rPr>
                    <w:t>0.039</w:t>
                  </w:r>
                </w:p>
              </w:tc>
              <w:tc>
                <w:tcPr>
                  <w:tcW w:w="885" w:type="dxa"/>
                  <w:vAlign w:val="center"/>
                </w:tcPr>
                <w:p w14:paraId="00BE5D29">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FF"/>
                      <w:kern w:val="0"/>
                      <w:sz w:val="21"/>
                      <w:szCs w:val="21"/>
                      <w:u w:val="none" w:color="auto"/>
                      <w:lang w:val="en-US" w:eastAsia="zh-CN" w:bidi="ar"/>
                    </w:rPr>
                    <w:t>0.0001</w:t>
                  </w:r>
                </w:p>
              </w:tc>
              <w:tc>
                <w:tcPr>
                  <w:tcW w:w="735" w:type="dxa"/>
                  <w:vAlign w:val="center"/>
                </w:tcPr>
                <w:p w14:paraId="0E16DF9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FF"/>
                      <w:kern w:val="0"/>
                      <w:sz w:val="21"/>
                      <w:szCs w:val="21"/>
                      <w:u w:val="none" w:color="auto"/>
                      <w:lang w:val="en-US" w:eastAsia="zh-CN" w:bidi="ar"/>
                    </w:rPr>
                    <w:t>0.627</w:t>
                  </w:r>
                </w:p>
              </w:tc>
              <w:tc>
                <w:tcPr>
                  <w:tcW w:w="625" w:type="dxa"/>
                  <w:vAlign w:val="center"/>
                </w:tcPr>
                <w:p w14:paraId="18F31D8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w:t>
                  </w:r>
                </w:p>
              </w:tc>
              <w:tc>
                <w:tcPr>
                  <w:tcW w:w="1159" w:type="dxa"/>
                  <w:vAlign w:val="center"/>
                </w:tcPr>
                <w:p w14:paraId="658F41B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w:t>
                  </w:r>
                </w:p>
              </w:tc>
            </w:tr>
            <w:tr w14:paraId="754EB7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66" w:type="dxa"/>
                  <w:vAlign w:val="center"/>
                </w:tcPr>
                <w:p w14:paraId="41F16F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处理效率（%）</w:t>
                  </w:r>
                </w:p>
              </w:tc>
              <w:tc>
                <w:tcPr>
                  <w:tcW w:w="688" w:type="dxa"/>
                  <w:vAlign w:val="center"/>
                </w:tcPr>
                <w:p w14:paraId="492E3BAC">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w:t>
                  </w:r>
                </w:p>
              </w:tc>
              <w:tc>
                <w:tcPr>
                  <w:tcW w:w="806" w:type="dxa"/>
                  <w:vAlign w:val="center"/>
                </w:tcPr>
                <w:p w14:paraId="3278E41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80</w:t>
                  </w:r>
                </w:p>
              </w:tc>
              <w:tc>
                <w:tcPr>
                  <w:tcW w:w="750" w:type="dxa"/>
                  <w:vAlign w:val="center"/>
                </w:tcPr>
                <w:p w14:paraId="03E90CA9">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85</w:t>
                  </w:r>
                </w:p>
              </w:tc>
              <w:tc>
                <w:tcPr>
                  <w:tcW w:w="765" w:type="dxa"/>
                  <w:vAlign w:val="center"/>
                </w:tcPr>
                <w:p w14:paraId="2D9AFB5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75</w:t>
                  </w:r>
                </w:p>
              </w:tc>
              <w:tc>
                <w:tcPr>
                  <w:tcW w:w="840" w:type="dxa"/>
                  <w:vAlign w:val="center"/>
                </w:tcPr>
                <w:p w14:paraId="72FAF28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60</w:t>
                  </w:r>
                </w:p>
              </w:tc>
              <w:tc>
                <w:tcPr>
                  <w:tcW w:w="735" w:type="dxa"/>
                  <w:vAlign w:val="center"/>
                </w:tcPr>
                <w:p w14:paraId="0643BED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FF"/>
                      <w:kern w:val="0"/>
                      <w:sz w:val="21"/>
                      <w:szCs w:val="21"/>
                      <w:u w:val="none" w:color="auto"/>
                      <w:lang w:val="en-US" w:eastAsia="zh-CN" w:bidi="ar"/>
                    </w:rPr>
                    <w:t>0</w:t>
                  </w:r>
                </w:p>
              </w:tc>
              <w:tc>
                <w:tcPr>
                  <w:tcW w:w="885" w:type="dxa"/>
                  <w:vAlign w:val="center"/>
                </w:tcPr>
                <w:p w14:paraId="0BF0441E">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FF"/>
                      <w:kern w:val="0"/>
                      <w:sz w:val="21"/>
                      <w:szCs w:val="21"/>
                      <w:u w:val="none" w:color="auto"/>
                      <w:lang w:val="en-US" w:eastAsia="zh-CN" w:bidi="ar"/>
                    </w:rPr>
                    <w:t>0</w:t>
                  </w:r>
                </w:p>
              </w:tc>
              <w:tc>
                <w:tcPr>
                  <w:tcW w:w="735" w:type="dxa"/>
                  <w:vAlign w:val="center"/>
                </w:tcPr>
                <w:p w14:paraId="0450961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FF"/>
                      <w:kern w:val="0"/>
                      <w:sz w:val="21"/>
                      <w:szCs w:val="21"/>
                      <w:u w:val="none" w:color="auto"/>
                      <w:lang w:val="en-US" w:eastAsia="zh-CN" w:bidi="ar"/>
                    </w:rPr>
                    <w:t>50</w:t>
                  </w:r>
                </w:p>
              </w:tc>
              <w:tc>
                <w:tcPr>
                  <w:tcW w:w="625" w:type="dxa"/>
                  <w:vAlign w:val="center"/>
                </w:tcPr>
                <w:p w14:paraId="1A8D51F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w:t>
                  </w:r>
                </w:p>
              </w:tc>
              <w:tc>
                <w:tcPr>
                  <w:tcW w:w="1159" w:type="dxa"/>
                  <w:vAlign w:val="center"/>
                </w:tcPr>
                <w:p w14:paraId="4916A25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＞99.99</w:t>
                  </w:r>
                </w:p>
              </w:tc>
            </w:tr>
            <w:tr w14:paraId="541F08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66" w:type="dxa"/>
                  <w:vAlign w:val="center"/>
                </w:tcPr>
                <w:p w14:paraId="50EFC8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排放浓度(mg/L)</w:t>
                  </w:r>
                </w:p>
              </w:tc>
              <w:tc>
                <w:tcPr>
                  <w:tcW w:w="688" w:type="dxa"/>
                  <w:vAlign w:val="center"/>
                </w:tcPr>
                <w:p w14:paraId="2E965ADB">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6~9</w:t>
                  </w:r>
                </w:p>
              </w:tc>
              <w:tc>
                <w:tcPr>
                  <w:tcW w:w="806" w:type="dxa"/>
                  <w:vAlign w:val="center"/>
                </w:tcPr>
                <w:p w14:paraId="4828B033">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60.00</w:t>
                  </w:r>
                </w:p>
              </w:tc>
              <w:tc>
                <w:tcPr>
                  <w:tcW w:w="750" w:type="dxa"/>
                  <w:vAlign w:val="center"/>
                </w:tcPr>
                <w:p w14:paraId="119B1409">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22.50</w:t>
                  </w:r>
                </w:p>
              </w:tc>
              <w:tc>
                <w:tcPr>
                  <w:tcW w:w="765" w:type="dxa"/>
                  <w:vAlign w:val="center"/>
                </w:tcPr>
                <w:p w14:paraId="23DCB770">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30.00</w:t>
                  </w:r>
                </w:p>
              </w:tc>
              <w:tc>
                <w:tcPr>
                  <w:tcW w:w="840" w:type="dxa"/>
                  <w:vAlign w:val="center"/>
                </w:tcPr>
                <w:p w14:paraId="630A88F9">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20.00</w:t>
                  </w:r>
                </w:p>
              </w:tc>
              <w:tc>
                <w:tcPr>
                  <w:tcW w:w="735" w:type="dxa"/>
                  <w:vAlign w:val="center"/>
                </w:tcPr>
                <w:p w14:paraId="4F2D7D9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FF"/>
                      <w:kern w:val="0"/>
                      <w:sz w:val="21"/>
                      <w:szCs w:val="21"/>
                      <w:u w:val="none" w:color="auto"/>
                      <w:lang w:val="en-US" w:eastAsia="zh-CN" w:bidi="ar"/>
                    </w:rPr>
                    <w:t>1.25</w:t>
                  </w:r>
                </w:p>
              </w:tc>
              <w:tc>
                <w:tcPr>
                  <w:tcW w:w="885" w:type="dxa"/>
                  <w:vAlign w:val="center"/>
                </w:tcPr>
                <w:p w14:paraId="1953C14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FF"/>
                      <w:kern w:val="0"/>
                      <w:sz w:val="21"/>
                      <w:szCs w:val="21"/>
                      <w:u w:val="none" w:color="auto"/>
                      <w:lang w:val="en-US" w:eastAsia="zh-CN" w:bidi="ar"/>
                    </w:rPr>
                    <w:t>0.0021</w:t>
                  </w:r>
                </w:p>
              </w:tc>
              <w:tc>
                <w:tcPr>
                  <w:tcW w:w="735" w:type="dxa"/>
                  <w:vAlign w:val="center"/>
                </w:tcPr>
                <w:p w14:paraId="0081736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FF"/>
                      <w:kern w:val="0"/>
                      <w:sz w:val="21"/>
                      <w:szCs w:val="21"/>
                      <w:u w:val="none" w:color="auto"/>
                      <w:lang w:val="en-US" w:eastAsia="zh-CN" w:bidi="ar"/>
                    </w:rPr>
                    <w:t>10.00</w:t>
                  </w:r>
                </w:p>
              </w:tc>
              <w:tc>
                <w:tcPr>
                  <w:tcW w:w="625" w:type="dxa"/>
                  <w:vAlign w:val="center"/>
                </w:tcPr>
                <w:p w14:paraId="2FCEC95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18</w:t>
                  </w:r>
                </w:p>
              </w:tc>
              <w:tc>
                <w:tcPr>
                  <w:tcW w:w="1159" w:type="dxa"/>
                  <w:vAlign w:val="center"/>
                </w:tcPr>
                <w:p w14:paraId="0532D36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＜5000</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个/L)</w:t>
                  </w:r>
                </w:p>
              </w:tc>
            </w:tr>
            <w:tr w14:paraId="3B0126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66" w:type="dxa"/>
                  <w:vAlign w:val="center"/>
                </w:tcPr>
                <w:p w14:paraId="26796A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排放量（t/a）</w:t>
                  </w:r>
                </w:p>
              </w:tc>
              <w:tc>
                <w:tcPr>
                  <w:tcW w:w="688" w:type="dxa"/>
                  <w:vAlign w:val="center"/>
                </w:tcPr>
                <w:p w14:paraId="55A75870">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w:t>
                  </w:r>
                </w:p>
              </w:tc>
              <w:tc>
                <w:tcPr>
                  <w:tcW w:w="806" w:type="dxa"/>
                  <w:vAlign w:val="center"/>
                </w:tcPr>
                <w:p w14:paraId="2AB90B6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1.880</w:t>
                  </w:r>
                </w:p>
              </w:tc>
              <w:tc>
                <w:tcPr>
                  <w:tcW w:w="750" w:type="dxa"/>
                  <w:vAlign w:val="center"/>
                </w:tcPr>
                <w:p w14:paraId="0F59B7C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0.705</w:t>
                  </w:r>
                </w:p>
              </w:tc>
              <w:tc>
                <w:tcPr>
                  <w:tcW w:w="765" w:type="dxa"/>
                  <w:vAlign w:val="center"/>
                </w:tcPr>
                <w:p w14:paraId="46715D0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0.940</w:t>
                  </w:r>
                </w:p>
              </w:tc>
              <w:tc>
                <w:tcPr>
                  <w:tcW w:w="840" w:type="dxa"/>
                  <w:vAlign w:val="center"/>
                </w:tcPr>
                <w:p w14:paraId="018ABDD0">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0.627</w:t>
                  </w:r>
                </w:p>
              </w:tc>
              <w:tc>
                <w:tcPr>
                  <w:tcW w:w="735" w:type="dxa"/>
                  <w:vAlign w:val="center"/>
                </w:tcPr>
                <w:p w14:paraId="022D734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FF"/>
                      <w:kern w:val="0"/>
                      <w:sz w:val="21"/>
                      <w:szCs w:val="21"/>
                      <w:u w:val="none" w:color="auto"/>
                      <w:lang w:val="en-US" w:eastAsia="zh-CN" w:bidi="ar"/>
                    </w:rPr>
                    <w:t>0.039</w:t>
                  </w:r>
                </w:p>
              </w:tc>
              <w:tc>
                <w:tcPr>
                  <w:tcW w:w="885" w:type="dxa"/>
                  <w:vAlign w:val="center"/>
                </w:tcPr>
                <w:p w14:paraId="4EDBF7F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FF"/>
                      <w:kern w:val="0"/>
                      <w:sz w:val="21"/>
                      <w:szCs w:val="21"/>
                      <w:u w:val="none" w:color="auto"/>
                      <w:lang w:val="en-US" w:eastAsia="zh-CN" w:bidi="ar"/>
                    </w:rPr>
                    <w:t>0.0001</w:t>
                  </w:r>
                </w:p>
              </w:tc>
              <w:tc>
                <w:tcPr>
                  <w:tcW w:w="735" w:type="dxa"/>
                  <w:vAlign w:val="center"/>
                </w:tcPr>
                <w:p w14:paraId="7CA829DF">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0000FF"/>
                      <w:sz w:val="21"/>
                      <w:szCs w:val="21"/>
                      <w:u w:val="none" w:color="auto"/>
                      <w:lang w:val="en-US" w:eastAsia="zh-CN"/>
                    </w:rPr>
                  </w:pPr>
                  <w:r>
                    <w:rPr>
                      <w:rFonts w:hint="default" w:ascii="Times New Roman" w:hAnsi="Times New Roman" w:eastAsia="宋体" w:cs="Times New Roman"/>
                      <w:i w:val="0"/>
                      <w:iCs w:val="0"/>
                      <w:color w:val="0000FF"/>
                      <w:kern w:val="0"/>
                      <w:sz w:val="21"/>
                      <w:szCs w:val="21"/>
                      <w:u w:val="none" w:color="auto"/>
                      <w:lang w:val="en-US" w:eastAsia="zh-CN" w:bidi="ar"/>
                    </w:rPr>
                    <w:t>0.313</w:t>
                  </w:r>
                </w:p>
              </w:tc>
              <w:tc>
                <w:tcPr>
                  <w:tcW w:w="625" w:type="dxa"/>
                  <w:vAlign w:val="center"/>
                </w:tcPr>
                <w:p w14:paraId="0331F9D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w:t>
                  </w:r>
                </w:p>
              </w:tc>
              <w:tc>
                <w:tcPr>
                  <w:tcW w:w="1159" w:type="dxa"/>
                  <w:vAlign w:val="center"/>
                </w:tcPr>
                <w:p w14:paraId="4F96700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18E7D2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66" w:type="dxa"/>
                  <w:vAlign w:val="center"/>
                </w:tcPr>
                <w:p w14:paraId="17A491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GB18466-2005《医疗机构水污染物排放标准》预处理标准及江南区污水处理厂纳管标准从严值(mg/L)</w:t>
                  </w:r>
                </w:p>
              </w:tc>
              <w:tc>
                <w:tcPr>
                  <w:tcW w:w="688" w:type="dxa"/>
                  <w:vAlign w:val="center"/>
                </w:tcPr>
                <w:p w14:paraId="283E91A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6~9</w:t>
                  </w:r>
                </w:p>
              </w:tc>
              <w:tc>
                <w:tcPr>
                  <w:tcW w:w="806" w:type="dxa"/>
                  <w:vAlign w:val="center"/>
                </w:tcPr>
                <w:p w14:paraId="438ECFE0">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250</w:t>
                  </w:r>
                </w:p>
              </w:tc>
              <w:tc>
                <w:tcPr>
                  <w:tcW w:w="750" w:type="dxa"/>
                  <w:vAlign w:val="center"/>
                </w:tcPr>
                <w:p w14:paraId="45E2D76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100</w:t>
                  </w:r>
                </w:p>
              </w:tc>
              <w:tc>
                <w:tcPr>
                  <w:tcW w:w="765" w:type="dxa"/>
                  <w:vAlign w:val="center"/>
                </w:tcPr>
                <w:p w14:paraId="4F20A737">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60</w:t>
                  </w:r>
                </w:p>
              </w:tc>
              <w:tc>
                <w:tcPr>
                  <w:tcW w:w="840" w:type="dxa"/>
                  <w:vAlign w:val="center"/>
                </w:tcPr>
                <w:p w14:paraId="3AA6EDD0">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i w:val="0"/>
                      <w:iCs w:val="0"/>
                      <w:color w:val="auto"/>
                      <w:kern w:val="0"/>
                      <w:sz w:val="21"/>
                      <w:szCs w:val="21"/>
                      <w:u w:val="none" w:color="auto"/>
                      <w:lang w:val="en-US" w:eastAsia="zh-CN" w:bidi="ar"/>
                    </w:rPr>
                    <w:t>30</w:t>
                  </w:r>
                </w:p>
              </w:tc>
              <w:tc>
                <w:tcPr>
                  <w:tcW w:w="735" w:type="dxa"/>
                  <w:vAlign w:val="center"/>
                </w:tcPr>
                <w:p w14:paraId="65A87911">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w:t>
                  </w:r>
                </w:p>
              </w:tc>
              <w:tc>
                <w:tcPr>
                  <w:tcW w:w="885" w:type="dxa"/>
                  <w:vAlign w:val="center"/>
                </w:tcPr>
                <w:p w14:paraId="58F82A22">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w:t>
                  </w:r>
                </w:p>
              </w:tc>
              <w:tc>
                <w:tcPr>
                  <w:tcW w:w="735" w:type="dxa"/>
                  <w:vAlign w:val="center"/>
                </w:tcPr>
                <w:p w14:paraId="65271DDC">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w:t>
                  </w:r>
                </w:p>
              </w:tc>
              <w:tc>
                <w:tcPr>
                  <w:tcW w:w="625" w:type="dxa"/>
                  <w:vAlign w:val="center"/>
                </w:tcPr>
                <w:p w14:paraId="2E6B6D1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w:t>
                  </w:r>
                </w:p>
              </w:tc>
              <w:tc>
                <w:tcPr>
                  <w:tcW w:w="1159" w:type="dxa"/>
                  <w:vAlign w:val="center"/>
                </w:tcPr>
                <w:p w14:paraId="068B323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5000</w:t>
                  </w:r>
                  <w:r>
                    <w:rPr>
                      <w:rFonts w:hint="default" w:ascii="Times New Roman" w:hAnsi="Times New Roman" w:eastAsia="宋体" w:cs="Times New Roman"/>
                      <w:color w:val="auto"/>
                      <w:sz w:val="21"/>
                      <w:szCs w:val="21"/>
                      <w:u w:val="none" w:color="auto"/>
                      <w:lang w:val="en-US" w:eastAsia="zh-CN"/>
                    </w:rPr>
                    <w:t>MPN</w:t>
                  </w:r>
                  <w:r>
                    <w:rPr>
                      <w:rFonts w:hint="default" w:ascii="Times New Roman" w:hAnsi="Times New Roman" w:eastAsia="宋体" w:cs="Times New Roman"/>
                      <w:color w:val="auto"/>
                      <w:sz w:val="21"/>
                      <w:szCs w:val="21"/>
                      <w:u w:val="none" w:color="auto"/>
                    </w:rPr>
                    <w:t>/L</w:t>
                  </w:r>
                </w:p>
              </w:tc>
            </w:tr>
          </w:tbl>
          <w:p w14:paraId="42B74E2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eastAsia="黑体"/>
                <w:color w:val="auto"/>
                <w:sz w:val="24"/>
                <w:highlight w:val="none"/>
                <w:u w:val="none" w:color="auto"/>
                <w:lang w:val="en-US"/>
              </w:rPr>
            </w:pPr>
            <w:r>
              <w:rPr>
                <w:rFonts w:hint="eastAsia" w:ascii="宋体" w:hAnsi="宋体"/>
                <w:color w:val="auto"/>
                <w:sz w:val="24"/>
                <w:highlight w:val="none"/>
                <w:u w:val="none" w:color="auto"/>
              </w:rPr>
              <w:t>由上表可见，项目</w:t>
            </w:r>
            <w:r>
              <w:rPr>
                <w:rFonts w:hint="eastAsia" w:ascii="宋体" w:hAnsi="宋体"/>
                <w:color w:val="auto"/>
                <w:sz w:val="24"/>
                <w:highlight w:val="none"/>
                <w:u w:val="none" w:color="auto"/>
                <w:lang w:val="en-US" w:eastAsia="zh-CN"/>
              </w:rPr>
              <w:t>各项污、废水经处理后</w:t>
            </w:r>
            <w:r>
              <w:rPr>
                <w:rFonts w:ascii="宋体" w:hAnsi="宋体"/>
                <w:color w:val="auto"/>
                <w:sz w:val="24"/>
                <w:highlight w:val="none"/>
                <w:u w:val="none" w:color="auto"/>
              </w:rPr>
              <w:t>，</w:t>
            </w:r>
            <w:r>
              <w:rPr>
                <w:rFonts w:hint="eastAsia" w:ascii="宋体" w:hAnsi="宋体"/>
                <w:color w:val="auto"/>
                <w:sz w:val="24"/>
                <w:highlight w:val="none"/>
                <w:u w:val="none" w:color="auto"/>
              </w:rPr>
              <w:t>外排</w:t>
            </w:r>
            <w:r>
              <w:rPr>
                <w:rFonts w:ascii="宋体" w:hAnsi="宋体"/>
                <w:color w:val="auto"/>
                <w:sz w:val="24"/>
                <w:highlight w:val="none"/>
                <w:u w:val="none" w:color="auto"/>
              </w:rPr>
              <w:t>废水</w:t>
            </w:r>
            <w:r>
              <w:rPr>
                <w:rFonts w:hint="eastAsia" w:ascii="宋体" w:hAnsi="宋体"/>
                <w:color w:val="auto"/>
                <w:sz w:val="24"/>
                <w:highlight w:val="none"/>
                <w:u w:val="none" w:color="auto"/>
              </w:rPr>
              <w:t>可</w:t>
            </w:r>
            <w:r>
              <w:rPr>
                <w:rFonts w:ascii="Times New Roman" w:hAnsi="宋体"/>
                <w:color w:val="auto"/>
                <w:sz w:val="24"/>
                <w:u w:val="none" w:color="auto"/>
              </w:rPr>
              <w:t>达</w:t>
            </w:r>
            <w:r>
              <w:rPr>
                <w:rFonts w:hint="eastAsia" w:hAnsi="宋体"/>
                <w:color w:val="auto"/>
                <w:sz w:val="24"/>
                <w:u w:val="none" w:color="auto"/>
                <w:lang w:val="en-US" w:eastAsia="zh-CN"/>
              </w:rPr>
              <w:t>到</w:t>
            </w:r>
            <w:r>
              <w:rPr>
                <w:rFonts w:ascii="Times New Roman" w:hAnsi="宋体"/>
                <w:color w:val="auto"/>
                <w:sz w:val="24"/>
                <w:u w:val="none" w:color="auto"/>
              </w:rPr>
              <w:t>《医疗机构水污染物排放标准》（</w:t>
            </w:r>
            <w:r>
              <w:rPr>
                <w:rFonts w:ascii="Times New Roman" w:hAnsi="Times New Roman"/>
                <w:color w:val="auto"/>
                <w:sz w:val="24"/>
                <w:u w:val="none" w:color="auto"/>
              </w:rPr>
              <w:t>GB18466-2005</w:t>
            </w:r>
            <w:r>
              <w:rPr>
                <w:rFonts w:ascii="Times New Roman" w:hAnsi="宋体"/>
                <w:color w:val="auto"/>
                <w:sz w:val="24"/>
                <w:u w:val="none" w:color="auto"/>
              </w:rPr>
              <w:t>）</w:t>
            </w:r>
            <w:r>
              <w:rPr>
                <w:rFonts w:ascii="Times New Roman" w:hAnsi="宋体"/>
                <w:color w:val="auto"/>
                <w:sz w:val="24"/>
                <w:u w:val="none" w:color="auto"/>
                <w:lang w:val="zh-CN"/>
              </w:rPr>
              <w:t>综合医疗机构和其他医疗机构水污染物</w:t>
            </w:r>
            <w:r>
              <w:rPr>
                <w:rFonts w:hint="eastAsia" w:ascii="Times New Roman" w:hAnsi="宋体"/>
                <w:color w:val="auto"/>
                <w:sz w:val="24"/>
                <w:u w:val="none" w:color="auto"/>
                <w:lang w:val="zh-CN"/>
              </w:rPr>
              <w:t>预处理标准</w:t>
            </w:r>
            <w:r>
              <w:rPr>
                <w:rFonts w:hint="eastAsia" w:hAnsi="宋体"/>
                <w:color w:val="auto"/>
                <w:sz w:val="24"/>
                <w:u w:val="none" w:color="auto"/>
                <w:lang w:val="en-US" w:eastAsia="zh-CN"/>
              </w:rPr>
              <w:t>及江南区污水处理厂纳管标准较严值</w:t>
            </w:r>
            <w:r>
              <w:rPr>
                <w:rFonts w:hint="eastAsia" w:hAnsi="宋体"/>
                <w:color w:val="auto"/>
                <w:sz w:val="24"/>
                <w:u w:val="none" w:color="auto"/>
                <w:lang w:val="zh-CN"/>
              </w:rPr>
              <w:t>，进入南宁市江南污水处理厂处理</w:t>
            </w:r>
            <w:r>
              <w:rPr>
                <w:rFonts w:hint="eastAsia" w:hAnsi="宋体"/>
                <w:color w:val="auto"/>
                <w:sz w:val="24"/>
                <w:u w:val="none" w:color="auto"/>
                <w:lang w:val="en-US" w:eastAsia="zh-CN"/>
              </w:rPr>
              <w:t>。</w:t>
            </w:r>
          </w:p>
          <w:p w14:paraId="75C0787D">
            <w:pPr>
              <w:pStyle w:val="36"/>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color w:val="auto"/>
                <w:u w:val="none" w:color="auto"/>
              </w:rPr>
            </w:pPr>
            <w:r>
              <w:rPr>
                <w:rFonts w:hint="eastAsia"/>
                <w:color w:val="auto"/>
                <w:u w:val="none" w:color="auto"/>
                <w:lang w:eastAsia="zh-CN"/>
              </w:rPr>
              <w:t>（</w:t>
            </w:r>
            <w:r>
              <w:rPr>
                <w:rFonts w:hint="eastAsia"/>
                <w:color w:val="auto"/>
                <w:u w:val="none" w:color="auto"/>
                <w:lang w:val="en-US" w:eastAsia="zh-CN"/>
              </w:rPr>
              <w:t>4</w:t>
            </w:r>
            <w:r>
              <w:rPr>
                <w:rFonts w:hint="eastAsia"/>
                <w:color w:val="auto"/>
                <w:u w:val="none" w:color="auto"/>
                <w:lang w:eastAsia="zh-CN"/>
              </w:rPr>
              <w:t>）</w:t>
            </w:r>
            <w:r>
              <w:rPr>
                <w:color w:val="auto"/>
                <w:u w:val="none" w:color="auto"/>
              </w:rPr>
              <w:t>废水处理措施可行性分析</w:t>
            </w:r>
          </w:p>
          <w:p w14:paraId="1DDD136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u w:val="none" w:color="auto"/>
              </w:rPr>
            </w:pPr>
            <w:r>
              <w:rPr>
                <w:rFonts w:hint="eastAsia"/>
                <w:color w:val="auto"/>
                <w:u w:val="none" w:color="auto"/>
                <w:lang w:val="en-US" w:eastAsia="zh-CN"/>
              </w:rPr>
              <w:t>项目</w:t>
            </w:r>
            <w:r>
              <w:rPr>
                <w:rFonts w:hint="eastAsia" w:hAnsi="宋体"/>
                <w:color w:val="auto"/>
                <w:sz w:val="24"/>
                <w:u w:val="none" w:color="auto"/>
                <w:lang w:val="en-US" w:eastAsia="zh-CN"/>
              </w:rPr>
              <w:t>特殊医疗废水（为酸性废水）经中和处理、食堂废水经隔油池预处理后，与其他一般医疗废水进入化粪池+地埋式污水处理站处理，该污水处理站</w:t>
            </w:r>
            <w:r>
              <w:rPr>
                <w:rFonts w:hint="eastAsia"/>
                <w:color w:val="auto"/>
                <w:u w:val="none" w:color="auto"/>
                <w:lang w:val="en-US" w:eastAsia="zh-CN"/>
              </w:rPr>
              <w:t>拟采用</w:t>
            </w:r>
            <w:r>
              <w:rPr>
                <w:rFonts w:hint="eastAsia" w:cs="Times New Roman"/>
                <w:color w:val="auto"/>
                <w:highlight w:val="none"/>
                <w:u w:val="none" w:color="auto"/>
                <w:lang w:val="en-US" w:eastAsia="zh-CN"/>
              </w:rPr>
              <w:t>“格栅+</w:t>
            </w:r>
            <w:r>
              <w:rPr>
                <w:rFonts w:hint="default" w:ascii="Times New Roman" w:hAnsi="Times New Roman" w:eastAsia="宋体" w:cs="Times New Roman"/>
                <w:color w:val="auto"/>
                <w:highlight w:val="none"/>
                <w:u w:val="none" w:color="auto"/>
                <w:lang w:val="en-US" w:eastAsia="zh-CN"/>
              </w:rPr>
              <w:t>混凝沉淀</w:t>
            </w:r>
            <w:r>
              <w:rPr>
                <w:rFonts w:hint="default"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lang w:val="en-US" w:eastAsia="zh-CN"/>
              </w:rPr>
              <w:t>A/O生物接触氧化+紫外线消毒</w:t>
            </w:r>
            <w:r>
              <w:rPr>
                <w:rFonts w:hint="eastAsia" w:cs="Times New Roman"/>
                <w:color w:val="auto"/>
                <w:highlight w:val="none"/>
                <w:u w:val="none" w:color="auto"/>
                <w:lang w:val="en-US" w:eastAsia="zh-CN"/>
              </w:rPr>
              <w:t>”</w:t>
            </w:r>
            <w:r>
              <w:rPr>
                <w:rFonts w:hint="eastAsia"/>
                <w:color w:val="auto"/>
                <w:u w:val="none" w:color="auto"/>
                <w:lang w:val="en-US" w:eastAsia="zh-CN"/>
              </w:rPr>
              <w:t>处理废水，属于二级强化处理+消毒工艺，</w:t>
            </w:r>
            <w:r>
              <w:rPr>
                <w:rFonts w:hint="eastAsia"/>
                <w:color w:val="auto"/>
                <w:u w:val="none" w:color="auto"/>
              </w:rPr>
              <w:t>根据《医院污水处理工程技术规范》（HJ2029-2013）中“6.2.2 处理工艺流程：</w:t>
            </w:r>
            <w:r>
              <w:rPr>
                <w:rFonts w:hint="eastAsia"/>
                <w:color w:val="auto"/>
                <w:u w:val="none" w:color="auto"/>
                <w:lang w:eastAsia="zh-CN"/>
              </w:rPr>
              <w:t>（</w:t>
            </w:r>
            <w:r>
              <w:rPr>
                <w:rFonts w:hint="eastAsia"/>
                <w:color w:val="auto"/>
                <w:u w:val="none" w:color="auto"/>
                <w:lang w:val="en-US" w:eastAsia="zh-CN"/>
              </w:rPr>
              <w:t>1</w:t>
            </w:r>
            <w:r>
              <w:rPr>
                <w:rFonts w:hint="eastAsia"/>
                <w:color w:val="auto"/>
                <w:u w:val="none" w:color="auto"/>
                <w:lang w:eastAsia="zh-CN"/>
              </w:rPr>
              <w:t>）</w:t>
            </w:r>
            <w:r>
              <w:rPr>
                <w:rFonts w:hint="eastAsia"/>
                <w:color w:val="auto"/>
                <w:u w:val="none" w:color="auto"/>
                <w:lang w:val="en-US" w:eastAsia="zh-CN"/>
              </w:rPr>
              <w:t>出水排入城市污水管网（终端已建有正常运行的二级污水处理厂）的非传染病区医院污水，可采用一级强化处理工艺（格栅+调节+混凝沉淀</w:t>
            </w:r>
            <w:r>
              <w:rPr>
                <w:rFonts w:hint="eastAsia"/>
                <w:color w:val="auto"/>
                <w:u w:val="none" w:color="auto"/>
              </w:rPr>
              <w:t>+消毒工艺</w:t>
            </w:r>
            <w:r>
              <w:rPr>
                <w:rFonts w:hint="eastAsia"/>
                <w:color w:val="auto"/>
                <w:u w:val="none" w:color="auto"/>
                <w:lang w:val="en-US" w:eastAsia="zh-CN"/>
              </w:rPr>
              <w:t>）</w:t>
            </w:r>
            <w:r>
              <w:rPr>
                <w:rFonts w:hint="eastAsia"/>
                <w:color w:val="auto"/>
                <w:u w:val="none" w:color="auto"/>
              </w:rPr>
              <w:t>（2）出水直接或间接排入地表水体、海域</w:t>
            </w:r>
            <w:r>
              <w:rPr>
                <w:rFonts w:hint="eastAsia"/>
                <w:color w:val="auto"/>
                <w:u w:val="none" w:color="auto"/>
                <w:lang w:eastAsia="zh-CN"/>
              </w:rPr>
              <w:t>，或</w:t>
            </w:r>
            <w:r>
              <w:rPr>
                <w:rFonts w:hint="eastAsia"/>
                <w:color w:val="auto"/>
                <w:u w:val="none" w:color="auto"/>
              </w:rPr>
              <w:t>出水回用的非传染病医院污水，一般采用二级处理+（深化处理）+消毒工艺。”二级强化处理工艺见下图：</w:t>
            </w:r>
          </w:p>
          <w:p w14:paraId="1F85FD23">
            <w:pPr>
              <w:keepNext w:val="0"/>
              <w:keepLines w:val="0"/>
              <w:pageBreakBefore w:val="0"/>
              <w:widowControl w:val="0"/>
              <w:kinsoku/>
              <w:wordWrap/>
              <w:overflowPunct/>
              <w:topLinePunct w:val="0"/>
              <w:autoSpaceDE/>
              <w:autoSpaceDN/>
              <w:bidi w:val="0"/>
              <w:adjustRightInd/>
              <w:snapToGrid/>
              <w:spacing w:line="240" w:lineRule="atLeast"/>
              <w:ind w:firstLine="480" w:firstLineChars="200"/>
              <w:textAlignment w:val="auto"/>
              <w:rPr>
                <w:rFonts w:hint="eastAsia" w:eastAsia="宋体"/>
                <w:color w:val="auto"/>
                <w:u w:val="none" w:color="auto"/>
                <w:lang w:eastAsia="zh-CN"/>
              </w:rPr>
            </w:pPr>
            <w:r>
              <w:rPr>
                <w:rFonts w:hint="eastAsia" w:eastAsia="宋体"/>
                <w:color w:val="auto"/>
                <w:u w:val="none" w:color="auto"/>
                <w:lang w:eastAsia="zh-CN"/>
              </w:rPr>
              <w:drawing>
                <wp:inline distT="0" distB="0" distL="114300" distR="114300">
                  <wp:extent cx="4794250" cy="2592070"/>
                  <wp:effectExtent l="0" t="0" r="6350" b="17780"/>
                  <wp:docPr id="70" name="图片 70" descr="1683519489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683519489516"/>
                          <pic:cNvPicPr>
                            <a:picLocks noChangeAspect="1"/>
                          </pic:cNvPicPr>
                        </pic:nvPicPr>
                        <pic:blipFill>
                          <a:blip r:embed="rId18"/>
                          <a:stretch>
                            <a:fillRect/>
                          </a:stretch>
                        </pic:blipFill>
                        <pic:spPr>
                          <a:xfrm>
                            <a:off x="0" y="0"/>
                            <a:ext cx="4794250" cy="2592070"/>
                          </a:xfrm>
                          <a:prstGeom prst="rect">
                            <a:avLst/>
                          </a:prstGeom>
                        </pic:spPr>
                      </pic:pic>
                    </a:graphicData>
                  </a:graphic>
                </wp:inline>
              </w:drawing>
            </w:r>
          </w:p>
          <w:p w14:paraId="6DDFA69D">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eastAsia="宋体"/>
                <w:color w:val="auto"/>
                <w:u w:val="none" w:color="auto"/>
                <w:lang w:val="en-US" w:eastAsia="zh-CN"/>
              </w:rPr>
            </w:pPr>
            <w:r>
              <w:rPr>
                <w:rFonts w:hint="eastAsia"/>
                <w:color w:val="auto"/>
                <w:u w:val="none" w:color="auto"/>
                <w:lang w:val="en-US" w:eastAsia="zh-CN"/>
              </w:rPr>
              <w:t>图3  二级强化处理工艺图</w:t>
            </w:r>
          </w:p>
          <w:p w14:paraId="3E6B36D8">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u w:val="none" w:color="auto"/>
              </w:rPr>
            </w:pPr>
            <w:r>
              <w:rPr>
                <w:rFonts w:hint="eastAsia"/>
                <w:color w:val="auto"/>
                <w:u w:val="none" w:color="auto"/>
              </w:rPr>
              <w:t>本项目采取的废水处理工艺为“</w:t>
            </w:r>
            <w:r>
              <w:rPr>
                <w:rFonts w:hint="eastAsia" w:cs="Times New Roman"/>
                <w:color w:val="auto"/>
                <w:highlight w:val="none"/>
                <w:u w:val="none" w:color="auto"/>
                <w:lang w:val="en-US" w:eastAsia="zh-CN"/>
              </w:rPr>
              <w:t>格栅+混凝沉淀</w:t>
            </w:r>
            <w:r>
              <w:rPr>
                <w:rFonts w:hint="default"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lang w:val="en-US" w:eastAsia="zh-CN"/>
              </w:rPr>
              <w:t>A/O生物接触氧化+紫外线消毒</w:t>
            </w:r>
            <w:r>
              <w:rPr>
                <w:rFonts w:hint="default" w:ascii="Times New Roman" w:hAnsi="Times New Roman" w:eastAsia="宋体" w:cs="Times New Roman"/>
                <w:color w:val="auto"/>
                <w:highlight w:val="none"/>
                <w:u w:val="none" w:color="auto"/>
                <w:lang w:eastAsia="zh-CN"/>
              </w:rPr>
              <w:t>处理</w:t>
            </w:r>
            <w:r>
              <w:rPr>
                <w:rFonts w:hint="eastAsia"/>
                <w:color w:val="auto"/>
                <w:u w:val="none" w:color="auto"/>
              </w:rPr>
              <w:t>”，</w:t>
            </w:r>
            <w:r>
              <w:rPr>
                <w:rFonts w:hint="eastAsia"/>
                <w:color w:val="auto"/>
                <w:u w:val="none" w:color="auto"/>
                <w:lang w:val="en-US" w:eastAsia="zh-CN"/>
              </w:rPr>
              <w:t>工艺原理</w:t>
            </w:r>
            <w:r>
              <w:rPr>
                <w:rFonts w:hint="eastAsia"/>
                <w:color w:val="auto"/>
                <w:u w:val="none" w:color="auto"/>
              </w:rPr>
              <w:t>属于二级生化处理工艺，符合《医院污水处理工程技术规范》（HJ2029-2013）非传染病医院污水的要求。</w:t>
            </w:r>
            <w:r>
              <w:rPr>
                <w:rFonts w:hint="eastAsia"/>
                <w:color w:val="auto"/>
                <w:u w:val="none" w:color="auto"/>
                <w:lang w:val="en-US" w:eastAsia="zh-CN"/>
              </w:rPr>
              <w:t>同时，根据《排污许可证申请与核发技术规范  医疗机构》（HJ1105-2020）：排入海域、江、河、湖库等水体，推荐的可行技术为二级处理/深度处理+消毒工艺，其中二级处理包括活性污泥法、生物膜法，深度处理包括絮凝沉淀法、砂滤法、活性炭法、臭氧氧化法、膜分离法、生物脱氮除磷法，消毒工艺包括加氯消毒、臭氧法消毒，次氯酸钠法、二氧化氯消毒法、紫外线消毒法等，本项目采用</w:t>
            </w:r>
            <w:r>
              <w:rPr>
                <w:rFonts w:hint="eastAsia"/>
                <w:color w:val="auto"/>
                <w:u w:val="none" w:color="auto"/>
              </w:rPr>
              <w:t>“</w:t>
            </w:r>
            <w:r>
              <w:rPr>
                <w:rFonts w:hint="eastAsia" w:cs="Times New Roman"/>
                <w:color w:val="auto"/>
                <w:highlight w:val="none"/>
                <w:u w:val="none" w:color="auto"/>
                <w:lang w:val="en-US" w:eastAsia="zh-CN"/>
              </w:rPr>
              <w:t>格栅+混凝沉淀</w:t>
            </w:r>
            <w:r>
              <w:rPr>
                <w:rFonts w:hint="default"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lang w:val="en-US" w:eastAsia="zh-CN"/>
              </w:rPr>
              <w:t>A/O生物接触氧化+紫外线消毒</w:t>
            </w:r>
            <w:r>
              <w:rPr>
                <w:rFonts w:hint="default" w:ascii="Times New Roman" w:hAnsi="Times New Roman" w:eastAsia="宋体" w:cs="Times New Roman"/>
                <w:color w:val="auto"/>
                <w:highlight w:val="none"/>
                <w:u w:val="none" w:color="auto"/>
                <w:lang w:eastAsia="zh-CN"/>
              </w:rPr>
              <w:t>处理</w:t>
            </w:r>
            <w:r>
              <w:rPr>
                <w:rFonts w:hint="eastAsia"/>
                <w:color w:val="auto"/>
                <w:u w:val="none" w:color="auto"/>
              </w:rPr>
              <w:t>”</w:t>
            </w:r>
            <w:r>
              <w:rPr>
                <w:rFonts w:hint="eastAsia"/>
                <w:color w:val="auto"/>
                <w:u w:val="none" w:color="auto"/>
                <w:lang w:val="en-US" w:eastAsia="zh-CN"/>
              </w:rPr>
              <w:t>，属于絮凝沉淀+活性污泥+紫外线消毒法，属于该规范中推荐的可行性技术。</w:t>
            </w:r>
            <w:r>
              <w:rPr>
                <w:rFonts w:hint="eastAsia"/>
                <w:color w:val="auto"/>
                <w:u w:val="none" w:color="auto"/>
              </w:rPr>
              <w:t>因此，项目采取的废水处理工艺措施可行。</w:t>
            </w:r>
          </w:p>
          <w:p w14:paraId="33B30D42">
            <w:pPr>
              <w:spacing w:beforeLines="0" w:afterLines="0"/>
              <w:jc w:val="left"/>
              <w:rPr>
                <w:rFonts w:hint="eastAsia" w:eastAsia="宋体"/>
                <w:color w:val="auto"/>
                <w:u w:val="none" w:color="auto"/>
                <w:lang w:val="en-US" w:eastAsia="zh-CN"/>
              </w:rPr>
            </w:pPr>
            <w:r>
              <w:rPr>
                <w:rFonts w:hint="eastAsia" w:ascii="宋体" w:hAnsi="宋体" w:eastAsia="宋体"/>
                <w:color w:val="auto"/>
                <w:sz w:val="24"/>
                <w:szCs w:val="24"/>
                <w:u w:val="none" w:color="auto"/>
              </w:rPr>
              <w:t>相关案例：根据《</w:t>
            </w:r>
            <w:r>
              <w:rPr>
                <w:rFonts w:hint="eastAsia" w:ascii="宋体" w:hAnsi="宋体"/>
                <w:color w:val="auto"/>
                <w:sz w:val="24"/>
                <w:szCs w:val="24"/>
                <w:u w:val="none" w:color="auto"/>
                <w:lang w:val="en-US" w:eastAsia="zh-CN"/>
              </w:rPr>
              <w:t>修水安康精神病医院</w:t>
            </w:r>
            <w:r>
              <w:rPr>
                <w:rFonts w:hint="eastAsia" w:ascii="宋体" w:hAnsi="宋体" w:eastAsia="宋体"/>
                <w:color w:val="auto"/>
                <w:sz w:val="24"/>
                <w:szCs w:val="24"/>
                <w:u w:val="none" w:color="auto"/>
              </w:rPr>
              <w:t>建设项目竣工环境保护验收监测报告》（</w:t>
            </w:r>
            <w:r>
              <w:rPr>
                <w:rFonts w:hint="eastAsia" w:ascii="TimesNewRomanPSMT" w:hAnsi="TimesNewRomanPSMT" w:eastAsia="TimesNewRomanPSMT"/>
                <w:color w:val="auto"/>
                <w:sz w:val="24"/>
                <w:szCs w:val="24"/>
                <w:u w:val="none" w:color="auto"/>
              </w:rPr>
              <w:t xml:space="preserve">2021 </w:t>
            </w:r>
            <w:r>
              <w:rPr>
                <w:rFonts w:hint="eastAsia" w:ascii="宋体" w:hAnsi="宋体" w:eastAsia="宋体"/>
                <w:color w:val="auto"/>
                <w:sz w:val="24"/>
                <w:szCs w:val="24"/>
                <w:u w:val="none" w:color="auto"/>
              </w:rPr>
              <w:t>年</w:t>
            </w:r>
            <w:r>
              <w:rPr>
                <w:rFonts w:hint="eastAsia" w:ascii="TimesNewRomanPSMT" w:hAnsi="TimesNewRomanPSMT" w:eastAsia="宋体"/>
                <w:color w:val="auto"/>
                <w:sz w:val="24"/>
                <w:szCs w:val="24"/>
                <w:u w:val="none" w:color="auto"/>
                <w:lang w:val="en-US" w:eastAsia="zh-CN"/>
              </w:rPr>
              <w:t>7</w:t>
            </w:r>
            <w:r>
              <w:rPr>
                <w:rFonts w:hint="eastAsia" w:ascii="宋体" w:hAnsi="宋体" w:eastAsia="宋体"/>
                <w:color w:val="auto"/>
                <w:sz w:val="24"/>
                <w:szCs w:val="24"/>
                <w:u w:val="none" w:color="auto"/>
              </w:rPr>
              <w:t>月），该项目</w:t>
            </w:r>
            <w:r>
              <w:rPr>
                <w:rFonts w:hint="eastAsia" w:ascii="宋体" w:hAnsi="宋体" w:eastAsia="宋体"/>
                <w:color w:val="auto"/>
                <w:sz w:val="24"/>
                <w:szCs w:val="24"/>
                <w:u w:val="none" w:color="auto"/>
                <w:lang w:val="en-US" w:eastAsia="zh-CN"/>
              </w:rPr>
              <w:t>收治病人类型与本项目</w:t>
            </w:r>
            <w:r>
              <w:rPr>
                <w:rFonts w:hint="eastAsia" w:ascii="宋体" w:hAnsi="宋体" w:eastAsia="宋体"/>
                <w:color w:val="auto"/>
                <w:sz w:val="24"/>
                <w:szCs w:val="24"/>
                <w:u w:val="none" w:color="auto"/>
              </w:rPr>
              <w:t>一致，</w:t>
            </w:r>
            <w:r>
              <w:rPr>
                <w:rFonts w:hint="eastAsia" w:ascii="宋体" w:hAnsi="宋体" w:eastAsia="宋体"/>
                <w:color w:val="auto"/>
                <w:sz w:val="24"/>
                <w:szCs w:val="24"/>
                <w:u w:val="none" w:color="auto"/>
                <w:lang w:val="en-US" w:eastAsia="zh-CN"/>
              </w:rPr>
              <w:t>床位数</w:t>
            </w:r>
            <w:r>
              <w:rPr>
                <w:rFonts w:hint="eastAsia" w:ascii="宋体" w:hAnsi="宋体"/>
                <w:color w:val="auto"/>
                <w:sz w:val="24"/>
                <w:szCs w:val="24"/>
                <w:u w:val="none" w:color="auto"/>
                <w:lang w:val="en-US" w:eastAsia="zh-CN"/>
              </w:rPr>
              <w:t>299张</w:t>
            </w:r>
            <w:r>
              <w:rPr>
                <w:rFonts w:hint="eastAsia" w:ascii="宋体" w:hAnsi="宋体" w:eastAsia="宋体"/>
                <w:color w:val="auto"/>
                <w:sz w:val="24"/>
                <w:szCs w:val="24"/>
                <w:u w:val="none" w:color="auto"/>
                <w:lang w:val="en-US" w:eastAsia="zh-CN"/>
              </w:rPr>
              <w:t>，</w:t>
            </w:r>
            <w:r>
              <w:rPr>
                <w:rFonts w:hint="eastAsia" w:ascii="宋体" w:hAnsi="宋体" w:eastAsia="宋体"/>
                <w:color w:val="auto"/>
                <w:sz w:val="24"/>
                <w:szCs w:val="24"/>
                <w:u w:val="none" w:color="auto"/>
              </w:rPr>
              <w:t>污水水质相差不大，污水处理站处理工艺相似，参考其竣工验收监测具有</w:t>
            </w:r>
            <w:r>
              <w:rPr>
                <w:rFonts w:hint="eastAsia" w:ascii="宋体" w:hAnsi="宋体" w:eastAsia="宋体"/>
                <w:color w:val="auto"/>
                <w:sz w:val="24"/>
                <w:szCs w:val="24"/>
                <w:u w:val="none" w:color="auto"/>
                <w:lang w:val="en-US" w:eastAsia="zh-CN"/>
              </w:rPr>
              <w:t>可类比</w:t>
            </w:r>
            <w:r>
              <w:rPr>
                <w:rFonts w:hint="eastAsia" w:ascii="宋体" w:hAnsi="宋体" w:eastAsia="宋体"/>
                <w:color w:val="auto"/>
                <w:sz w:val="24"/>
                <w:szCs w:val="24"/>
                <w:u w:val="none" w:color="auto"/>
              </w:rPr>
              <w:t>性，该项目于污水处理设施出水口设</w:t>
            </w:r>
            <w:r>
              <w:rPr>
                <w:rFonts w:hint="eastAsia" w:ascii="TimesNewRomanPSMT" w:hAnsi="TimesNewRomanPSMT" w:eastAsia="TimesNewRomanPSMT"/>
                <w:color w:val="auto"/>
                <w:sz w:val="24"/>
                <w:szCs w:val="24"/>
                <w:u w:val="none" w:color="auto"/>
              </w:rPr>
              <w:t xml:space="preserve">1 </w:t>
            </w:r>
            <w:r>
              <w:rPr>
                <w:rFonts w:hint="eastAsia" w:ascii="宋体" w:hAnsi="宋体" w:eastAsia="宋体"/>
                <w:color w:val="auto"/>
                <w:sz w:val="24"/>
                <w:szCs w:val="24"/>
                <w:u w:val="none" w:color="auto"/>
              </w:rPr>
              <w:t>个监测点，竣工验收监测数据详见</w:t>
            </w:r>
            <w:r>
              <w:rPr>
                <w:rFonts w:hint="eastAsia" w:ascii="宋体" w:hAnsi="宋体" w:eastAsia="宋体"/>
                <w:color w:val="auto"/>
                <w:sz w:val="24"/>
                <w:szCs w:val="24"/>
                <w:u w:val="none" w:color="auto"/>
                <w:lang w:val="en-US" w:eastAsia="zh-CN"/>
              </w:rPr>
              <w:t>下表：</w:t>
            </w:r>
          </w:p>
          <w:p w14:paraId="6C5226E2">
            <w:pPr>
              <w:pStyle w:val="10"/>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firstLine="0" w:firstLineChars="0"/>
              <w:jc w:val="center"/>
              <w:textAlignment w:val="auto"/>
              <w:rPr>
                <w:rFonts w:hint="eastAsia" w:ascii="黑体" w:hAnsi="黑体" w:eastAsia="黑体"/>
                <w:b w:val="0"/>
                <w:color w:val="auto"/>
                <w:u w:val="none" w:color="auto"/>
              </w:rPr>
            </w:pPr>
            <w:r>
              <w:rPr>
                <w:rFonts w:hint="eastAsia" w:ascii="黑体" w:hAnsi="黑体" w:eastAsia="黑体"/>
                <w:b w:val="0"/>
                <w:color w:val="auto"/>
                <w:u w:val="none" w:color="auto"/>
                <w:lang w:val="en-US" w:eastAsia="zh-CN"/>
              </w:rPr>
              <w:t>同类型企业验收监测</w:t>
            </w:r>
            <w:r>
              <w:rPr>
                <w:rFonts w:ascii="黑体" w:hAnsi="黑体" w:eastAsia="黑体"/>
                <w:b w:val="0"/>
                <w:color w:val="auto"/>
                <w:u w:val="none" w:color="auto"/>
              </w:rPr>
              <w:t>表</w:t>
            </w:r>
          </w:p>
          <w:tbl>
            <w:tblPr>
              <w:tblStyle w:val="22"/>
              <w:tblW w:w="84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1"/>
              <w:gridCol w:w="2910"/>
              <w:gridCol w:w="2042"/>
              <w:gridCol w:w="1273"/>
              <w:gridCol w:w="1500"/>
            </w:tblGrid>
            <w:tr w14:paraId="52D13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70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9974F4">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2"/>
                      <w:szCs w:val="22"/>
                      <w:u w:val="none" w:color="auto"/>
                    </w:rPr>
                  </w:pPr>
                  <w:r>
                    <w:rPr>
                      <w:rFonts w:hint="eastAsia" w:ascii="宋体" w:hAnsi="宋体" w:eastAsia="宋体" w:cs="宋体"/>
                      <w:i w:val="0"/>
                      <w:iCs w:val="0"/>
                      <w:color w:val="auto"/>
                      <w:kern w:val="0"/>
                      <w:sz w:val="22"/>
                      <w:szCs w:val="22"/>
                      <w:u w:val="none" w:color="auto"/>
                      <w:lang w:val="en-US" w:eastAsia="zh-CN" w:bidi="ar"/>
                    </w:rPr>
                    <w:t>序号</w:t>
                  </w:r>
                </w:p>
              </w:tc>
              <w:tc>
                <w:tcPr>
                  <w:tcW w:w="2910" w:type="dxa"/>
                  <w:tcBorders>
                    <w:top w:val="single" w:color="000000" w:sz="8" w:space="0"/>
                    <w:left w:val="nil"/>
                    <w:bottom w:val="single" w:color="000000" w:sz="8" w:space="0"/>
                    <w:right w:val="single" w:color="000000" w:sz="8" w:space="0"/>
                  </w:tcBorders>
                  <w:shd w:val="clear" w:color="auto" w:fill="auto"/>
                  <w:vAlign w:val="center"/>
                </w:tcPr>
                <w:p w14:paraId="19E92754">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项目</w:t>
                  </w:r>
                </w:p>
              </w:tc>
              <w:tc>
                <w:tcPr>
                  <w:tcW w:w="2042" w:type="dxa"/>
                  <w:tcBorders>
                    <w:top w:val="single" w:color="000000" w:sz="8" w:space="0"/>
                    <w:left w:val="nil"/>
                    <w:bottom w:val="single" w:color="000000" w:sz="8" w:space="0"/>
                    <w:right w:val="single" w:color="000000" w:sz="8" w:space="0"/>
                  </w:tcBorders>
                  <w:shd w:val="clear" w:color="auto" w:fill="auto"/>
                  <w:vAlign w:val="center"/>
                </w:tcPr>
                <w:p w14:paraId="1EBCF248">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监测浓度范围</w:t>
                  </w:r>
                  <w:r>
                    <w:rPr>
                      <w:rFonts w:hint="eastAsia" w:ascii="宋体" w:hAnsi="宋体" w:cs="宋体"/>
                      <w:i w:val="0"/>
                      <w:iCs w:val="0"/>
                      <w:color w:val="auto"/>
                      <w:kern w:val="0"/>
                      <w:sz w:val="21"/>
                      <w:szCs w:val="21"/>
                      <w:u w:val="none" w:color="auto"/>
                      <w:lang w:val="en-US" w:eastAsia="zh-CN" w:bidi="ar"/>
                    </w:rPr>
                    <w:t>（</w:t>
                  </w:r>
                  <w:r>
                    <w:rPr>
                      <w:rFonts w:hint="default" w:ascii="Times New Roman" w:hAnsi="Times New Roman" w:eastAsia="宋体" w:cs="Times New Roman"/>
                      <w:i w:val="0"/>
                      <w:iCs w:val="0"/>
                      <w:color w:val="auto"/>
                      <w:kern w:val="0"/>
                      <w:sz w:val="21"/>
                      <w:szCs w:val="21"/>
                      <w:u w:val="none" w:color="auto"/>
                      <w:lang w:val="en-US" w:eastAsia="zh-CN" w:bidi="ar"/>
                    </w:rPr>
                    <w:t>mg/L)</w:t>
                  </w:r>
                </w:p>
              </w:tc>
              <w:tc>
                <w:tcPr>
                  <w:tcW w:w="1273" w:type="dxa"/>
                  <w:tcBorders>
                    <w:top w:val="single" w:color="000000" w:sz="8" w:space="0"/>
                    <w:left w:val="nil"/>
                    <w:bottom w:val="single" w:color="000000" w:sz="8" w:space="0"/>
                    <w:right w:val="single" w:color="000000" w:sz="8" w:space="0"/>
                  </w:tcBorders>
                  <w:shd w:val="clear" w:color="auto" w:fill="auto"/>
                  <w:vAlign w:val="center"/>
                </w:tcPr>
                <w:p w14:paraId="04D7A324">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排放标准</w:t>
                  </w:r>
                  <w:r>
                    <w:rPr>
                      <w:rFonts w:hint="eastAsia" w:ascii="宋体" w:hAnsi="宋体" w:cs="宋体"/>
                      <w:i w:val="0"/>
                      <w:iCs w:val="0"/>
                      <w:color w:val="auto"/>
                      <w:kern w:val="0"/>
                      <w:sz w:val="21"/>
                      <w:szCs w:val="21"/>
                      <w:u w:val="none" w:color="auto"/>
                      <w:lang w:val="en-US" w:eastAsia="zh-CN" w:bidi="ar"/>
                    </w:rPr>
                    <w:t>（</w:t>
                  </w:r>
                  <w:r>
                    <w:rPr>
                      <w:rFonts w:hint="default" w:ascii="Times New Roman" w:hAnsi="Times New Roman" w:eastAsia="宋体" w:cs="Times New Roman"/>
                      <w:i w:val="0"/>
                      <w:iCs w:val="0"/>
                      <w:color w:val="auto"/>
                      <w:kern w:val="0"/>
                      <w:sz w:val="21"/>
                      <w:szCs w:val="21"/>
                      <w:u w:val="none" w:color="auto"/>
                      <w:lang w:val="en-US" w:eastAsia="zh-CN" w:bidi="ar"/>
                    </w:rPr>
                    <w:t>mg/L)</w:t>
                  </w:r>
                </w:p>
              </w:tc>
              <w:tc>
                <w:tcPr>
                  <w:tcW w:w="1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B7CCF1">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是否达标</w:t>
                  </w:r>
                </w:p>
              </w:tc>
            </w:tr>
            <w:tr w14:paraId="0CF7F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01" w:type="dxa"/>
                  <w:tcBorders>
                    <w:top w:val="nil"/>
                    <w:left w:val="single" w:color="000000" w:sz="8" w:space="0"/>
                    <w:bottom w:val="single" w:color="000000" w:sz="8" w:space="0"/>
                    <w:right w:val="single" w:color="000000" w:sz="8" w:space="0"/>
                  </w:tcBorders>
                  <w:shd w:val="clear" w:color="auto" w:fill="auto"/>
                  <w:vAlign w:val="center"/>
                </w:tcPr>
                <w:p w14:paraId="2D988483">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color w:val="auto"/>
                      <w:kern w:val="0"/>
                      <w:sz w:val="22"/>
                      <w:szCs w:val="22"/>
                      <w:u w:val="none" w:color="auto"/>
                      <w:lang w:val="en-US" w:eastAsia="zh-CN" w:bidi="ar"/>
                    </w:rPr>
                    <w:t>1</w:t>
                  </w:r>
                </w:p>
              </w:tc>
              <w:tc>
                <w:tcPr>
                  <w:tcW w:w="2910" w:type="dxa"/>
                  <w:tcBorders>
                    <w:top w:val="nil"/>
                    <w:left w:val="nil"/>
                    <w:bottom w:val="single" w:color="000000" w:sz="8" w:space="0"/>
                    <w:right w:val="single" w:color="000000" w:sz="8" w:space="0"/>
                  </w:tcBorders>
                  <w:shd w:val="clear" w:color="auto" w:fill="auto"/>
                  <w:vAlign w:val="center"/>
                </w:tcPr>
                <w:p w14:paraId="7DB9A415">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pH</w:t>
                  </w:r>
                  <w:r>
                    <w:rPr>
                      <w:rFonts w:hint="eastAsia" w:ascii="宋体" w:hAnsi="宋体" w:eastAsia="宋体" w:cs="宋体"/>
                      <w:i w:val="0"/>
                      <w:iCs w:val="0"/>
                      <w:color w:val="auto"/>
                      <w:kern w:val="0"/>
                      <w:sz w:val="21"/>
                      <w:szCs w:val="21"/>
                      <w:u w:val="none" w:color="auto"/>
                      <w:lang w:val="en-US" w:eastAsia="zh-CN" w:bidi="ar"/>
                    </w:rPr>
                    <w:t>值（无量纲）</w:t>
                  </w:r>
                </w:p>
              </w:tc>
              <w:tc>
                <w:tcPr>
                  <w:tcW w:w="2042" w:type="dxa"/>
                  <w:tcBorders>
                    <w:top w:val="nil"/>
                    <w:left w:val="nil"/>
                    <w:bottom w:val="single" w:color="000000" w:sz="8" w:space="0"/>
                    <w:right w:val="single" w:color="000000" w:sz="8" w:space="0"/>
                  </w:tcBorders>
                  <w:shd w:val="clear" w:color="auto" w:fill="auto"/>
                  <w:vAlign w:val="center"/>
                </w:tcPr>
                <w:p w14:paraId="3FB530B3">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7.41~7.45</w:t>
                  </w:r>
                </w:p>
              </w:tc>
              <w:tc>
                <w:tcPr>
                  <w:tcW w:w="1273" w:type="dxa"/>
                  <w:tcBorders>
                    <w:top w:val="nil"/>
                    <w:left w:val="nil"/>
                    <w:bottom w:val="single" w:color="000000" w:sz="8" w:space="0"/>
                    <w:right w:val="single" w:color="000000" w:sz="8" w:space="0"/>
                  </w:tcBorders>
                  <w:shd w:val="clear" w:color="auto" w:fill="auto"/>
                  <w:vAlign w:val="center"/>
                </w:tcPr>
                <w:p w14:paraId="4CEF8A1A">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6~9</w:t>
                  </w:r>
                </w:p>
              </w:tc>
              <w:tc>
                <w:tcPr>
                  <w:tcW w:w="1500" w:type="dxa"/>
                  <w:tcBorders>
                    <w:top w:val="nil"/>
                    <w:left w:val="single" w:color="000000" w:sz="8" w:space="0"/>
                    <w:bottom w:val="single" w:color="000000" w:sz="8" w:space="0"/>
                    <w:right w:val="single" w:color="000000" w:sz="8" w:space="0"/>
                  </w:tcBorders>
                  <w:shd w:val="clear" w:color="auto" w:fill="auto"/>
                  <w:vAlign w:val="center"/>
                </w:tcPr>
                <w:p w14:paraId="433FE4B3">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达标</w:t>
                  </w:r>
                </w:p>
              </w:tc>
            </w:tr>
            <w:tr w14:paraId="7C4BB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01" w:type="dxa"/>
                  <w:tcBorders>
                    <w:top w:val="nil"/>
                    <w:left w:val="single" w:color="000000" w:sz="8" w:space="0"/>
                    <w:bottom w:val="single" w:color="000000" w:sz="8" w:space="0"/>
                    <w:right w:val="single" w:color="000000" w:sz="8" w:space="0"/>
                  </w:tcBorders>
                  <w:shd w:val="clear" w:color="auto" w:fill="auto"/>
                  <w:vAlign w:val="center"/>
                </w:tcPr>
                <w:p w14:paraId="226C62BE">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color w:val="auto"/>
                      <w:kern w:val="0"/>
                      <w:sz w:val="22"/>
                      <w:szCs w:val="22"/>
                      <w:u w:val="none" w:color="auto"/>
                      <w:lang w:val="en-US" w:eastAsia="zh-CN" w:bidi="ar"/>
                    </w:rPr>
                    <w:t>2</w:t>
                  </w:r>
                </w:p>
              </w:tc>
              <w:tc>
                <w:tcPr>
                  <w:tcW w:w="2910" w:type="dxa"/>
                  <w:tcBorders>
                    <w:top w:val="nil"/>
                    <w:left w:val="nil"/>
                    <w:bottom w:val="single" w:color="000000" w:sz="8" w:space="0"/>
                    <w:right w:val="single" w:color="000000" w:sz="8" w:space="0"/>
                  </w:tcBorders>
                  <w:shd w:val="clear" w:color="auto" w:fill="auto"/>
                  <w:vAlign w:val="center"/>
                </w:tcPr>
                <w:p w14:paraId="647C5C8E">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COD</w:t>
                  </w:r>
                  <w:r>
                    <w:rPr>
                      <w:rFonts w:hint="default" w:ascii="Times New Roman" w:hAnsi="Times New Roman" w:eastAsia="宋体" w:cs="Times New Roman"/>
                      <w:i w:val="0"/>
                      <w:iCs w:val="0"/>
                      <w:color w:val="auto"/>
                      <w:kern w:val="0"/>
                      <w:sz w:val="21"/>
                      <w:szCs w:val="21"/>
                      <w:u w:val="none" w:color="auto"/>
                      <w:vertAlign w:val="subscript"/>
                      <w:lang w:val="en-US" w:eastAsia="zh-CN" w:bidi="ar"/>
                    </w:rPr>
                    <w:t>Cr</w:t>
                  </w:r>
                </w:p>
              </w:tc>
              <w:tc>
                <w:tcPr>
                  <w:tcW w:w="2042" w:type="dxa"/>
                  <w:tcBorders>
                    <w:top w:val="nil"/>
                    <w:left w:val="nil"/>
                    <w:bottom w:val="single" w:color="000000" w:sz="8" w:space="0"/>
                    <w:right w:val="single" w:color="000000" w:sz="8" w:space="0"/>
                  </w:tcBorders>
                  <w:shd w:val="clear" w:color="auto" w:fill="auto"/>
                  <w:vAlign w:val="center"/>
                </w:tcPr>
                <w:p w14:paraId="6629C699">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37~38</w:t>
                  </w:r>
                </w:p>
              </w:tc>
              <w:tc>
                <w:tcPr>
                  <w:tcW w:w="1273" w:type="dxa"/>
                  <w:tcBorders>
                    <w:top w:val="nil"/>
                    <w:left w:val="nil"/>
                    <w:bottom w:val="single" w:color="000000" w:sz="8" w:space="0"/>
                    <w:right w:val="single" w:color="000000" w:sz="8" w:space="0"/>
                  </w:tcBorders>
                  <w:shd w:val="clear" w:color="auto" w:fill="auto"/>
                  <w:vAlign w:val="center"/>
                </w:tcPr>
                <w:p w14:paraId="601978DD">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60</w:t>
                  </w:r>
                </w:p>
              </w:tc>
              <w:tc>
                <w:tcPr>
                  <w:tcW w:w="1500" w:type="dxa"/>
                  <w:tcBorders>
                    <w:top w:val="nil"/>
                    <w:left w:val="single" w:color="000000" w:sz="8" w:space="0"/>
                    <w:bottom w:val="single" w:color="000000" w:sz="8" w:space="0"/>
                    <w:right w:val="single" w:color="000000" w:sz="8" w:space="0"/>
                  </w:tcBorders>
                  <w:shd w:val="clear" w:color="auto" w:fill="auto"/>
                  <w:vAlign w:val="center"/>
                </w:tcPr>
                <w:p w14:paraId="21232EE0">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达标</w:t>
                  </w:r>
                </w:p>
              </w:tc>
            </w:tr>
            <w:tr w14:paraId="38006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01" w:type="dxa"/>
                  <w:tcBorders>
                    <w:top w:val="nil"/>
                    <w:left w:val="single" w:color="000000" w:sz="8" w:space="0"/>
                    <w:bottom w:val="single" w:color="000000" w:sz="8" w:space="0"/>
                    <w:right w:val="single" w:color="000000" w:sz="8" w:space="0"/>
                  </w:tcBorders>
                  <w:shd w:val="clear" w:color="auto" w:fill="auto"/>
                  <w:vAlign w:val="center"/>
                </w:tcPr>
                <w:p w14:paraId="65E223DE">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color w:val="auto"/>
                      <w:kern w:val="0"/>
                      <w:sz w:val="22"/>
                      <w:szCs w:val="22"/>
                      <w:u w:val="none" w:color="auto"/>
                      <w:lang w:val="en-US" w:eastAsia="zh-CN" w:bidi="ar"/>
                    </w:rPr>
                    <w:t>3</w:t>
                  </w:r>
                </w:p>
              </w:tc>
              <w:tc>
                <w:tcPr>
                  <w:tcW w:w="2910" w:type="dxa"/>
                  <w:tcBorders>
                    <w:top w:val="nil"/>
                    <w:left w:val="nil"/>
                    <w:bottom w:val="single" w:color="000000" w:sz="8" w:space="0"/>
                    <w:right w:val="single" w:color="000000" w:sz="8" w:space="0"/>
                  </w:tcBorders>
                  <w:shd w:val="clear" w:color="auto" w:fill="auto"/>
                  <w:vAlign w:val="center"/>
                </w:tcPr>
                <w:p w14:paraId="24FE39C5">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BOD</w:t>
                  </w:r>
                  <w:r>
                    <w:rPr>
                      <w:rFonts w:hint="default" w:ascii="Times New Roman" w:hAnsi="Times New Roman" w:eastAsia="宋体" w:cs="Times New Roman"/>
                      <w:i w:val="0"/>
                      <w:iCs w:val="0"/>
                      <w:color w:val="auto"/>
                      <w:kern w:val="0"/>
                      <w:sz w:val="21"/>
                      <w:szCs w:val="21"/>
                      <w:u w:val="none" w:color="auto"/>
                      <w:vertAlign w:val="subscript"/>
                      <w:lang w:val="en-US" w:eastAsia="zh-CN" w:bidi="ar"/>
                    </w:rPr>
                    <w:t>5</w:t>
                  </w:r>
                </w:p>
              </w:tc>
              <w:tc>
                <w:tcPr>
                  <w:tcW w:w="2042" w:type="dxa"/>
                  <w:tcBorders>
                    <w:top w:val="nil"/>
                    <w:left w:val="nil"/>
                    <w:bottom w:val="single" w:color="000000" w:sz="8" w:space="0"/>
                    <w:right w:val="single" w:color="000000" w:sz="8" w:space="0"/>
                  </w:tcBorders>
                  <w:shd w:val="clear" w:color="auto" w:fill="auto"/>
                  <w:vAlign w:val="center"/>
                </w:tcPr>
                <w:p w14:paraId="7CF6D299">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16.0~16.6</w:t>
                  </w:r>
                </w:p>
              </w:tc>
              <w:tc>
                <w:tcPr>
                  <w:tcW w:w="1273" w:type="dxa"/>
                  <w:tcBorders>
                    <w:top w:val="nil"/>
                    <w:left w:val="nil"/>
                    <w:bottom w:val="single" w:color="000000" w:sz="8" w:space="0"/>
                    <w:right w:val="single" w:color="000000" w:sz="8" w:space="0"/>
                  </w:tcBorders>
                  <w:shd w:val="clear" w:color="auto" w:fill="auto"/>
                  <w:vAlign w:val="center"/>
                </w:tcPr>
                <w:p w14:paraId="7683984D">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20</w:t>
                  </w:r>
                </w:p>
              </w:tc>
              <w:tc>
                <w:tcPr>
                  <w:tcW w:w="1500" w:type="dxa"/>
                  <w:tcBorders>
                    <w:top w:val="nil"/>
                    <w:left w:val="single" w:color="000000" w:sz="8" w:space="0"/>
                    <w:bottom w:val="single" w:color="000000" w:sz="8" w:space="0"/>
                    <w:right w:val="single" w:color="000000" w:sz="8" w:space="0"/>
                  </w:tcBorders>
                  <w:shd w:val="clear" w:color="auto" w:fill="auto"/>
                  <w:vAlign w:val="center"/>
                </w:tcPr>
                <w:p w14:paraId="3BBFEDA0">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达标</w:t>
                  </w:r>
                </w:p>
              </w:tc>
            </w:tr>
            <w:tr w14:paraId="2A886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01" w:type="dxa"/>
                  <w:tcBorders>
                    <w:top w:val="nil"/>
                    <w:left w:val="single" w:color="000000" w:sz="8" w:space="0"/>
                    <w:bottom w:val="single" w:color="000000" w:sz="8" w:space="0"/>
                    <w:right w:val="single" w:color="000000" w:sz="8" w:space="0"/>
                  </w:tcBorders>
                  <w:shd w:val="clear" w:color="auto" w:fill="auto"/>
                  <w:vAlign w:val="center"/>
                </w:tcPr>
                <w:p w14:paraId="66644D70">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color w:val="auto"/>
                      <w:kern w:val="0"/>
                      <w:sz w:val="22"/>
                      <w:szCs w:val="22"/>
                      <w:u w:val="none" w:color="auto"/>
                      <w:lang w:val="en-US" w:eastAsia="zh-CN" w:bidi="ar"/>
                    </w:rPr>
                    <w:t>4</w:t>
                  </w:r>
                </w:p>
              </w:tc>
              <w:tc>
                <w:tcPr>
                  <w:tcW w:w="2910" w:type="dxa"/>
                  <w:tcBorders>
                    <w:top w:val="nil"/>
                    <w:left w:val="nil"/>
                    <w:bottom w:val="single" w:color="000000" w:sz="8" w:space="0"/>
                    <w:right w:val="single" w:color="000000" w:sz="8" w:space="0"/>
                  </w:tcBorders>
                  <w:shd w:val="clear" w:color="auto" w:fill="auto"/>
                  <w:vAlign w:val="center"/>
                </w:tcPr>
                <w:p w14:paraId="49CAC2F8">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SS</w:t>
                  </w:r>
                </w:p>
              </w:tc>
              <w:tc>
                <w:tcPr>
                  <w:tcW w:w="2042" w:type="dxa"/>
                  <w:tcBorders>
                    <w:top w:val="nil"/>
                    <w:left w:val="nil"/>
                    <w:bottom w:val="single" w:color="000000" w:sz="8" w:space="0"/>
                    <w:right w:val="single" w:color="000000" w:sz="8" w:space="0"/>
                  </w:tcBorders>
                  <w:shd w:val="clear" w:color="auto" w:fill="auto"/>
                  <w:vAlign w:val="center"/>
                </w:tcPr>
                <w:p w14:paraId="6548DAB0">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8~13</w:t>
                  </w:r>
                </w:p>
              </w:tc>
              <w:tc>
                <w:tcPr>
                  <w:tcW w:w="1273" w:type="dxa"/>
                  <w:tcBorders>
                    <w:top w:val="nil"/>
                    <w:left w:val="nil"/>
                    <w:bottom w:val="single" w:color="000000" w:sz="8" w:space="0"/>
                    <w:right w:val="single" w:color="000000" w:sz="8" w:space="0"/>
                  </w:tcBorders>
                  <w:shd w:val="clear" w:color="auto" w:fill="auto"/>
                  <w:vAlign w:val="center"/>
                </w:tcPr>
                <w:p w14:paraId="5B6F6499">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20</w:t>
                  </w:r>
                </w:p>
              </w:tc>
              <w:tc>
                <w:tcPr>
                  <w:tcW w:w="1500" w:type="dxa"/>
                  <w:tcBorders>
                    <w:top w:val="nil"/>
                    <w:left w:val="single" w:color="000000" w:sz="8" w:space="0"/>
                    <w:bottom w:val="single" w:color="000000" w:sz="8" w:space="0"/>
                    <w:right w:val="single" w:color="000000" w:sz="8" w:space="0"/>
                  </w:tcBorders>
                  <w:shd w:val="clear" w:color="auto" w:fill="auto"/>
                  <w:vAlign w:val="center"/>
                </w:tcPr>
                <w:p w14:paraId="26217E3B">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达标</w:t>
                  </w:r>
                </w:p>
              </w:tc>
            </w:tr>
            <w:tr w14:paraId="59F38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701" w:type="dxa"/>
                  <w:tcBorders>
                    <w:top w:val="nil"/>
                    <w:left w:val="single" w:color="000000" w:sz="8" w:space="0"/>
                    <w:bottom w:val="single" w:color="000000" w:sz="8" w:space="0"/>
                    <w:right w:val="single" w:color="000000" w:sz="8" w:space="0"/>
                  </w:tcBorders>
                  <w:shd w:val="clear" w:color="auto" w:fill="auto"/>
                  <w:vAlign w:val="center"/>
                </w:tcPr>
                <w:p w14:paraId="241ED70D">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color w:val="auto"/>
                      <w:kern w:val="0"/>
                      <w:sz w:val="22"/>
                      <w:szCs w:val="22"/>
                      <w:u w:val="none" w:color="auto"/>
                      <w:lang w:val="en-US" w:eastAsia="zh-CN" w:bidi="ar"/>
                    </w:rPr>
                    <w:t>5</w:t>
                  </w:r>
                </w:p>
              </w:tc>
              <w:tc>
                <w:tcPr>
                  <w:tcW w:w="2910" w:type="dxa"/>
                  <w:tcBorders>
                    <w:top w:val="nil"/>
                    <w:left w:val="nil"/>
                    <w:bottom w:val="single" w:color="000000" w:sz="8" w:space="0"/>
                    <w:right w:val="single" w:color="000000" w:sz="8" w:space="0"/>
                  </w:tcBorders>
                  <w:shd w:val="clear" w:color="auto" w:fill="auto"/>
                  <w:vAlign w:val="center"/>
                </w:tcPr>
                <w:p w14:paraId="21F49350">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NH</w:t>
                  </w:r>
                  <w:r>
                    <w:rPr>
                      <w:rFonts w:hint="default" w:ascii="Times New Roman" w:hAnsi="Times New Roman" w:eastAsia="宋体" w:cs="Times New Roman"/>
                      <w:i w:val="0"/>
                      <w:iCs w:val="0"/>
                      <w:color w:val="auto"/>
                      <w:kern w:val="0"/>
                      <w:sz w:val="21"/>
                      <w:szCs w:val="21"/>
                      <w:u w:val="none" w:color="auto"/>
                      <w:vertAlign w:val="subscript"/>
                      <w:lang w:val="en-US" w:eastAsia="zh-CN" w:bidi="ar"/>
                    </w:rPr>
                    <w:t>3</w:t>
                  </w:r>
                  <w:r>
                    <w:rPr>
                      <w:rFonts w:hint="default" w:ascii="Times New Roman" w:hAnsi="Times New Roman" w:eastAsia="宋体" w:cs="Times New Roman"/>
                      <w:i w:val="0"/>
                      <w:iCs w:val="0"/>
                      <w:color w:val="auto"/>
                      <w:kern w:val="0"/>
                      <w:sz w:val="21"/>
                      <w:szCs w:val="21"/>
                      <w:u w:val="none" w:color="auto"/>
                      <w:lang w:val="en-US" w:eastAsia="zh-CN" w:bidi="ar"/>
                    </w:rPr>
                    <w:t>-N</w:t>
                  </w:r>
                </w:p>
              </w:tc>
              <w:tc>
                <w:tcPr>
                  <w:tcW w:w="2042" w:type="dxa"/>
                  <w:tcBorders>
                    <w:top w:val="nil"/>
                    <w:left w:val="nil"/>
                    <w:bottom w:val="single" w:color="000000" w:sz="8" w:space="0"/>
                    <w:right w:val="single" w:color="000000" w:sz="8" w:space="0"/>
                  </w:tcBorders>
                  <w:shd w:val="clear" w:color="auto" w:fill="auto"/>
                  <w:vAlign w:val="center"/>
                </w:tcPr>
                <w:p w14:paraId="7D623578">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0.217~0.386</w:t>
                  </w:r>
                </w:p>
              </w:tc>
              <w:tc>
                <w:tcPr>
                  <w:tcW w:w="1273" w:type="dxa"/>
                  <w:tcBorders>
                    <w:top w:val="nil"/>
                    <w:left w:val="nil"/>
                    <w:bottom w:val="single" w:color="000000" w:sz="8" w:space="0"/>
                    <w:right w:val="single" w:color="000000" w:sz="8" w:space="0"/>
                  </w:tcBorders>
                  <w:shd w:val="clear" w:color="auto" w:fill="auto"/>
                  <w:vAlign w:val="center"/>
                </w:tcPr>
                <w:p w14:paraId="58B368D6">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15</w:t>
                  </w:r>
                </w:p>
              </w:tc>
              <w:tc>
                <w:tcPr>
                  <w:tcW w:w="1500" w:type="dxa"/>
                  <w:tcBorders>
                    <w:top w:val="nil"/>
                    <w:left w:val="single" w:color="000000" w:sz="8" w:space="0"/>
                    <w:bottom w:val="single" w:color="000000" w:sz="8" w:space="0"/>
                    <w:right w:val="single" w:color="000000" w:sz="8" w:space="0"/>
                  </w:tcBorders>
                  <w:shd w:val="clear" w:color="auto" w:fill="auto"/>
                  <w:vAlign w:val="center"/>
                </w:tcPr>
                <w:p w14:paraId="7FCBC937">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达标</w:t>
                  </w:r>
                </w:p>
              </w:tc>
            </w:tr>
            <w:tr w14:paraId="5BDA9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701" w:type="dxa"/>
                  <w:tcBorders>
                    <w:top w:val="nil"/>
                    <w:left w:val="single" w:color="000000" w:sz="8" w:space="0"/>
                    <w:bottom w:val="single" w:color="000000" w:sz="8" w:space="0"/>
                    <w:right w:val="single" w:color="000000" w:sz="8" w:space="0"/>
                  </w:tcBorders>
                  <w:shd w:val="clear" w:color="auto" w:fill="auto"/>
                  <w:vAlign w:val="center"/>
                </w:tcPr>
                <w:p w14:paraId="3AE6ADE5">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eastAsia" w:cs="Times New Roman"/>
                      <w:i w:val="0"/>
                      <w:iCs w:val="0"/>
                      <w:color w:val="auto"/>
                      <w:kern w:val="0"/>
                      <w:sz w:val="22"/>
                      <w:szCs w:val="22"/>
                      <w:u w:val="none" w:color="auto"/>
                      <w:lang w:val="en-US" w:eastAsia="zh-CN" w:bidi="ar"/>
                    </w:rPr>
                    <w:t>6</w:t>
                  </w:r>
                </w:p>
              </w:tc>
              <w:tc>
                <w:tcPr>
                  <w:tcW w:w="2910" w:type="dxa"/>
                  <w:tcBorders>
                    <w:top w:val="nil"/>
                    <w:left w:val="nil"/>
                    <w:bottom w:val="single" w:color="000000" w:sz="8" w:space="0"/>
                    <w:right w:val="single" w:color="000000" w:sz="8" w:space="0"/>
                  </w:tcBorders>
                  <w:shd w:val="clear" w:color="auto" w:fill="auto"/>
                  <w:vAlign w:val="center"/>
                </w:tcPr>
                <w:p w14:paraId="5C0AEF9B">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粪大肠菌群（</w:t>
                  </w:r>
                  <w:r>
                    <w:rPr>
                      <w:rFonts w:hint="default" w:ascii="Times New Roman" w:hAnsi="Times New Roman" w:eastAsia="宋体" w:cs="Times New Roman"/>
                      <w:color w:val="auto"/>
                      <w:sz w:val="21"/>
                      <w:szCs w:val="21"/>
                      <w:u w:val="none" w:color="auto"/>
                      <w:lang w:val="en-US" w:eastAsia="zh-CN"/>
                    </w:rPr>
                    <w:t>MPN</w:t>
                  </w:r>
                  <w:r>
                    <w:rPr>
                      <w:rFonts w:hint="default" w:ascii="Times New Roman" w:hAnsi="Times New Roman" w:eastAsia="宋体" w:cs="Times New Roman"/>
                      <w:color w:val="auto"/>
                      <w:sz w:val="21"/>
                      <w:szCs w:val="21"/>
                      <w:u w:val="none" w:color="auto"/>
                    </w:rPr>
                    <w:t>/L</w:t>
                  </w:r>
                  <w:r>
                    <w:rPr>
                      <w:rFonts w:hint="eastAsia" w:ascii="宋体" w:hAnsi="宋体" w:eastAsia="宋体" w:cs="宋体"/>
                      <w:i w:val="0"/>
                      <w:iCs w:val="0"/>
                      <w:color w:val="auto"/>
                      <w:kern w:val="0"/>
                      <w:sz w:val="21"/>
                      <w:szCs w:val="21"/>
                      <w:u w:val="none" w:color="auto"/>
                      <w:lang w:val="en-US" w:eastAsia="zh-CN" w:bidi="ar"/>
                    </w:rPr>
                    <w:t>）</w:t>
                  </w:r>
                </w:p>
              </w:tc>
              <w:tc>
                <w:tcPr>
                  <w:tcW w:w="2042" w:type="dxa"/>
                  <w:tcBorders>
                    <w:top w:val="nil"/>
                    <w:left w:val="nil"/>
                    <w:bottom w:val="single" w:color="000000" w:sz="8" w:space="0"/>
                    <w:right w:val="single" w:color="000000" w:sz="8" w:space="0"/>
                  </w:tcBorders>
                  <w:shd w:val="clear" w:color="auto" w:fill="auto"/>
                  <w:vAlign w:val="center"/>
                </w:tcPr>
                <w:p w14:paraId="7987DBAB">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ND~480</w:t>
                  </w:r>
                </w:p>
              </w:tc>
              <w:tc>
                <w:tcPr>
                  <w:tcW w:w="1273" w:type="dxa"/>
                  <w:tcBorders>
                    <w:top w:val="nil"/>
                    <w:left w:val="nil"/>
                    <w:bottom w:val="single" w:color="000000" w:sz="8" w:space="0"/>
                    <w:right w:val="single" w:color="000000" w:sz="8" w:space="0"/>
                  </w:tcBorders>
                  <w:shd w:val="clear" w:color="auto" w:fill="auto"/>
                  <w:vAlign w:val="center"/>
                </w:tcPr>
                <w:p w14:paraId="7C853CC4">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500</w:t>
                  </w:r>
                </w:p>
              </w:tc>
              <w:tc>
                <w:tcPr>
                  <w:tcW w:w="1500" w:type="dxa"/>
                  <w:tcBorders>
                    <w:top w:val="nil"/>
                    <w:left w:val="single" w:color="000000" w:sz="8" w:space="0"/>
                    <w:bottom w:val="single" w:color="000000" w:sz="8" w:space="0"/>
                    <w:right w:val="single" w:color="000000" w:sz="8" w:space="0"/>
                  </w:tcBorders>
                  <w:shd w:val="clear" w:color="auto" w:fill="auto"/>
                  <w:vAlign w:val="center"/>
                </w:tcPr>
                <w:p w14:paraId="71967894">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达标</w:t>
                  </w:r>
                </w:p>
              </w:tc>
            </w:tr>
          </w:tbl>
          <w:p w14:paraId="003CAB7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hAnsi="宋体"/>
                <w:color w:val="auto"/>
                <w:sz w:val="24"/>
                <w:u w:val="none" w:color="auto"/>
                <w:lang w:val="en-US" w:eastAsia="zh-CN"/>
              </w:rPr>
            </w:pPr>
            <w:r>
              <w:rPr>
                <w:rFonts w:hint="eastAsia" w:ascii="宋体" w:hAnsi="宋体" w:eastAsia="宋体"/>
                <w:color w:val="auto"/>
                <w:sz w:val="24"/>
                <w:szCs w:val="24"/>
                <w:u w:val="none" w:color="auto"/>
              </w:rPr>
              <w:t>根据</w:t>
            </w:r>
            <w:r>
              <w:rPr>
                <w:rFonts w:hint="eastAsia" w:ascii="宋体" w:hAnsi="宋体" w:eastAsia="宋体"/>
                <w:color w:val="auto"/>
                <w:sz w:val="24"/>
                <w:szCs w:val="24"/>
                <w:u w:val="none" w:color="auto"/>
                <w:lang w:val="en-US" w:eastAsia="zh-CN"/>
              </w:rPr>
              <w:t>上表</w:t>
            </w:r>
            <w:r>
              <w:rPr>
                <w:rFonts w:hint="eastAsia" w:ascii="宋体" w:hAnsi="宋体" w:eastAsia="宋体"/>
                <w:color w:val="auto"/>
                <w:sz w:val="24"/>
                <w:szCs w:val="24"/>
                <w:u w:val="none" w:color="auto"/>
              </w:rPr>
              <w:t>可知，</w:t>
            </w:r>
            <w:r>
              <w:rPr>
                <w:rFonts w:hint="eastAsia" w:ascii="宋体" w:hAnsi="宋体"/>
                <w:color w:val="auto"/>
                <w:sz w:val="24"/>
                <w:szCs w:val="24"/>
                <w:u w:val="none" w:color="auto"/>
                <w:lang w:val="en-US" w:eastAsia="zh-CN"/>
              </w:rPr>
              <w:t>修水安康精神病医院</w:t>
            </w:r>
            <w:r>
              <w:rPr>
                <w:rFonts w:hint="eastAsia" w:ascii="宋体" w:hAnsi="宋体" w:eastAsia="宋体"/>
                <w:color w:val="auto"/>
                <w:sz w:val="24"/>
                <w:szCs w:val="24"/>
                <w:u w:val="none" w:color="auto"/>
              </w:rPr>
              <w:t>废水监测数据满足《医疗机构水污染物排放标准》（</w:t>
            </w:r>
            <w:r>
              <w:rPr>
                <w:rFonts w:hint="eastAsia" w:ascii="TimesNewRomanPSMT" w:hAnsi="TimesNewRomanPSMT" w:eastAsia="TimesNewRomanPSMT"/>
                <w:color w:val="auto"/>
                <w:sz w:val="24"/>
                <w:szCs w:val="24"/>
                <w:u w:val="none" w:color="auto"/>
              </w:rPr>
              <w:t>GB18466-2005</w:t>
            </w:r>
            <w:r>
              <w:rPr>
                <w:rFonts w:hint="eastAsia" w:ascii="宋体" w:hAnsi="宋体" w:eastAsia="宋体"/>
                <w:color w:val="auto"/>
                <w:sz w:val="24"/>
                <w:szCs w:val="24"/>
                <w:u w:val="none" w:color="auto"/>
              </w:rPr>
              <w:t>）表</w:t>
            </w:r>
            <w:r>
              <w:rPr>
                <w:rFonts w:hint="eastAsia" w:ascii="TimesNewRomanPSMT" w:hAnsi="TimesNewRomanPSMT" w:eastAsia="TimesNewRomanPSMT"/>
                <w:color w:val="auto"/>
                <w:sz w:val="24"/>
                <w:szCs w:val="24"/>
                <w:u w:val="none" w:color="auto"/>
              </w:rPr>
              <w:t xml:space="preserve">2 </w:t>
            </w:r>
            <w:r>
              <w:rPr>
                <w:rFonts w:hint="eastAsia" w:ascii="宋体" w:hAnsi="宋体" w:eastAsia="宋体"/>
                <w:color w:val="auto"/>
                <w:sz w:val="24"/>
                <w:szCs w:val="24"/>
                <w:u w:val="none" w:color="auto"/>
              </w:rPr>
              <w:t>中的</w:t>
            </w:r>
            <w:r>
              <w:rPr>
                <w:rFonts w:hint="eastAsia" w:ascii="宋体" w:hAnsi="宋体"/>
                <w:color w:val="auto"/>
                <w:sz w:val="24"/>
                <w:szCs w:val="24"/>
                <w:u w:val="none" w:color="auto"/>
                <w:lang w:val="en-US" w:eastAsia="zh-CN"/>
              </w:rPr>
              <w:t>排放</w:t>
            </w:r>
            <w:r>
              <w:rPr>
                <w:rFonts w:hint="eastAsia" w:ascii="宋体" w:hAnsi="宋体" w:eastAsia="宋体"/>
                <w:color w:val="auto"/>
                <w:sz w:val="24"/>
                <w:szCs w:val="24"/>
                <w:u w:val="none" w:color="auto"/>
              </w:rPr>
              <w:t>标准。因此本项目污染防治措施可行。</w:t>
            </w:r>
          </w:p>
          <w:p w14:paraId="61B3BC3B">
            <w:pPr>
              <w:pStyle w:val="36"/>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firstLine="480" w:firstLineChars="200"/>
              <w:textAlignment w:val="auto"/>
              <w:rPr>
                <w:color w:val="auto"/>
                <w:u w:val="none" w:color="auto"/>
              </w:rPr>
            </w:pPr>
            <w:r>
              <w:rPr>
                <w:rFonts w:hint="eastAsia"/>
                <w:color w:val="auto"/>
                <w:u w:val="none" w:color="auto"/>
                <w:lang w:eastAsia="zh-CN"/>
              </w:rPr>
              <w:t>（</w:t>
            </w:r>
            <w:r>
              <w:rPr>
                <w:rFonts w:hint="eastAsia"/>
                <w:color w:val="auto"/>
                <w:u w:val="none" w:color="auto"/>
                <w:lang w:val="en-US" w:eastAsia="zh-CN"/>
              </w:rPr>
              <w:t>5</w:t>
            </w:r>
            <w:r>
              <w:rPr>
                <w:rFonts w:hint="eastAsia"/>
                <w:color w:val="auto"/>
                <w:u w:val="none" w:color="auto"/>
                <w:lang w:eastAsia="zh-CN"/>
              </w:rPr>
              <w:t>）</w:t>
            </w:r>
            <w:r>
              <w:rPr>
                <w:rFonts w:hint="eastAsia"/>
                <w:color w:val="auto"/>
                <w:u w:val="none" w:color="auto"/>
                <w:lang w:val="en-US" w:eastAsia="zh-CN"/>
              </w:rPr>
              <w:t>污水接纳</w:t>
            </w:r>
            <w:r>
              <w:rPr>
                <w:color w:val="auto"/>
                <w:u w:val="none" w:color="auto"/>
              </w:rPr>
              <w:t>可行性分析</w:t>
            </w:r>
          </w:p>
          <w:p w14:paraId="7F270D99">
            <w:pPr>
              <w:pStyle w:val="36"/>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textAlignment w:val="auto"/>
              <w:rPr>
                <w:rFonts w:hint="eastAsia" w:ascii="Times New Roman" w:hAnsi="宋体"/>
                <w:color w:val="auto"/>
                <w:sz w:val="24"/>
                <w:u w:val="none" w:color="auto"/>
                <w:lang w:val="en-US" w:eastAsia="zh-CN"/>
              </w:rPr>
            </w:pPr>
            <w:r>
              <w:rPr>
                <w:rFonts w:hint="eastAsia" w:ascii="宋体" w:hAnsi="宋体" w:eastAsia="宋体"/>
                <w:color w:val="auto"/>
                <w:sz w:val="24"/>
                <w:szCs w:val="24"/>
                <w:highlight w:val="none"/>
                <w:u w:val="none" w:color="auto"/>
              </w:rPr>
              <w:t>项目</w:t>
            </w:r>
            <w:r>
              <w:rPr>
                <w:rFonts w:hint="eastAsia" w:ascii="宋体" w:hAnsi="宋体"/>
                <w:color w:val="auto"/>
                <w:sz w:val="24"/>
                <w:szCs w:val="24"/>
                <w:highlight w:val="none"/>
                <w:u w:val="none" w:color="auto"/>
                <w:lang w:val="en-US" w:eastAsia="zh-CN"/>
              </w:rPr>
              <w:t>各项污、废水产生</w:t>
            </w:r>
            <w:r>
              <w:rPr>
                <w:rFonts w:hint="eastAsia" w:ascii="宋体" w:hAnsi="宋体" w:eastAsia="宋体"/>
                <w:color w:val="auto"/>
                <w:sz w:val="24"/>
                <w:szCs w:val="24"/>
                <w:highlight w:val="none"/>
                <w:u w:val="none" w:color="auto"/>
              </w:rPr>
              <w:t>总量为</w:t>
            </w:r>
            <w:r>
              <w:rPr>
                <w:rFonts w:hint="eastAsia"/>
                <w:color w:val="0000FF"/>
                <w:sz w:val="24"/>
                <w:u w:val="none" w:color="auto"/>
                <w:lang w:val="en-US" w:eastAsia="zh-CN"/>
              </w:rPr>
              <w:t>85.856</w:t>
            </w:r>
            <w:r>
              <w:rPr>
                <w:color w:val="auto"/>
                <w:sz w:val="24"/>
                <w:u w:val="none" w:color="auto"/>
              </w:rPr>
              <w:t>m</w:t>
            </w:r>
            <w:r>
              <w:rPr>
                <w:color w:val="auto"/>
                <w:sz w:val="24"/>
                <w:u w:val="none" w:color="auto"/>
                <w:vertAlign w:val="superscript"/>
              </w:rPr>
              <w:t>3</w:t>
            </w:r>
            <w:r>
              <w:rPr>
                <w:color w:val="auto"/>
                <w:sz w:val="24"/>
                <w:u w:val="none" w:color="auto"/>
              </w:rPr>
              <w:t>/d（</w:t>
            </w:r>
            <w:r>
              <w:rPr>
                <w:rFonts w:hint="eastAsia"/>
                <w:color w:val="0000FF"/>
                <w:sz w:val="24"/>
                <w:u w:val="none" w:color="auto"/>
                <w:lang w:val="en-US" w:eastAsia="zh-CN"/>
              </w:rPr>
              <w:t>31337.440</w:t>
            </w:r>
            <w:r>
              <w:rPr>
                <w:color w:val="auto"/>
                <w:sz w:val="24"/>
                <w:u w:val="none" w:color="auto"/>
              </w:rPr>
              <w:t>m</w:t>
            </w:r>
            <w:r>
              <w:rPr>
                <w:color w:val="auto"/>
                <w:sz w:val="24"/>
                <w:u w:val="none" w:color="auto"/>
                <w:vertAlign w:val="superscript"/>
              </w:rPr>
              <w:t>3</w:t>
            </w:r>
            <w:r>
              <w:rPr>
                <w:color w:val="auto"/>
                <w:sz w:val="24"/>
                <w:u w:val="none" w:color="auto"/>
              </w:rPr>
              <w:t>/a）</w:t>
            </w:r>
            <w:r>
              <w:rPr>
                <w:rFonts w:hint="eastAsia" w:ascii="宋体" w:hAnsi="宋体"/>
                <w:color w:val="auto"/>
                <w:sz w:val="24"/>
                <w:szCs w:val="24"/>
                <w:highlight w:val="none"/>
                <w:u w:val="none" w:color="auto"/>
                <w:lang w:eastAsia="zh-CN"/>
              </w:rPr>
              <w:t>，</w:t>
            </w:r>
            <w:r>
              <w:rPr>
                <w:rFonts w:hint="eastAsia"/>
                <w:color w:val="auto"/>
                <w:u w:val="none" w:color="auto"/>
                <w:lang w:val="en-US" w:eastAsia="zh-CN"/>
              </w:rPr>
              <w:t>项目</w:t>
            </w:r>
            <w:r>
              <w:rPr>
                <w:rFonts w:hint="eastAsia" w:hAnsi="宋体"/>
                <w:color w:val="auto"/>
                <w:sz w:val="24"/>
                <w:u w:val="none" w:color="auto"/>
                <w:lang w:val="en-US" w:eastAsia="zh-CN"/>
              </w:rPr>
              <w:t>特殊医疗废水（为酸性废水）经中和处理、食堂废水经隔油池预处理后，与其他一般医疗废水进入化粪池+地埋式污水处理站处理，该污水处理站</w:t>
            </w:r>
            <w:r>
              <w:rPr>
                <w:rFonts w:hint="eastAsia"/>
                <w:color w:val="auto"/>
                <w:u w:val="none" w:color="auto"/>
                <w:lang w:val="en-US" w:eastAsia="zh-CN"/>
              </w:rPr>
              <w:t>拟采用</w:t>
            </w:r>
            <w:r>
              <w:rPr>
                <w:rFonts w:hint="eastAsia" w:cs="Times New Roman"/>
                <w:color w:val="auto"/>
                <w:highlight w:val="none"/>
                <w:u w:val="none" w:color="auto"/>
                <w:lang w:val="en-US" w:eastAsia="zh-CN"/>
              </w:rPr>
              <w:t>“格栅+</w:t>
            </w:r>
            <w:r>
              <w:rPr>
                <w:rFonts w:hint="default" w:ascii="Times New Roman" w:hAnsi="Times New Roman" w:eastAsia="宋体" w:cs="Times New Roman"/>
                <w:color w:val="auto"/>
                <w:highlight w:val="none"/>
                <w:u w:val="none" w:color="auto"/>
                <w:lang w:val="en-US" w:eastAsia="zh-CN"/>
              </w:rPr>
              <w:t>混凝沉淀</w:t>
            </w:r>
            <w:r>
              <w:rPr>
                <w:rFonts w:hint="default"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lang w:val="en-US" w:eastAsia="zh-CN"/>
              </w:rPr>
              <w:t>A/O生物接触氧化+紫外线消毒</w:t>
            </w:r>
            <w:r>
              <w:rPr>
                <w:rFonts w:hint="eastAsia" w:cs="Times New Roman"/>
                <w:color w:val="auto"/>
                <w:highlight w:val="none"/>
                <w:u w:val="none" w:color="auto"/>
                <w:lang w:val="en-US" w:eastAsia="zh-CN"/>
              </w:rPr>
              <w:t>”</w:t>
            </w:r>
            <w:r>
              <w:rPr>
                <w:rFonts w:hint="eastAsia"/>
                <w:color w:val="auto"/>
                <w:u w:val="none" w:color="auto"/>
                <w:lang w:val="en-US" w:eastAsia="zh-CN"/>
              </w:rPr>
              <w:t>处理废水，外排废水水质</w:t>
            </w:r>
            <w:r>
              <w:rPr>
                <w:rFonts w:ascii="Times New Roman" w:hAnsi="宋体"/>
                <w:color w:val="auto"/>
                <w:sz w:val="24"/>
                <w:u w:val="none" w:color="auto"/>
              </w:rPr>
              <w:t>达</w:t>
            </w:r>
            <w:r>
              <w:rPr>
                <w:rFonts w:hint="eastAsia" w:hAnsi="宋体"/>
                <w:color w:val="auto"/>
                <w:sz w:val="24"/>
                <w:u w:val="none" w:color="auto"/>
                <w:lang w:val="en-US" w:eastAsia="zh-CN"/>
              </w:rPr>
              <w:t>到</w:t>
            </w:r>
            <w:r>
              <w:rPr>
                <w:rFonts w:ascii="Times New Roman" w:hAnsi="宋体"/>
                <w:color w:val="auto"/>
                <w:sz w:val="24"/>
                <w:u w:val="none" w:color="auto"/>
              </w:rPr>
              <w:t>《医疗机构水污染物排放标准》（GB18466-2005）</w:t>
            </w:r>
            <w:r>
              <w:rPr>
                <w:rFonts w:ascii="Times New Roman" w:hAnsi="宋体"/>
                <w:color w:val="auto"/>
                <w:sz w:val="24"/>
                <w:u w:val="none" w:color="auto"/>
                <w:lang w:val="zh-CN"/>
              </w:rPr>
              <w:t>综合医疗机构和其他医疗机构水污染物</w:t>
            </w:r>
            <w:r>
              <w:rPr>
                <w:rFonts w:hint="eastAsia" w:ascii="Times New Roman" w:hAnsi="宋体"/>
                <w:color w:val="auto"/>
                <w:sz w:val="24"/>
                <w:u w:val="none" w:color="auto"/>
                <w:lang w:val="zh-CN"/>
              </w:rPr>
              <w:t>预处理标准</w:t>
            </w:r>
            <w:r>
              <w:rPr>
                <w:rFonts w:hint="eastAsia" w:hAnsi="宋体"/>
                <w:color w:val="auto"/>
                <w:sz w:val="24"/>
                <w:u w:val="none" w:color="auto"/>
                <w:lang w:val="zh-CN"/>
              </w:rPr>
              <w:t>，</w:t>
            </w:r>
            <w:r>
              <w:rPr>
                <w:rFonts w:hint="eastAsia"/>
                <w:color w:val="auto"/>
                <w:u w:val="none" w:color="auto"/>
                <w:lang w:val="en-US" w:eastAsia="zh-CN"/>
              </w:rPr>
              <w:t>进入江南污水处理厂处理</w:t>
            </w:r>
            <w:r>
              <w:rPr>
                <w:rFonts w:hint="eastAsia" w:ascii="Times New Roman" w:hAnsi="宋体"/>
                <w:color w:val="auto"/>
                <w:sz w:val="24"/>
                <w:u w:val="none" w:color="auto"/>
                <w:lang w:val="en-US" w:eastAsia="zh-CN"/>
              </w:rPr>
              <w:t>。</w:t>
            </w:r>
          </w:p>
          <w:p w14:paraId="3D00EE6C">
            <w:pPr>
              <w:pStyle w:val="36"/>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textAlignment w:val="auto"/>
              <w:rPr>
                <w:rFonts w:hint="default"/>
                <w:color w:val="auto"/>
                <w:u w:val="none" w:color="auto"/>
                <w:lang w:val="en-US" w:eastAsia="zh-CN"/>
              </w:rPr>
            </w:pPr>
            <w:r>
              <w:rPr>
                <w:rFonts w:hint="eastAsia" w:hAnsi="宋体"/>
                <w:color w:val="auto"/>
                <w:sz w:val="24"/>
                <w:u w:val="none" w:color="auto"/>
                <w:lang w:val="en-US" w:eastAsia="zh-CN"/>
              </w:rPr>
              <w:t>项目所在区域属于江南污水处理厂的服务范围，根据现场调查，目前项目东面的友谊路已经有连通的市政管网，可通过市政管网进入江南污水处理厂，项目废水可进入江南污水处理厂处理，从项目水质及水量不会对其造成冲击。</w:t>
            </w:r>
          </w:p>
          <w:p w14:paraId="3E1EA2E5">
            <w:pPr>
              <w:pStyle w:val="36"/>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textAlignment w:val="auto"/>
              <w:rPr>
                <w:color w:val="auto"/>
                <w:u w:val="none" w:color="auto"/>
              </w:rPr>
            </w:pPr>
            <w:r>
              <w:rPr>
                <w:rFonts w:hint="eastAsia"/>
                <w:color w:val="auto"/>
                <w:u w:val="none" w:color="auto"/>
                <w:lang w:val="en-US" w:eastAsia="zh-CN"/>
              </w:rPr>
              <w:t>（6）</w:t>
            </w:r>
            <w:r>
              <w:rPr>
                <w:color w:val="auto"/>
                <w:u w:val="none" w:color="auto"/>
              </w:rPr>
              <w:t>监测计划</w:t>
            </w:r>
          </w:p>
          <w:p w14:paraId="629F3DBD">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default"/>
                <w:color w:val="auto"/>
                <w:u w:val="none" w:color="auto"/>
                <w:lang w:val="en-US" w:eastAsia="zh-CN"/>
              </w:rPr>
            </w:pPr>
            <w:r>
              <w:rPr>
                <w:rFonts w:hint="eastAsia"/>
                <w:color w:val="auto"/>
                <w:u w:val="none" w:color="auto"/>
                <w:lang w:val="en-US" w:eastAsia="zh-CN"/>
              </w:rPr>
              <w:t>项目为精神病专科医院，医疗废水、生活污水经处理达标后进入</w:t>
            </w:r>
            <w:r>
              <w:rPr>
                <w:rFonts w:hint="eastAsia" w:ascii="Times New Roman" w:hAnsi="宋体"/>
                <w:color w:val="auto"/>
                <w:sz w:val="24"/>
                <w:u w:val="none" w:color="auto"/>
                <w:lang w:val="en-US" w:eastAsia="zh-CN"/>
              </w:rPr>
              <w:t>南宁市江南污水处理厂处理，根据</w:t>
            </w:r>
            <w:r>
              <w:rPr>
                <w:rFonts w:hint="eastAsia"/>
                <w:color w:val="auto"/>
                <w:u w:val="none" w:color="auto"/>
              </w:rPr>
              <w:t>《固定污染源排污许可分类管理名录(2019年版)》</w:t>
            </w:r>
            <w:r>
              <w:rPr>
                <w:rFonts w:hint="eastAsia"/>
                <w:color w:val="auto"/>
                <w:u w:val="none" w:color="auto"/>
                <w:lang w:eastAsia="zh-CN"/>
              </w:rPr>
              <w:t>（</w:t>
            </w:r>
            <w:r>
              <w:rPr>
                <w:rFonts w:hint="eastAsia"/>
                <w:color w:val="auto"/>
                <w:u w:val="none" w:color="auto"/>
              </w:rPr>
              <w:t>生态环境部令第11号，2019年12月20日</w:t>
            </w:r>
            <w:r>
              <w:rPr>
                <w:rFonts w:hint="eastAsia"/>
                <w:color w:val="auto"/>
                <w:u w:val="none" w:color="auto"/>
                <w:lang w:val="en-US" w:eastAsia="zh-CN"/>
              </w:rPr>
              <w:t>公布）、《排污许可证申请与核发技术规范  医疗机构》（HJ1105-2020）及本项目情况，①项目为简化管理，项目各项污、废水经处理达标后进入江南污水处理厂处理，其医疗废水排放口属于一般排放口；②项目产生的检验科废水不涉及重金属，无须设置科室或设施排放口。</w:t>
            </w:r>
          </w:p>
          <w:p w14:paraId="64D435AA">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eastAsia"/>
                <w:color w:val="auto"/>
                <w:u w:val="none" w:color="auto"/>
                <w:lang w:eastAsia="zh-CN"/>
              </w:rPr>
            </w:pPr>
            <w:r>
              <w:rPr>
                <w:color w:val="auto"/>
                <w:u w:val="none" w:color="auto"/>
              </w:rPr>
              <w:t>根据《排污单位自行监测技术指南 总则》（HJ819-2017）、</w:t>
            </w:r>
            <w:r>
              <w:rPr>
                <w:rFonts w:hint="eastAsia"/>
                <w:color w:val="auto"/>
                <w:u w:val="none" w:color="auto"/>
                <w:lang w:val="en-US" w:eastAsia="zh-CN"/>
              </w:rPr>
              <w:t>《排污许可证申请与核发技术规范  医疗机构》（HJ1105-2020）</w:t>
            </w:r>
            <w:r>
              <w:rPr>
                <w:color w:val="auto"/>
                <w:u w:val="none" w:color="auto"/>
              </w:rPr>
              <w:t>要求，项目运营期间应对</w:t>
            </w:r>
            <w:r>
              <w:rPr>
                <w:rFonts w:hint="eastAsia"/>
                <w:color w:val="auto"/>
                <w:u w:val="none" w:color="auto"/>
                <w:lang w:val="en-US" w:eastAsia="zh-CN"/>
              </w:rPr>
              <w:t>废水</w:t>
            </w:r>
            <w:r>
              <w:rPr>
                <w:color w:val="auto"/>
                <w:u w:val="none" w:color="auto"/>
              </w:rPr>
              <w:t>排放进行自行监测，监测计划见下表</w:t>
            </w:r>
            <w:r>
              <w:rPr>
                <w:rFonts w:hint="eastAsia"/>
                <w:color w:val="auto"/>
                <w:u w:val="none" w:color="auto"/>
                <w:lang w:eastAsia="zh-CN"/>
              </w:rPr>
              <w:t>：</w:t>
            </w:r>
          </w:p>
          <w:p w14:paraId="31AFB868">
            <w:pPr>
              <w:pStyle w:val="10"/>
              <w:numPr>
                <w:ilvl w:val="0"/>
                <w:numId w:val="3"/>
              </w:numPr>
              <w:ind w:left="0" w:firstLine="0" w:firstLineChars="0"/>
              <w:jc w:val="center"/>
              <w:rPr>
                <w:rFonts w:ascii="黑体" w:hAnsi="黑体" w:eastAsia="黑体"/>
                <w:b w:val="0"/>
                <w:color w:val="auto"/>
                <w:u w:val="none" w:color="auto"/>
              </w:rPr>
            </w:pPr>
            <w:r>
              <w:rPr>
                <w:rFonts w:ascii="黑体" w:hAnsi="黑体" w:eastAsia="黑体"/>
                <w:b w:val="0"/>
                <w:color w:val="auto"/>
                <w:u w:val="none" w:color="auto"/>
              </w:rPr>
              <w:t>监测计划表</w:t>
            </w:r>
          </w:p>
          <w:tbl>
            <w:tblPr>
              <w:tblStyle w:val="23"/>
              <w:tblW w:w="88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082"/>
              <w:gridCol w:w="3088"/>
              <w:gridCol w:w="1200"/>
              <w:gridCol w:w="2258"/>
            </w:tblGrid>
            <w:tr w14:paraId="7EDF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Align w:val="center"/>
                </w:tcPr>
                <w:p w14:paraId="3FC56655">
                  <w:pPr>
                    <w:pStyle w:val="35"/>
                    <w:jc w:val="center"/>
                    <w:rPr>
                      <w:b/>
                      <w:color w:val="auto"/>
                      <w:u w:val="none" w:color="auto"/>
                    </w:rPr>
                  </w:pPr>
                  <w:r>
                    <w:rPr>
                      <w:b/>
                      <w:color w:val="auto"/>
                      <w:u w:val="none" w:color="auto"/>
                    </w:rPr>
                    <w:t>监测内容</w:t>
                  </w:r>
                </w:p>
              </w:tc>
              <w:tc>
                <w:tcPr>
                  <w:tcW w:w="1082" w:type="dxa"/>
                  <w:vAlign w:val="center"/>
                </w:tcPr>
                <w:p w14:paraId="576D983D">
                  <w:pPr>
                    <w:pStyle w:val="35"/>
                    <w:jc w:val="center"/>
                    <w:rPr>
                      <w:b/>
                      <w:color w:val="auto"/>
                      <w:u w:val="none" w:color="auto"/>
                    </w:rPr>
                  </w:pPr>
                  <w:r>
                    <w:rPr>
                      <w:b/>
                      <w:color w:val="auto"/>
                      <w:u w:val="none" w:color="auto"/>
                    </w:rPr>
                    <w:t>监测点位</w:t>
                  </w:r>
                </w:p>
              </w:tc>
              <w:tc>
                <w:tcPr>
                  <w:tcW w:w="3088" w:type="dxa"/>
                  <w:vAlign w:val="center"/>
                </w:tcPr>
                <w:p w14:paraId="68933504">
                  <w:pPr>
                    <w:pStyle w:val="35"/>
                    <w:jc w:val="center"/>
                    <w:rPr>
                      <w:b/>
                      <w:color w:val="auto"/>
                      <w:u w:val="none" w:color="auto"/>
                    </w:rPr>
                  </w:pPr>
                  <w:r>
                    <w:rPr>
                      <w:b/>
                      <w:color w:val="auto"/>
                      <w:u w:val="none" w:color="auto"/>
                    </w:rPr>
                    <w:t>监测因子</w:t>
                  </w:r>
                </w:p>
              </w:tc>
              <w:tc>
                <w:tcPr>
                  <w:tcW w:w="1200" w:type="dxa"/>
                  <w:vAlign w:val="center"/>
                </w:tcPr>
                <w:p w14:paraId="5DC8F5A5">
                  <w:pPr>
                    <w:pStyle w:val="35"/>
                    <w:jc w:val="center"/>
                    <w:rPr>
                      <w:b/>
                      <w:color w:val="auto"/>
                      <w:u w:val="none" w:color="auto"/>
                    </w:rPr>
                  </w:pPr>
                  <w:r>
                    <w:rPr>
                      <w:b/>
                      <w:color w:val="auto"/>
                      <w:u w:val="none" w:color="auto"/>
                    </w:rPr>
                    <w:t>监测频次</w:t>
                  </w:r>
                </w:p>
              </w:tc>
              <w:tc>
                <w:tcPr>
                  <w:tcW w:w="2258" w:type="dxa"/>
                  <w:vAlign w:val="center"/>
                </w:tcPr>
                <w:p w14:paraId="61D99CE1">
                  <w:pPr>
                    <w:pStyle w:val="35"/>
                    <w:jc w:val="center"/>
                    <w:rPr>
                      <w:b/>
                      <w:color w:val="auto"/>
                      <w:u w:val="none" w:color="auto"/>
                    </w:rPr>
                  </w:pPr>
                  <w:r>
                    <w:rPr>
                      <w:b/>
                      <w:color w:val="auto"/>
                      <w:u w:val="none" w:color="auto"/>
                    </w:rPr>
                    <w:t>执行标准</w:t>
                  </w:r>
                </w:p>
              </w:tc>
            </w:tr>
            <w:tr w14:paraId="3D3C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restart"/>
                  <w:vAlign w:val="center"/>
                </w:tcPr>
                <w:p w14:paraId="4BA51488">
                  <w:pPr>
                    <w:pStyle w:val="35"/>
                    <w:jc w:val="center"/>
                    <w:rPr>
                      <w:color w:val="auto"/>
                      <w:u w:val="none" w:color="auto"/>
                    </w:rPr>
                  </w:pPr>
                  <w:r>
                    <w:rPr>
                      <w:rFonts w:hint="eastAsia"/>
                      <w:color w:val="auto"/>
                      <w:u w:val="none" w:color="auto"/>
                      <w:lang w:val="en-US" w:eastAsia="zh-CN"/>
                    </w:rPr>
                    <w:t>医疗废水</w:t>
                  </w:r>
                  <w:r>
                    <w:rPr>
                      <w:color w:val="auto"/>
                      <w:u w:val="none" w:color="auto"/>
                    </w:rPr>
                    <w:t>污染源</w:t>
                  </w:r>
                </w:p>
              </w:tc>
              <w:tc>
                <w:tcPr>
                  <w:tcW w:w="1082" w:type="dxa"/>
                  <w:vMerge w:val="restart"/>
                  <w:vAlign w:val="center"/>
                </w:tcPr>
                <w:p w14:paraId="6753A8CD">
                  <w:pPr>
                    <w:pStyle w:val="35"/>
                    <w:jc w:val="center"/>
                    <w:rPr>
                      <w:rFonts w:hint="default" w:eastAsia="宋体"/>
                      <w:color w:val="auto"/>
                      <w:u w:val="none" w:color="auto"/>
                      <w:lang w:val="en-US" w:eastAsia="zh-CN"/>
                    </w:rPr>
                  </w:pPr>
                  <w:r>
                    <w:rPr>
                      <w:rFonts w:hint="eastAsia"/>
                      <w:color w:val="auto"/>
                      <w:u w:val="none" w:color="auto"/>
                      <w:lang w:val="en-US" w:eastAsia="zh-CN"/>
                    </w:rPr>
                    <w:t>医疗废水总排放口</w:t>
                  </w:r>
                </w:p>
              </w:tc>
              <w:tc>
                <w:tcPr>
                  <w:tcW w:w="3088" w:type="dxa"/>
                  <w:vAlign w:val="center"/>
                </w:tcPr>
                <w:p w14:paraId="35BA8D5B">
                  <w:pPr>
                    <w:pStyle w:val="35"/>
                    <w:jc w:val="center"/>
                    <w:rPr>
                      <w:color w:val="auto"/>
                      <w:u w:val="none" w:color="auto"/>
                    </w:rPr>
                  </w:pPr>
                  <w:r>
                    <w:rPr>
                      <w:rFonts w:hint="eastAsia"/>
                      <w:color w:val="auto"/>
                      <w:u w:val="none" w:color="auto"/>
                      <w:lang w:val="en-US" w:eastAsia="zh-CN"/>
                    </w:rPr>
                    <w:t>流量</w:t>
                  </w:r>
                </w:p>
              </w:tc>
              <w:tc>
                <w:tcPr>
                  <w:tcW w:w="1200" w:type="dxa"/>
                  <w:vAlign w:val="center"/>
                </w:tcPr>
                <w:p w14:paraId="31F835AE">
                  <w:pPr>
                    <w:pStyle w:val="35"/>
                    <w:jc w:val="center"/>
                    <w:rPr>
                      <w:rFonts w:hint="default"/>
                      <w:color w:val="auto"/>
                      <w:u w:val="none" w:color="auto"/>
                      <w:lang w:val="en-US"/>
                    </w:rPr>
                  </w:pPr>
                  <w:r>
                    <w:rPr>
                      <w:rFonts w:hint="eastAsia"/>
                      <w:color w:val="auto"/>
                      <w:u w:val="none" w:color="auto"/>
                      <w:lang w:val="en-US" w:eastAsia="zh-CN"/>
                    </w:rPr>
                    <w:t>自动监测</w:t>
                  </w:r>
                </w:p>
              </w:tc>
              <w:tc>
                <w:tcPr>
                  <w:tcW w:w="2258" w:type="dxa"/>
                  <w:vMerge w:val="restart"/>
                  <w:vAlign w:val="center"/>
                </w:tcPr>
                <w:p w14:paraId="322411EE">
                  <w:pPr>
                    <w:pStyle w:val="35"/>
                    <w:jc w:val="center"/>
                    <w:rPr>
                      <w:rFonts w:hint="default" w:eastAsia="宋体"/>
                      <w:color w:val="auto"/>
                      <w:u w:val="none" w:color="auto"/>
                      <w:lang w:val="en-US" w:eastAsia="zh-CN"/>
                    </w:rPr>
                  </w:pPr>
                  <w:r>
                    <w:rPr>
                      <w:rFonts w:hint="eastAsia"/>
                      <w:color w:val="auto"/>
                      <w:u w:val="none" w:color="auto"/>
                    </w:rPr>
                    <w:t>GB18466-2005《医疗机构水污染物排放标准》的综合医疗机构和其他医疗机构水污染物</w:t>
                  </w:r>
                  <w:r>
                    <w:rPr>
                      <w:rFonts w:hint="eastAsia"/>
                      <w:color w:val="auto"/>
                      <w:u w:val="none" w:color="auto"/>
                      <w:lang w:val="en-US" w:eastAsia="zh-CN"/>
                    </w:rPr>
                    <w:t>预处理标准</w:t>
                  </w:r>
                </w:p>
              </w:tc>
            </w:tr>
            <w:tr w14:paraId="7AE3A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6715772E">
                  <w:pPr>
                    <w:pStyle w:val="35"/>
                    <w:jc w:val="center"/>
                    <w:rPr>
                      <w:rFonts w:hint="eastAsia"/>
                      <w:color w:val="auto"/>
                      <w:u w:val="none" w:color="auto"/>
                      <w:lang w:val="en-US" w:eastAsia="zh-CN"/>
                    </w:rPr>
                  </w:pPr>
                </w:p>
              </w:tc>
              <w:tc>
                <w:tcPr>
                  <w:tcW w:w="1082" w:type="dxa"/>
                  <w:vMerge w:val="continue"/>
                  <w:vAlign w:val="center"/>
                </w:tcPr>
                <w:p w14:paraId="3E95FD40">
                  <w:pPr>
                    <w:pStyle w:val="35"/>
                    <w:jc w:val="center"/>
                    <w:rPr>
                      <w:rFonts w:hint="eastAsia"/>
                      <w:color w:val="auto"/>
                      <w:u w:val="none" w:color="auto"/>
                      <w:lang w:val="en-US" w:eastAsia="zh-CN"/>
                    </w:rPr>
                  </w:pPr>
                </w:p>
              </w:tc>
              <w:tc>
                <w:tcPr>
                  <w:tcW w:w="3088" w:type="dxa"/>
                  <w:vAlign w:val="center"/>
                </w:tcPr>
                <w:p w14:paraId="21524E5E">
                  <w:pPr>
                    <w:pStyle w:val="35"/>
                    <w:jc w:val="center"/>
                    <w:rPr>
                      <w:rFonts w:hint="default"/>
                      <w:color w:val="auto"/>
                      <w:u w:val="none" w:color="auto"/>
                      <w:lang w:val="en-US" w:eastAsia="zh-CN"/>
                    </w:rPr>
                  </w:pPr>
                  <w:r>
                    <w:rPr>
                      <w:rFonts w:hint="eastAsia"/>
                      <w:color w:val="auto"/>
                      <w:u w:val="none" w:color="auto"/>
                      <w:lang w:val="en-US" w:eastAsia="zh-CN"/>
                    </w:rPr>
                    <w:t>pH值</w:t>
                  </w:r>
                </w:p>
              </w:tc>
              <w:tc>
                <w:tcPr>
                  <w:tcW w:w="1200" w:type="dxa"/>
                  <w:vAlign w:val="center"/>
                </w:tcPr>
                <w:p w14:paraId="42D7D2E9">
                  <w:pPr>
                    <w:pStyle w:val="35"/>
                    <w:jc w:val="center"/>
                    <w:rPr>
                      <w:rFonts w:hint="default"/>
                      <w:color w:val="auto"/>
                      <w:u w:val="none" w:color="auto"/>
                      <w:lang w:val="en-US" w:eastAsia="zh-CN"/>
                    </w:rPr>
                  </w:pPr>
                  <w:r>
                    <w:rPr>
                      <w:rFonts w:hint="eastAsia"/>
                      <w:color w:val="auto"/>
                      <w:u w:val="none" w:color="auto"/>
                      <w:lang w:val="en-US" w:eastAsia="zh-CN"/>
                    </w:rPr>
                    <w:t>12小时</w:t>
                  </w:r>
                </w:p>
              </w:tc>
              <w:tc>
                <w:tcPr>
                  <w:tcW w:w="2258" w:type="dxa"/>
                  <w:vMerge w:val="continue"/>
                  <w:vAlign w:val="center"/>
                </w:tcPr>
                <w:p w14:paraId="68F7D584">
                  <w:pPr>
                    <w:pStyle w:val="35"/>
                    <w:jc w:val="center"/>
                    <w:rPr>
                      <w:rFonts w:hint="eastAsia"/>
                      <w:color w:val="auto"/>
                      <w:u w:val="none" w:color="auto"/>
                    </w:rPr>
                  </w:pPr>
                </w:p>
              </w:tc>
            </w:tr>
            <w:tr w14:paraId="4D3E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01637A95">
                  <w:pPr>
                    <w:pStyle w:val="35"/>
                    <w:jc w:val="center"/>
                    <w:rPr>
                      <w:color w:val="auto"/>
                      <w:u w:val="none" w:color="auto"/>
                    </w:rPr>
                  </w:pPr>
                </w:p>
              </w:tc>
              <w:tc>
                <w:tcPr>
                  <w:tcW w:w="1082" w:type="dxa"/>
                  <w:vMerge w:val="continue"/>
                  <w:vAlign w:val="center"/>
                </w:tcPr>
                <w:p w14:paraId="7F53C997">
                  <w:pPr>
                    <w:pStyle w:val="35"/>
                    <w:jc w:val="center"/>
                    <w:rPr>
                      <w:color w:val="auto"/>
                      <w:u w:val="none" w:color="auto"/>
                    </w:rPr>
                  </w:pPr>
                </w:p>
              </w:tc>
              <w:tc>
                <w:tcPr>
                  <w:tcW w:w="3088" w:type="dxa"/>
                  <w:vAlign w:val="center"/>
                </w:tcPr>
                <w:p w14:paraId="707C325E">
                  <w:pPr>
                    <w:pStyle w:val="35"/>
                    <w:jc w:val="center"/>
                    <w:rPr>
                      <w:rFonts w:hint="default" w:eastAsia="宋体"/>
                      <w:color w:val="auto"/>
                      <w:u w:val="none" w:color="auto"/>
                      <w:lang w:val="en-US" w:eastAsia="zh-CN"/>
                    </w:rPr>
                  </w:pPr>
                  <w:r>
                    <w:rPr>
                      <w:rFonts w:hint="eastAsia"/>
                      <w:color w:val="auto"/>
                      <w:u w:val="none" w:color="auto"/>
                      <w:lang w:val="en-US" w:eastAsia="zh-CN"/>
                    </w:rPr>
                    <w:t>化学需氧量、悬浮物</w:t>
                  </w:r>
                </w:p>
              </w:tc>
              <w:tc>
                <w:tcPr>
                  <w:tcW w:w="1200" w:type="dxa"/>
                  <w:vAlign w:val="center"/>
                </w:tcPr>
                <w:p w14:paraId="17231D95">
                  <w:pPr>
                    <w:pStyle w:val="35"/>
                    <w:jc w:val="center"/>
                    <w:rPr>
                      <w:color w:val="auto"/>
                      <w:u w:val="none" w:color="auto"/>
                    </w:rPr>
                  </w:pPr>
                  <w:r>
                    <w:rPr>
                      <w:rFonts w:hint="eastAsia"/>
                      <w:color w:val="auto"/>
                      <w:u w:val="none" w:color="auto"/>
                      <w:lang w:val="en-US" w:eastAsia="zh-CN"/>
                    </w:rPr>
                    <w:t>次/周</w:t>
                  </w:r>
                </w:p>
              </w:tc>
              <w:tc>
                <w:tcPr>
                  <w:tcW w:w="2258" w:type="dxa"/>
                  <w:vMerge w:val="continue"/>
                  <w:vAlign w:val="center"/>
                </w:tcPr>
                <w:p w14:paraId="3A9AE0FA">
                  <w:pPr>
                    <w:pStyle w:val="35"/>
                    <w:jc w:val="center"/>
                    <w:rPr>
                      <w:color w:val="auto"/>
                      <w:u w:val="none" w:color="auto"/>
                    </w:rPr>
                  </w:pPr>
                </w:p>
              </w:tc>
            </w:tr>
            <w:tr w14:paraId="01AA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43DD2079">
                  <w:pPr>
                    <w:pStyle w:val="35"/>
                    <w:jc w:val="center"/>
                    <w:rPr>
                      <w:color w:val="auto"/>
                      <w:u w:val="none" w:color="auto"/>
                    </w:rPr>
                  </w:pPr>
                </w:p>
              </w:tc>
              <w:tc>
                <w:tcPr>
                  <w:tcW w:w="1082" w:type="dxa"/>
                  <w:vMerge w:val="continue"/>
                  <w:vAlign w:val="center"/>
                </w:tcPr>
                <w:p w14:paraId="751E6883">
                  <w:pPr>
                    <w:pStyle w:val="35"/>
                    <w:jc w:val="center"/>
                    <w:rPr>
                      <w:color w:val="auto"/>
                      <w:u w:val="none" w:color="auto"/>
                    </w:rPr>
                  </w:pPr>
                </w:p>
              </w:tc>
              <w:tc>
                <w:tcPr>
                  <w:tcW w:w="3088" w:type="dxa"/>
                  <w:vAlign w:val="center"/>
                </w:tcPr>
                <w:p w14:paraId="1878F378">
                  <w:pPr>
                    <w:pStyle w:val="35"/>
                    <w:jc w:val="center"/>
                    <w:rPr>
                      <w:rFonts w:hint="eastAsia"/>
                      <w:color w:val="auto"/>
                      <w:u w:val="none" w:color="auto"/>
                      <w:lang w:val="en-US" w:eastAsia="zh-CN"/>
                    </w:rPr>
                  </w:pPr>
                  <w:r>
                    <w:rPr>
                      <w:rFonts w:hint="eastAsia"/>
                      <w:color w:val="auto"/>
                      <w:u w:val="none" w:color="auto"/>
                      <w:lang w:val="en-US" w:eastAsia="zh-CN"/>
                    </w:rPr>
                    <w:t>粪大肠菌群</w:t>
                  </w:r>
                </w:p>
              </w:tc>
              <w:tc>
                <w:tcPr>
                  <w:tcW w:w="1200" w:type="dxa"/>
                  <w:vAlign w:val="center"/>
                </w:tcPr>
                <w:p w14:paraId="11CF1772">
                  <w:pPr>
                    <w:pStyle w:val="35"/>
                    <w:jc w:val="center"/>
                    <w:rPr>
                      <w:rFonts w:hint="eastAsia"/>
                      <w:color w:val="auto"/>
                      <w:u w:val="none" w:color="auto"/>
                      <w:lang w:val="en-US" w:eastAsia="zh-CN"/>
                    </w:rPr>
                  </w:pPr>
                  <w:r>
                    <w:rPr>
                      <w:rFonts w:hint="eastAsia"/>
                      <w:color w:val="auto"/>
                      <w:u w:val="none" w:color="auto"/>
                      <w:lang w:val="en-US" w:eastAsia="zh-CN"/>
                    </w:rPr>
                    <w:t>次/月</w:t>
                  </w:r>
                </w:p>
              </w:tc>
              <w:tc>
                <w:tcPr>
                  <w:tcW w:w="2258" w:type="dxa"/>
                  <w:vMerge w:val="continue"/>
                  <w:vAlign w:val="center"/>
                </w:tcPr>
                <w:p w14:paraId="76FC890A">
                  <w:pPr>
                    <w:pStyle w:val="35"/>
                    <w:jc w:val="center"/>
                    <w:rPr>
                      <w:color w:val="auto"/>
                      <w:u w:val="none" w:color="auto"/>
                    </w:rPr>
                  </w:pPr>
                </w:p>
              </w:tc>
            </w:tr>
            <w:tr w14:paraId="53135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0442B6E9">
                  <w:pPr>
                    <w:pStyle w:val="35"/>
                    <w:jc w:val="center"/>
                    <w:rPr>
                      <w:color w:val="auto"/>
                      <w:u w:val="none" w:color="auto"/>
                    </w:rPr>
                  </w:pPr>
                </w:p>
              </w:tc>
              <w:tc>
                <w:tcPr>
                  <w:tcW w:w="1082" w:type="dxa"/>
                  <w:vMerge w:val="continue"/>
                  <w:vAlign w:val="center"/>
                </w:tcPr>
                <w:p w14:paraId="3BB72410">
                  <w:pPr>
                    <w:pStyle w:val="35"/>
                    <w:jc w:val="center"/>
                    <w:rPr>
                      <w:color w:val="auto"/>
                      <w:u w:val="none" w:color="auto"/>
                    </w:rPr>
                  </w:pPr>
                </w:p>
              </w:tc>
              <w:tc>
                <w:tcPr>
                  <w:tcW w:w="3088" w:type="dxa"/>
                  <w:vAlign w:val="center"/>
                </w:tcPr>
                <w:p w14:paraId="149BAC1B">
                  <w:pPr>
                    <w:pStyle w:val="35"/>
                    <w:jc w:val="center"/>
                    <w:rPr>
                      <w:rFonts w:hint="default" w:eastAsia="宋体"/>
                      <w:color w:val="auto"/>
                      <w:u w:val="none" w:color="auto"/>
                      <w:lang w:val="en-US" w:eastAsia="zh-CN"/>
                    </w:rPr>
                  </w:pPr>
                  <w:r>
                    <w:rPr>
                      <w:rFonts w:hint="eastAsia"/>
                      <w:color w:val="auto"/>
                      <w:u w:val="none" w:color="auto"/>
                      <w:lang w:val="en-US" w:eastAsia="zh-CN"/>
                    </w:rPr>
                    <w:t>五日生化需氧量、挥发酚、阴离子表面活性剂等</w:t>
                  </w:r>
                </w:p>
              </w:tc>
              <w:tc>
                <w:tcPr>
                  <w:tcW w:w="1200" w:type="dxa"/>
                  <w:vAlign w:val="center"/>
                </w:tcPr>
                <w:p w14:paraId="63571369">
                  <w:pPr>
                    <w:pStyle w:val="35"/>
                    <w:jc w:val="center"/>
                    <w:rPr>
                      <w:rFonts w:hint="default" w:eastAsia="宋体"/>
                      <w:color w:val="auto"/>
                      <w:u w:val="none" w:color="auto"/>
                      <w:lang w:val="en-US" w:eastAsia="zh-CN"/>
                    </w:rPr>
                  </w:pPr>
                  <w:r>
                    <w:rPr>
                      <w:rFonts w:hint="eastAsia"/>
                      <w:color w:val="auto"/>
                      <w:u w:val="none" w:color="auto"/>
                      <w:lang w:val="en-US" w:eastAsia="zh-CN"/>
                    </w:rPr>
                    <w:t>次/季</w:t>
                  </w:r>
                </w:p>
              </w:tc>
              <w:tc>
                <w:tcPr>
                  <w:tcW w:w="2258" w:type="dxa"/>
                  <w:vMerge w:val="continue"/>
                  <w:vAlign w:val="center"/>
                </w:tcPr>
                <w:p w14:paraId="11E92905">
                  <w:pPr>
                    <w:pStyle w:val="35"/>
                    <w:jc w:val="center"/>
                    <w:rPr>
                      <w:color w:val="auto"/>
                      <w:u w:val="none" w:color="auto"/>
                    </w:rPr>
                  </w:pPr>
                </w:p>
              </w:tc>
            </w:tr>
          </w:tbl>
          <w:p w14:paraId="5E441683">
            <w:pPr>
              <w:pStyle w:val="36"/>
              <w:numPr>
                <w:ilvl w:val="0"/>
                <w:numId w:val="0"/>
              </w:numPr>
              <w:ind w:left="480" w:leftChars="0"/>
              <w:rPr>
                <w:b/>
                <w:color w:val="auto"/>
                <w:u w:val="none" w:color="auto"/>
              </w:rPr>
            </w:pPr>
            <w:r>
              <w:rPr>
                <w:rFonts w:hint="eastAsia"/>
                <w:b/>
                <w:color w:val="auto"/>
                <w:u w:val="none" w:color="auto"/>
                <w:lang w:val="en-US" w:eastAsia="zh-CN"/>
              </w:rPr>
              <w:t>二、</w:t>
            </w:r>
            <w:r>
              <w:rPr>
                <w:b/>
                <w:color w:val="auto"/>
                <w:u w:val="none" w:color="auto"/>
              </w:rPr>
              <w:t>废气</w:t>
            </w:r>
          </w:p>
          <w:p w14:paraId="2E25715D">
            <w:pPr>
              <w:spacing w:line="480" w:lineRule="exact"/>
              <w:ind w:firstLine="480" w:firstLineChars="200"/>
              <w:rPr>
                <w:rFonts w:hint="default" w:eastAsia="宋体"/>
                <w:color w:val="auto"/>
                <w:sz w:val="24"/>
                <w:u w:val="none" w:color="auto"/>
                <w:lang w:val="en-US" w:eastAsia="zh-CN"/>
              </w:rPr>
            </w:pPr>
            <w:r>
              <w:rPr>
                <w:rFonts w:hint="eastAsia"/>
                <w:color w:val="auto"/>
                <w:sz w:val="24"/>
                <w:u w:val="none" w:color="auto"/>
                <w:lang w:eastAsia="zh-CN"/>
              </w:rPr>
              <w:t>（</w:t>
            </w:r>
            <w:r>
              <w:rPr>
                <w:rFonts w:hint="eastAsia"/>
                <w:color w:val="auto"/>
                <w:sz w:val="24"/>
                <w:u w:val="none" w:color="auto"/>
                <w:lang w:val="en-US" w:eastAsia="zh-CN"/>
              </w:rPr>
              <w:t>一</w:t>
            </w:r>
            <w:r>
              <w:rPr>
                <w:rFonts w:hint="eastAsia"/>
                <w:color w:val="auto"/>
                <w:sz w:val="24"/>
                <w:u w:val="none" w:color="auto"/>
                <w:lang w:eastAsia="zh-CN"/>
              </w:rPr>
              <w:t>）</w:t>
            </w:r>
            <w:r>
              <w:rPr>
                <w:rFonts w:hint="eastAsia"/>
                <w:color w:val="auto"/>
                <w:sz w:val="24"/>
                <w:u w:val="none" w:color="auto"/>
                <w:lang w:val="en-US" w:eastAsia="zh-CN"/>
              </w:rPr>
              <w:t>源强分析</w:t>
            </w:r>
          </w:p>
          <w:p w14:paraId="3B21805E">
            <w:pPr>
              <w:spacing w:line="480" w:lineRule="exact"/>
              <w:ind w:firstLine="480" w:firstLineChars="200"/>
              <w:rPr>
                <w:color w:val="auto"/>
                <w:sz w:val="24"/>
                <w:u w:val="none" w:color="auto"/>
              </w:rPr>
            </w:pPr>
            <w:r>
              <w:rPr>
                <w:color w:val="auto"/>
                <w:sz w:val="24"/>
                <w:u w:val="none" w:color="auto"/>
              </w:rPr>
              <w:t>项目不设锅炉，无锅炉烟气产生。项目营运期，医院废气主要是消毒水</w:t>
            </w:r>
            <w:r>
              <w:rPr>
                <w:rFonts w:hint="eastAsia"/>
                <w:color w:val="auto"/>
                <w:sz w:val="24"/>
                <w:u w:val="none" w:color="auto"/>
              </w:rPr>
              <w:t>恶臭</w:t>
            </w:r>
            <w:r>
              <w:rPr>
                <w:color w:val="auto"/>
                <w:sz w:val="24"/>
                <w:u w:val="none" w:color="auto"/>
              </w:rPr>
              <w:t>、污水处理站</w:t>
            </w:r>
            <w:r>
              <w:rPr>
                <w:rFonts w:hint="eastAsia"/>
                <w:color w:val="auto"/>
                <w:sz w:val="24"/>
                <w:u w:val="none" w:color="auto"/>
              </w:rPr>
              <w:t>废气</w:t>
            </w:r>
            <w:r>
              <w:rPr>
                <w:color w:val="auto"/>
                <w:sz w:val="24"/>
                <w:u w:val="none" w:color="auto"/>
              </w:rPr>
              <w:t>、垃圾产生的</w:t>
            </w:r>
            <w:r>
              <w:rPr>
                <w:rFonts w:hint="eastAsia"/>
                <w:color w:val="auto"/>
                <w:sz w:val="24"/>
                <w:u w:val="none" w:color="auto"/>
              </w:rPr>
              <w:t>恶臭</w:t>
            </w:r>
            <w:r>
              <w:rPr>
                <w:color w:val="auto"/>
                <w:sz w:val="24"/>
                <w:u w:val="none" w:color="auto"/>
              </w:rPr>
              <w:t>、食堂油烟废气。</w:t>
            </w:r>
          </w:p>
          <w:p w14:paraId="5572303F">
            <w:pPr>
              <w:spacing w:line="480" w:lineRule="exact"/>
              <w:ind w:firstLine="480" w:firstLineChars="200"/>
              <w:rPr>
                <w:rFonts w:hint="eastAsia"/>
                <w:color w:val="auto"/>
                <w:sz w:val="24"/>
                <w:u w:val="none" w:color="auto"/>
              </w:rPr>
            </w:pPr>
            <w:r>
              <w:rPr>
                <w:color w:val="auto"/>
                <w:sz w:val="24"/>
                <w:u w:val="none" w:color="auto"/>
              </w:rPr>
              <w:t>（1）消毒水</w:t>
            </w:r>
            <w:r>
              <w:rPr>
                <w:rFonts w:hint="eastAsia"/>
                <w:color w:val="auto"/>
                <w:sz w:val="24"/>
                <w:u w:val="none" w:color="auto"/>
              </w:rPr>
              <w:t>恶臭</w:t>
            </w:r>
          </w:p>
          <w:p w14:paraId="713D8E5D">
            <w:pPr>
              <w:spacing w:line="480" w:lineRule="exact"/>
              <w:ind w:firstLine="480" w:firstLineChars="200"/>
              <w:rPr>
                <w:color w:val="auto"/>
                <w:sz w:val="24"/>
                <w:u w:val="none" w:color="auto"/>
              </w:rPr>
            </w:pPr>
            <w:r>
              <w:rPr>
                <w:rFonts w:hAnsi="宋体"/>
                <w:color w:val="auto"/>
                <w:sz w:val="24"/>
                <w:u w:val="none" w:color="auto"/>
              </w:rPr>
              <w:t>为了防止病菌的传播和交叉感染，医院定期使用消毒水对各科室及病房、门诊进行消毒，医院</w:t>
            </w:r>
            <w:r>
              <w:rPr>
                <w:rFonts w:hint="eastAsia" w:hAnsi="宋体"/>
                <w:color w:val="auto"/>
                <w:sz w:val="24"/>
                <w:u w:val="none" w:color="auto"/>
              </w:rPr>
              <w:t>门诊楼、住院楼等</w:t>
            </w:r>
            <w:r>
              <w:rPr>
                <w:rFonts w:hAnsi="宋体"/>
                <w:color w:val="auto"/>
                <w:sz w:val="24"/>
                <w:u w:val="none" w:color="auto"/>
              </w:rPr>
              <w:t>内部场所使用紫外线消毒法消毒，医疗器械消毒采用高温压力蒸汽消毒，只有拖地时会用到少量84消毒液对地板进行消毒，由此将产生消毒水</w:t>
            </w:r>
            <w:r>
              <w:rPr>
                <w:rFonts w:hint="eastAsia" w:hAnsi="宋体"/>
                <w:color w:val="auto"/>
                <w:sz w:val="24"/>
                <w:u w:val="none" w:color="auto"/>
              </w:rPr>
              <w:t>恶臭</w:t>
            </w:r>
            <w:r>
              <w:rPr>
                <w:rFonts w:hAnsi="宋体"/>
                <w:color w:val="auto"/>
                <w:sz w:val="24"/>
                <w:u w:val="none" w:color="auto"/>
              </w:rPr>
              <w:t>。</w:t>
            </w:r>
            <w:r>
              <w:rPr>
                <w:rFonts w:hint="eastAsia"/>
                <w:color w:val="auto"/>
                <w:sz w:val="24"/>
                <w:u w:val="none" w:color="auto"/>
              </w:rPr>
              <w:t>由于消毒液稀释以后才能使用，稀释浓度为千分之二到千分之五，稀释以后，刺激性气味明显降低很多。</w:t>
            </w:r>
            <w:r>
              <w:rPr>
                <w:color w:val="auto"/>
                <w:sz w:val="24"/>
                <w:u w:val="none" w:color="auto"/>
              </w:rPr>
              <w:t>医院消毒水</w:t>
            </w:r>
            <w:r>
              <w:rPr>
                <w:rFonts w:hint="eastAsia"/>
                <w:color w:val="auto"/>
                <w:sz w:val="24"/>
                <w:u w:val="none" w:color="auto"/>
              </w:rPr>
              <w:t>恶臭</w:t>
            </w:r>
            <w:r>
              <w:rPr>
                <w:color w:val="auto"/>
                <w:sz w:val="24"/>
                <w:u w:val="none" w:color="auto"/>
              </w:rPr>
              <w:t>仅对其内环境有一定的影响，防治措施以通风散气为主</w:t>
            </w:r>
            <w:r>
              <w:rPr>
                <w:rFonts w:hint="eastAsia"/>
                <w:color w:val="auto"/>
                <w:sz w:val="24"/>
                <w:u w:val="none" w:color="auto"/>
              </w:rPr>
              <w:t>，</w:t>
            </w:r>
            <w:r>
              <w:rPr>
                <w:color w:val="auto"/>
                <w:sz w:val="24"/>
                <w:u w:val="none" w:color="auto"/>
              </w:rPr>
              <w:t>消毒药水</w:t>
            </w:r>
            <w:r>
              <w:rPr>
                <w:rFonts w:hint="eastAsia"/>
                <w:color w:val="auto"/>
                <w:sz w:val="24"/>
                <w:u w:val="none" w:color="auto"/>
              </w:rPr>
              <w:t>恶臭</w:t>
            </w:r>
            <w:r>
              <w:rPr>
                <w:color w:val="auto"/>
                <w:sz w:val="24"/>
                <w:u w:val="none" w:color="auto"/>
              </w:rPr>
              <w:t>的影响范围一般在</w:t>
            </w:r>
            <w:r>
              <w:rPr>
                <w:rFonts w:hint="eastAsia"/>
                <w:color w:val="auto"/>
                <w:sz w:val="24"/>
                <w:u w:val="none" w:color="auto"/>
                <w:lang w:val="en-US" w:eastAsia="zh-CN"/>
              </w:rPr>
              <w:t>医院大楼</w:t>
            </w:r>
            <w:r>
              <w:rPr>
                <w:color w:val="auto"/>
                <w:sz w:val="24"/>
                <w:u w:val="none" w:color="auto"/>
              </w:rPr>
              <w:t>内</w:t>
            </w:r>
            <w:r>
              <w:rPr>
                <w:rFonts w:hint="eastAsia"/>
                <w:color w:val="auto"/>
                <w:sz w:val="24"/>
                <w:u w:val="none" w:color="auto"/>
              </w:rPr>
              <w:t>。</w:t>
            </w:r>
          </w:p>
          <w:p w14:paraId="74B7BC40">
            <w:pPr>
              <w:spacing w:line="480" w:lineRule="exact"/>
              <w:ind w:firstLine="480" w:firstLineChars="200"/>
              <w:rPr>
                <w:rFonts w:hint="eastAsia"/>
                <w:color w:val="auto"/>
                <w:sz w:val="24"/>
                <w:u w:val="none" w:color="auto"/>
              </w:rPr>
            </w:pPr>
            <w:r>
              <w:rPr>
                <w:color w:val="auto"/>
                <w:sz w:val="24"/>
                <w:u w:val="none" w:color="auto"/>
              </w:rPr>
              <w:t>（2）污水处理站</w:t>
            </w:r>
            <w:r>
              <w:rPr>
                <w:rFonts w:hint="eastAsia"/>
                <w:color w:val="auto"/>
                <w:sz w:val="24"/>
                <w:u w:val="none" w:color="auto"/>
              </w:rPr>
              <w:t>废气</w:t>
            </w:r>
          </w:p>
          <w:p w14:paraId="6EA5EC5D">
            <w:pPr>
              <w:spacing w:line="480" w:lineRule="exact"/>
              <w:ind w:firstLine="480" w:firstLineChars="200"/>
              <w:rPr>
                <w:rFonts w:hint="default" w:eastAsia="宋体"/>
                <w:color w:val="auto"/>
                <w:sz w:val="24"/>
                <w:u w:val="none" w:color="auto"/>
                <w:lang w:val="en-US" w:eastAsia="zh-CN"/>
              </w:rPr>
            </w:pPr>
            <w:r>
              <w:rPr>
                <w:color w:val="auto"/>
                <w:sz w:val="24"/>
                <w:u w:val="none" w:color="auto"/>
              </w:rPr>
              <w:t>项目拟将</w:t>
            </w:r>
            <w:r>
              <w:rPr>
                <w:color w:val="auto"/>
                <w:sz w:val="24"/>
                <w:u w:val="none" w:color="auto"/>
                <w:lang w:val="zh-CN"/>
              </w:rPr>
              <w:t>污水处理站建</w:t>
            </w:r>
            <w:r>
              <w:rPr>
                <w:color w:val="auto"/>
                <w:sz w:val="24"/>
                <w:highlight w:val="none"/>
                <w:u w:val="none" w:color="auto"/>
                <w:lang w:val="zh-CN"/>
              </w:rPr>
              <w:t>于</w:t>
            </w:r>
            <w:r>
              <w:rPr>
                <w:rFonts w:hint="eastAsia"/>
                <w:color w:val="auto"/>
                <w:sz w:val="24"/>
                <w:highlight w:val="none"/>
                <w:u w:val="none" w:color="auto"/>
                <w:lang w:val="en-US" w:eastAsia="zh-CN"/>
              </w:rPr>
              <w:t>场地东南角</w:t>
            </w:r>
            <w:r>
              <w:rPr>
                <w:color w:val="auto"/>
                <w:sz w:val="24"/>
                <w:highlight w:val="none"/>
                <w:u w:val="none" w:color="auto"/>
                <w:lang w:val="zh-CN"/>
              </w:rPr>
              <w:t>，</w:t>
            </w:r>
            <w:r>
              <w:rPr>
                <w:color w:val="auto"/>
                <w:sz w:val="24"/>
                <w:u w:val="none" w:color="auto"/>
                <w:lang w:val="zh-CN"/>
              </w:rPr>
              <w:t>为</w:t>
            </w:r>
            <w:r>
              <w:rPr>
                <w:rFonts w:hint="eastAsia"/>
                <w:color w:val="auto"/>
                <w:sz w:val="24"/>
                <w:u w:val="none" w:color="auto"/>
                <w:lang w:val="en-US" w:eastAsia="zh-CN"/>
              </w:rPr>
              <w:t>地埋式</w:t>
            </w:r>
            <w:r>
              <w:rPr>
                <w:color w:val="auto"/>
                <w:sz w:val="24"/>
                <w:u w:val="none" w:color="auto"/>
                <w:lang w:val="zh-CN"/>
              </w:rPr>
              <w:t>。</w:t>
            </w:r>
            <w:r>
              <w:rPr>
                <w:color w:val="auto"/>
                <w:sz w:val="24"/>
                <w:u w:val="none" w:color="auto"/>
              </w:rPr>
              <w:t>污水处理站运营过程中产生</w:t>
            </w:r>
            <w:r>
              <w:rPr>
                <w:rFonts w:hint="eastAsia"/>
                <w:color w:val="auto"/>
                <w:sz w:val="24"/>
                <w:u w:val="none" w:color="auto"/>
                <w:lang w:val="en-US" w:eastAsia="zh-CN"/>
              </w:rPr>
              <w:t>恶臭气体</w:t>
            </w:r>
            <w:r>
              <w:rPr>
                <w:color w:val="auto"/>
                <w:sz w:val="24"/>
                <w:u w:val="none" w:color="auto"/>
              </w:rPr>
              <w:t>，</w:t>
            </w:r>
            <w:r>
              <w:rPr>
                <w:rFonts w:hint="eastAsia"/>
                <w:color w:val="auto"/>
                <w:sz w:val="24"/>
                <w:u w:val="none" w:color="auto"/>
                <w:lang w:val="en-US" w:eastAsia="zh-CN"/>
              </w:rPr>
              <w:t>恶臭气体主要污染因子</w:t>
            </w:r>
            <w:r>
              <w:rPr>
                <w:color w:val="auto"/>
                <w:sz w:val="24"/>
                <w:u w:val="none" w:color="auto"/>
              </w:rPr>
              <w:t>为NH</w:t>
            </w:r>
            <w:r>
              <w:rPr>
                <w:color w:val="auto"/>
                <w:sz w:val="24"/>
                <w:u w:val="none" w:color="auto"/>
                <w:vertAlign w:val="subscript"/>
              </w:rPr>
              <w:t>3</w:t>
            </w:r>
            <w:r>
              <w:rPr>
                <w:color w:val="auto"/>
                <w:sz w:val="24"/>
                <w:u w:val="none" w:color="auto"/>
              </w:rPr>
              <w:t>、H</w:t>
            </w:r>
            <w:r>
              <w:rPr>
                <w:color w:val="auto"/>
                <w:sz w:val="24"/>
                <w:u w:val="none" w:color="auto"/>
                <w:vertAlign w:val="subscript"/>
              </w:rPr>
              <w:t>2</w:t>
            </w:r>
            <w:r>
              <w:rPr>
                <w:color w:val="auto"/>
                <w:sz w:val="24"/>
                <w:u w:val="none" w:color="auto"/>
              </w:rPr>
              <w:t>S</w:t>
            </w:r>
            <w:r>
              <w:rPr>
                <w:rFonts w:hint="eastAsia"/>
                <w:color w:val="auto"/>
                <w:sz w:val="24"/>
                <w:u w:val="none" w:color="auto"/>
                <w:lang w:eastAsia="zh-CN"/>
              </w:rPr>
              <w:t>、</w:t>
            </w:r>
            <w:r>
              <w:rPr>
                <w:rFonts w:hint="eastAsia"/>
                <w:color w:val="auto"/>
                <w:sz w:val="24"/>
                <w:u w:val="none" w:color="auto"/>
                <w:lang w:val="en-US" w:eastAsia="zh-CN"/>
              </w:rPr>
              <w:t>臭气浓度</w:t>
            </w:r>
            <w:r>
              <w:rPr>
                <w:color w:val="auto"/>
                <w:sz w:val="24"/>
                <w:u w:val="none" w:color="auto"/>
              </w:rPr>
              <w:t>，为无组织排放。根据类似处理设施的类比调查及美国EPA对类似处理站恶臭污染物产生情况的研究，每处理1gBOD</w:t>
            </w:r>
            <w:r>
              <w:rPr>
                <w:color w:val="auto"/>
                <w:sz w:val="24"/>
                <w:u w:val="none" w:color="auto"/>
                <w:vertAlign w:val="subscript"/>
              </w:rPr>
              <w:t>5</w:t>
            </w:r>
            <w:r>
              <w:rPr>
                <w:color w:val="auto"/>
                <w:sz w:val="24"/>
                <w:u w:val="none" w:color="auto"/>
              </w:rPr>
              <w:t>可产生NH</w:t>
            </w:r>
            <w:r>
              <w:rPr>
                <w:color w:val="auto"/>
                <w:sz w:val="24"/>
                <w:u w:val="none" w:color="auto"/>
                <w:vertAlign w:val="subscript"/>
              </w:rPr>
              <w:t>3</w:t>
            </w:r>
            <w:r>
              <w:rPr>
                <w:color w:val="auto"/>
                <w:sz w:val="24"/>
                <w:u w:val="none" w:color="auto"/>
              </w:rPr>
              <w:t>0.0031g、H</w:t>
            </w:r>
            <w:r>
              <w:rPr>
                <w:color w:val="auto"/>
                <w:sz w:val="24"/>
                <w:u w:val="none" w:color="auto"/>
                <w:vertAlign w:val="subscript"/>
              </w:rPr>
              <w:t>2</w:t>
            </w:r>
            <w:r>
              <w:rPr>
                <w:color w:val="auto"/>
                <w:sz w:val="24"/>
                <w:u w:val="none" w:color="auto"/>
              </w:rPr>
              <w:t>S0.00012g，项目污水处理站医疗污水BOD</w:t>
            </w:r>
            <w:r>
              <w:rPr>
                <w:color w:val="auto"/>
                <w:sz w:val="24"/>
                <w:u w:val="none" w:color="auto"/>
                <w:vertAlign w:val="subscript"/>
              </w:rPr>
              <w:t>5</w:t>
            </w:r>
            <w:r>
              <w:rPr>
                <w:color w:val="auto"/>
                <w:sz w:val="24"/>
                <w:u w:val="none" w:color="auto"/>
              </w:rPr>
              <w:t>去除量为</w:t>
            </w:r>
            <w:r>
              <w:rPr>
                <w:rFonts w:hint="eastAsia"/>
                <w:color w:val="0000FF"/>
                <w:sz w:val="24"/>
                <w:u w:val="none" w:color="auto"/>
                <w:lang w:val="en-US" w:eastAsia="zh-CN"/>
              </w:rPr>
              <w:t>3.996</w:t>
            </w:r>
            <w:r>
              <w:rPr>
                <w:color w:val="0000FF"/>
                <w:sz w:val="24"/>
                <w:u w:val="none" w:color="auto"/>
              </w:rPr>
              <w:t>t/a</w:t>
            </w:r>
            <w:r>
              <w:rPr>
                <w:color w:val="auto"/>
                <w:sz w:val="24"/>
                <w:u w:val="none" w:color="auto"/>
              </w:rPr>
              <w:t>，污水处理站的废气污染源强分别为</w:t>
            </w:r>
            <w:r>
              <w:rPr>
                <w:color w:val="0000FF"/>
                <w:sz w:val="24"/>
                <w:u w:val="none" w:color="auto"/>
              </w:rPr>
              <w:t>NH</w:t>
            </w:r>
            <w:r>
              <w:rPr>
                <w:color w:val="0000FF"/>
                <w:sz w:val="24"/>
                <w:u w:val="none" w:color="auto"/>
                <w:vertAlign w:val="subscript"/>
              </w:rPr>
              <w:t>3</w:t>
            </w:r>
            <w:r>
              <w:rPr>
                <w:rFonts w:hint="eastAsia"/>
                <w:color w:val="0000FF"/>
                <w:sz w:val="24"/>
                <w:u w:val="none" w:color="auto"/>
              </w:rPr>
              <w:t xml:space="preserve"> </w:t>
            </w:r>
            <w:r>
              <w:rPr>
                <w:rFonts w:hint="eastAsia"/>
                <w:color w:val="0000FF"/>
                <w:sz w:val="24"/>
                <w:u w:val="none" w:color="auto"/>
                <w:lang w:val="en-US" w:eastAsia="zh-CN"/>
              </w:rPr>
              <w:t>0.0124</w:t>
            </w:r>
            <w:r>
              <w:rPr>
                <w:rFonts w:hint="eastAsia"/>
                <w:color w:val="0000FF"/>
                <w:sz w:val="24"/>
                <w:u w:val="none" w:color="auto"/>
              </w:rPr>
              <w:t>t</w:t>
            </w:r>
            <w:r>
              <w:rPr>
                <w:color w:val="0000FF"/>
                <w:sz w:val="24"/>
                <w:u w:val="none" w:color="auto"/>
              </w:rPr>
              <w:t>/</w:t>
            </w:r>
            <w:r>
              <w:rPr>
                <w:rFonts w:hint="eastAsia"/>
                <w:color w:val="0000FF"/>
                <w:sz w:val="24"/>
                <w:u w:val="none" w:color="auto"/>
              </w:rPr>
              <w:t>a</w:t>
            </w:r>
            <w:r>
              <w:rPr>
                <w:color w:val="0000FF"/>
                <w:sz w:val="24"/>
                <w:u w:val="none" w:color="auto"/>
              </w:rPr>
              <w:t>、H</w:t>
            </w:r>
            <w:r>
              <w:rPr>
                <w:color w:val="0000FF"/>
                <w:sz w:val="24"/>
                <w:u w:val="none" w:color="auto"/>
                <w:vertAlign w:val="subscript"/>
              </w:rPr>
              <w:t>2</w:t>
            </w:r>
            <w:r>
              <w:rPr>
                <w:color w:val="0000FF"/>
                <w:sz w:val="24"/>
                <w:u w:val="none" w:color="auto"/>
              </w:rPr>
              <w:t>S</w:t>
            </w:r>
            <w:r>
              <w:rPr>
                <w:rFonts w:hint="eastAsia"/>
                <w:color w:val="0000FF"/>
                <w:sz w:val="24"/>
                <w:u w:val="none" w:color="auto"/>
              </w:rPr>
              <w:t xml:space="preserve"> 0.00</w:t>
            </w:r>
            <w:r>
              <w:rPr>
                <w:rFonts w:hint="eastAsia"/>
                <w:color w:val="0000FF"/>
                <w:sz w:val="24"/>
                <w:u w:val="none" w:color="auto"/>
                <w:lang w:val="en-US" w:eastAsia="zh-CN"/>
              </w:rPr>
              <w:t>05</w:t>
            </w:r>
            <w:r>
              <w:rPr>
                <w:rFonts w:hint="eastAsia"/>
                <w:color w:val="0000FF"/>
                <w:sz w:val="24"/>
                <w:u w:val="none" w:color="auto"/>
              </w:rPr>
              <w:t>t</w:t>
            </w:r>
            <w:r>
              <w:rPr>
                <w:color w:val="0000FF"/>
                <w:sz w:val="24"/>
                <w:u w:val="none" w:color="auto"/>
              </w:rPr>
              <w:t>/</w:t>
            </w:r>
            <w:r>
              <w:rPr>
                <w:rFonts w:hint="eastAsia"/>
                <w:color w:val="0000FF"/>
                <w:sz w:val="24"/>
                <w:u w:val="none" w:color="auto"/>
              </w:rPr>
              <w:t>a</w:t>
            </w:r>
            <w:r>
              <w:rPr>
                <w:color w:val="auto"/>
                <w:sz w:val="24"/>
                <w:u w:val="none" w:color="auto"/>
              </w:rPr>
              <w:t>。</w:t>
            </w:r>
            <w:r>
              <w:rPr>
                <w:rFonts w:hint="eastAsia"/>
                <w:color w:val="auto"/>
                <w:sz w:val="24"/>
                <w:u w:val="none" w:color="auto"/>
                <w:lang w:val="en-US" w:eastAsia="zh-CN"/>
              </w:rPr>
              <w:t>拟采用封闭及投加除臭剂，除臭效率按60%计算，则项目污水处理站臭气污染物产生、排放情况如下表：</w:t>
            </w:r>
          </w:p>
          <w:p w14:paraId="317CBC1D">
            <w:pPr>
              <w:pStyle w:val="10"/>
              <w:numPr>
                <w:ilvl w:val="0"/>
                <w:numId w:val="3"/>
              </w:numPr>
              <w:ind w:left="0" w:firstLine="0" w:firstLineChars="0"/>
              <w:jc w:val="center"/>
              <w:rPr>
                <w:rFonts w:ascii="黑体" w:hAnsi="黑体" w:eastAsia="黑体"/>
                <w:b w:val="0"/>
                <w:color w:val="auto"/>
                <w:u w:val="none" w:color="auto"/>
              </w:rPr>
            </w:pPr>
            <w:r>
              <w:rPr>
                <w:rFonts w:ascii="黑体" w:hAnsi="黑体" w:eastAsia="黑体"/>
                <w:b w:val="0"/>
                <w:color w:val="auto"/>
                <w:u w:val="none" w:color="auto"/>
              </w:rPr>
              <w:t>项目污水处理站废气产排情况</w:t>
            </w:r>
          </w:p>
          <w:tbl>
            <w:tblPr>
              <w:tblStyle w:val="22"/>
              <w:tblW w:w="8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496"/>
              <w:gridCol w:w="1229"/>
              <w:gridCol w:w="1434"/>
              <w:gridCol w:w="1503"/>
              <w:gridCol w:w="1937"/>
            </w:tblGrid>
            <w:tr w14:paraId="3A8BB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959" w:type="dxa"/>
                  <w:vMerge w:val="restart"/>
                  <w:vAlign w:val="center"/>
                </w:tcPr>
                <w:p w14:paraId="7222AEC5">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污染物</w:t>
                  </w:r>
                </w:p>
              </w:tc>
              <w:tc>
                <w:tcPr>
                  <w:tcW w:w="2725" w:type="dxa"/>
                  <w:gridSpan w:val="2"/>
                  <w:vAlign w:val="center"/>
                </w:tcPr>
                <w:p w14:paraId="145578A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产生</w:t>
                  </w:r>
                  <w:r>
                    <w:rPr>
                      <w:rFonts w:hint="default" w:ascii="Times New Roman" w:hAnsi="Times New Roman" w:eastAsia="宋体" w:cs="Times New Roman"/>
                      <w:color w:val="auto"/>
                      <w:sz w:val="21"/>
                      <w:szCs w:val="21"/>
                      <w:u w:val="none" w:color="auto"/>
                      <w:lang w:val="en-US" w:eastAsia="zh-CN"/>
                    </w:rPr>
                    <w:t>情况</w:t>
                  </w:r>
                </w:p>
              </w:tc>
              <w:tc>
                <w:tcPr>
                  <w:tcW w:w="1434" w:type="dxa"/>
                  <w:vMerge w:val="restart"/>
                  <w:vAlign w:val="center"/>
                </w:tcPr>
                <w:p w14:paraId="22A915F6">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除臭措施及处理效率</w:t>
                  </w:r>
                </w:p>
              </w:tc>
              <w:tc>
                <w:tcPr>
                  <w:tcW w:w="3440" w:type="dxa"/>
                  <w:gridSpan w:val="2"/>
                  <w:vAlign w:val="center"/>
                </w:tcPr>
                <w:p w14:paraId="6A3F613C">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排放情况</w:t>
                  </w:r>
                </w:p>
              </w:tc>
            </w:tr>
            <w:tr w14:paraId="38DE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959" w:type="dxa"/>
                  <w:vMerge w:val="continue"/>
                  <w:vAlign w:val="center"/>
                </w:tcPr>
                <w:p w14:paraId="6C5DDF1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p>
              </w:tc>
              <w:tc>
                <w:tcPr>
                  <w:tcW w:w="1496" w:type="dxa"/>
                  <w:vAlign w:val="center"/>
                </w:tcPr>
                <w:p w14:paraId="5CFA0C9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产生速率（kg/h）</w:t>
                  </w:r>
                </w:p>
              </w:tc>
              <w:tc>
                <w:tcPr>
                  <w:tcW w:w="1229" w:type="dxa"/>
                  <w:vAlign w:val="center"/>
                </w:tcPr>
                <w:p w14:paraId="56A3A13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产生量</w:t>
                  </w:r>
                  <w:r>
                    <w:rPr>
                      <w:rFonts w:hint="default" w:ascii="Times New Roman" w:hAnsi="Times New Roman" w:eastAsia="宋体" w:cs="Times New Roman"/>
                      <w:color w:val="auto"/>
                      <w:sz w:val="21"/>
                      <w:szCs w:val="21"/>
                      <w:u w:val="none" w:color="auto"/>
                    </w:rPr>
                    <w:t>（t/a）</w:t>
                  </w:r>
                </w:p>
              </w:tc>
              <w:tc>
                <w:tcPr>
                  <w:tcW w:w="1434" w:type="dxa"/>
                  <w:vMerge w:val="continue"/>
                  <w:vAlign w:val="center"/>
                </w:tcPr>
                <w:p w14:paraId="77B4326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p>
              </w:tc>
              <w:tc>
                <w:tcPr>
                  <w:tcW w:w="1503" w:type="dxa"/>
                  <w:vAlign w:val="center"/>
                </w:tcPr>
                <w:p w14:paraId="1C4D9F65">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排放量（t/a）</w:t>
                  </w:r>
                </w:p>
              </w:tc>
              <w:tc>
                <w:tcPr>
                  <w:tcW w:w="1937" w:type="dxa"/>
                  <w:vAlign w:val="center"/>
                </w:tcPr>
                <w:p w14:paraId="6558B08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排放速率（kg/h）</w:t>
                  </w:r>
                </w:p>
              </w:tc>
            </w:tr>
            <w:tr w14:paraId="1134F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959" w:type="dxa"/>
                  <w:vAlign w:val="center"/>
                </w:tcPr>
                <w:p w14:paraId="6988A4DD">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NH</w:t>
                  </w:r>
                  <w:r>
                    <w:rPr>
                      <w:rFonts w:hint="default" w:ascii="Times New Roman" w:hAnsi="Times New Roman" w:eastAsia="宋体" w:cs="Times New Roman"/>
                      <w:color w:val="auto"/>
                      <w:sz w:val="21"/>
                      <w:szCs w:val="21"/>
                      <w:u w:val="none" w:color="auto"/>
                      <w:vertAlign w:val="subscript"/>
                    </w:rPr>
                    <w:t>3</w:t>
                  </w:r>
                </w:p>
              </w:tc>
              <w:tc>
                <w:tcPr>
                  <w:tcW w:w="1496" w:type="dxa"/>
                  <w:vAlign w:val="center"/>
                </w:tcPr>
                <w:p w14:paraId="020DCC7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0000FF"/>
                      <w:kern w:val="0"/>
                      <w:sz w:val="21"/>
                      <w:szCs w:val="21"/>
                      <w:u w:val="none" w:color="auto"/>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0.0014</w:t>
                  </w:r>
                </w:p>
              </w:tc>
              <w:tc>
                <w:tcPr>
                  <w:tcW w:w="1229" w:type="dxa"/>
                  <w:vAlign w:val="center"/>
                </w:tcPr>
                <w:p w14:paraId="737F3A8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0000FF"/>
                      <w:kern w:val="0"/>
                      <w:sz w:val="21"/>
                      <w:szCs w:val="21"/>
                      <w:u w:val="none" w:color="auto"/>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0.0124</w:t>
                  </w:r>
                </w:p>
              </w:tc>
              <w:tc>
                <w:tcPr>
                  <w:tcW w:w="1434" w:type="dxa"/>
                  <w:vMerge w:val="restart"/>
                  <w:vAlign w:val="center"/>
                </w:tcPr>
                <w:p w14:paraId="292EB02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投加除臭剂、封闭，60</w:t>
                  </w:r>
                  <w:r>
                    <w:rPr>
                      <w:rFonts w:hint="default" w:ascii="Times New Roman" w:hAnsi="Times New Roman" w:eastAsia="宋体" w:cs="Times New Roman"/>
                      <w:i w:val="0"/>
                      <w:iCs w:val="0"/>
                      <w:color w:val="auto"/>
                      <w:kern w:val="0"/>
                      <w:sz w:val="21"/>
                      <w:szCs w:val="21"/>
                      <w:u w:val="none" w:color="auto"/>
                      <w:lang w:val="en-US" w:eastAsia="zh-CN" w:bidi="ar"/>
                    </w:rPr>
                    <w:t>%</w:t>
                  </w:r>
                </w:p>
              </w:tc>
              <w:tc>
                <w:tcPr>
                  <w:tcW w:w="1503" w:type="dxa"/>
                  <w:vAlign w:val="center"/>
                </w:tcPr>
                <w:p w14:paraId="2F9BFD08">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ascii="Times New Roman" w:hAnsi="Times New Roman" w:eastAsia="宋体" w:cs="Times New Roman"/>
                      <w:i w:val="0"/>
                      <w:iCs w:val="0"/>
                      <w:color w:val="0000FF"/>
                      <w:kern w:val="0"/>
                      <w:sz w:val="21"/>
                      <w:szCs w:val="21"/>
                      <w:u w:val="none" w:color="auto"/>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0.00057</w:t>
                  </w:r>
                </w:p>
              </w:tc>
              <w:tc>
                <w:tcPr>
                  <w:tcW w:w="1937" w:type="dxa"/>
                  <w:vAlign w:val="center"/>
                </w:tcPr>
                <w:p w14:paraId="12568FE6">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ascii="Times New Roman" w:hAnsi="Times New Roman" w:eastAsia="宋体" w:cs="Times New Roman"/>
                      <w:i w:val="0"/>
                      <w:iCs w:val="0"/>
                      <w:color w:val="0000FF"/>
                      <w:kern w:val="0"/>
                      <w:sz w:val="21"/>
                      <w:szCs w:val="21"/>
                      <w:u w:val="none" w:color="auto"/>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0.0050</w:t>
                  </w:r>
                </w:p>
              </w:tc>
            </w:tr>
            <w:tr w14:paraId="34A4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959" w:type="dxa"/>
                  <w:vAlign w:val="center"/>
                </w:tcPr>
                <w:p w14:paraId="51636B6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H</w:t>
                  </w:r>
                  <w:r>
                    <w:rPr>
                      <w:rFonts w:hint="default" w:ascii="Times New Roman" w:hAnsi="Times New Roman" w:eastAsia="宋体" w:cs="Times New Roman"/>
                      <w:color w:val="auto"/>
                      <w:sz w:val="21"/>
                      <w:szCs w:val="21"/>
                      <w:u w:val="none" w:color="auto"/>
                      <w:vertAlign w:val="subscript"/>
                    </w:rPr>
                    <w:t>2</w:t>
                  </w:r>
                  <w:r>
                    <w:rPr>
                      <w:rFonts w:hint="default" w:ascii="Times New Roman" w:hAnsi="Times New Roman" w:eastAsia="宋体" w:cs="Times New Roman"/>
                      <w:color w:val="auto"/>
                      <w:sz w:val="21"/>
                      <w:szCs w:val="21"/>
                      <w:u w:val="none" w:color="auto"/>
                    </w:rPr>
                    <w:t>S</w:t>
                  </w:r>
                </w:p>
              </w:tc>
              <w:tc>
                <w:tcPr>
                  <w:tcW w:w="1496" w:type="dxa"/>
                  <w:vAlign w:val="center"/>
                </w:tcPr>
                <w:p w14:paraId="5979E99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0000FF"/>
                      <w:kern w:val="0"/>
                      <w:sz w:val="21"/>
                      <w:szCs w:val="21"/>
                      <w:u w:val="none" w:color="auto"/>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0.00005</w:t>
                  </w:r>
                </w:p>
              </w:tc>
              <w:tc>
                <w:tcPr>
                  <w:tcW w:w="1229" w:type="dxa"/>
                  <w:vAlign w:val="center"/>
                </w:tcPr>
                <w:p w14:paraId="4F44B3FE">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0000FF"/>
                      <w:kern w:val="0"/>
                      <w:sz w:val="21"/>
                      <w:szCs w:val="21"/>
                      <w:u w:val="none" w:color="auto"/>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0.0005</w:t>
                  </w:r>
                </w:p>
              </w:tc>
              <w:tc>
                <w:tcPr>
                  <w:tcW w:w="1434" w:type="dxa"/>
                  <w:vMerge w:val="continue"/>
                  <w:vAlign w:val="center"/>
                </w:tcPr>
                <w:p w14:paraId="4826C97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503" w:type="dxa"/>
                  <w:vAlign w:val="center"/>
                </w:tcPr>
                <w:p w14:paraId="2F7537E2">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ascii="Times New Roman" w:hAnsi="Times New Roman" w:eastAsia="宋体" w:cs="Times New Roman"/>
                      <w:i w:val="0"/>
                      <w:iCs w:val="0"/>
                      <w:color w:val="0000FF"/>
                      <w:kern w:val="0"/>
                      <w:sz w:val="21"/>
                      <w:szCs w:val="21"/>
                      <w:u w:val="none" w:color="auto"/>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0.00002</w:t>
                  </w:r>
                </w:p>
              </w:tc>
              <w:tc>
                <w:tcPr>
                  <w:tcW w:w="1937" w:type="dxa"/>
                  <w:vAlign w:val="center"/>
                </w:tcPr>
                <w:p w14:paraId="43D7DADD">
                  <w:pPr>
                    <w:keepNext w:val="0"/>
                    <w:keepLines w:val="0"/>
                    <w:pageBreakBefore w:val="0"/>
                    <w:widowControl/>
                    <w:suppressLineNumbers w:val="0"/>
                    <w:kinsoku/>
                    <w:wordWrap/>
                    <w:overflowPunct/>
                    <w:topLinePunct w:val="0"/>
                    <w:autoSpaceDE/>
                    <w:autoSpaceDN/>
                    <w:bidi w:val="0"/>
                    <w:adjustRightInd/>
                    <w:snapToGrid/>
                    <w:spacing w:line="240" w:lineRule="atLeast"/>
                    <w:ind w:firstLine="420" w:firstLineChars="200"/>
                    <w:jc w:val="both"/>
                    <w:textAlignment w:val="center"/>
                    <w:rPr>
                      <w:rFonts w:hint="default" w:ascii="Times New Roman" w:hAnsi="Times New Roman" w:eastAsia="宋体" w:cs="Times New Roman"/>
                      <w:i w:val="0"/>
                      <w:iCs w:val="0"/>
                      <w:color w:val="0000FF"/>
                      <w:kern w:val="0"/>
                      <w:sz w:val="21"/>
                      <w:szCs w:val="21"/>
                      <w:u w:val="none" w:color="auto"/>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0.0002</w:t>
                  </w:r>
                </w:p>
              </w:tc>
            </w:tr>
          </w:tbl>
          <w:p w14:paraId="180835C8">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eastAsia" w:eastAsia="宋体"/>
                <w:b w:val="0"/>
                <w:bCs w:val="0"/>
                <w:color w:val="auto"/>
                <w:sz w:val="24"/>
                <w:u w:val="none" w:color="auto"/>
                <w:lang w:val="en-US" w:eastAsia="zh-CN"/>
              </w:rPr>
            </w:pPr>
            <w:r>
              <w:rPr>
                <w:rFonts w:hint="eastAsia"/>
                <w:b w:val="0"/>
                <w:bCs w:val="0"/>
                <w:color w:val="auto"/>
                <w:sz w:val="24"/>
                <w:u w:val="none" w:color="auto"/>
                <w:lang w:val="en-US" w:eastAsia="zh-CN"/>
              </w:rPr>
              <w:t>污水处理运行过程产生的臭气浓度调查了</w:t>
            </w:r>
            <w:r>
              <w:rPr>
                <w:rFonts w:ascii="宋体" w:hAnsi="宋体" w:eastAsia="宋体" w:cs="宋体"/>
                <w:color w:val="auto"/>
                <w:sz w:val="24"/>
                <w:szCs w:val="24"/>
                <w:u w:val="none" w:color="auto"/>
              </w:rPr>
              <w:t>《益阳市赫山区精神病医院住院楼扩建项目竣工环境保护验收监测报告》</w:t>
            </w:r>
            <w:r>
              <w:rPr>
                <w:rFonts w:hint="eastAsia" w:ascii="宋体" w:hAnsi="宋体" w:eastAsia="宋体"/>
                <w:color w:val="auto"/>
                <w:sz w:val="24"/>
                <w:szCs w:val="24"/>
                <w:u w:val="none" w:color="auto"/>
              </w:rPr>
              <w:t>《</w:t>
            </w:r>
            <w:r>
              <w:rPr>
                <w:rFonts w:hint="eastAsia" w:ascii="宋体" w:hAnsi="宋体"/>
                <w:color w:val="auto"/>
                <w:sz w:val="24"/>
                <w:szCs w:val="24"/>
                <w:u w:val="none" w:color="auto"/>
                <w:lang w:val="en-US" w:eastAsia="zh-CN"/>
              </w:rPr>
              <w:t>修水安康精神病医院</w:t>
            </w:r>
            <w:r>
              <w:rPr>
                <w:rFonts w:hint="eastAsia" w:ascii="宋体" w:hAnsi="宋体" w:eastAsia="宋体"/>
                <w:color w:val="auto"/>
                <w:sz w:val="24"/>
                <w:szCs w:val="24"/>
                <w:u w:val="none" w:color="auto"/>
              </w:rPr>
              <w:t>建设项目竣工环境保护验收监测报告》</w:t>
            </w:r>
            <w:r>
              <w:rPr>
                <w:rFonts w:hint="eastAsia" w:ascii="宋体" w:hAnsi="宋体" w:eastAsia="宋体"/>
                <w:color w:val="auto"/>
                <w:sz w:val="24"/>
                <w:szCs w:val="24"/>
                <w:u w:val="none" w:color="auto"/>
                <w:lang w:val="en-US" w:eastAsia="zh-CN"/>
              </w:rPr>
              <w:t>等</w:t>
            </w:r>
            <w:r>
              <w:rPr>
                <w:rFonts w:hint="eastAsia"/>
                <w:b w:val="0"/>
                <w:bCs w:val="0"/>
                <w:color w:val="auto"/>
                <w:sz w:val="24"/>
                <w:u w:val="none" w:color="auto"/>
                <w:lang w:val="en-US" w:eastAsia="zh-CN"/>
              </w:rPr>
              <w:t>同类型医院的验收监测结果，项目污水处理站周边臭气浓度均可满足</w:t>
            </w:r>
            <w:r>
              <w:rPr>
                <w:rFonts w:hint="eastAsia"/>
                <w:color w:val="auto"/>
                <w:u w:val="none" w:color="auto"/>
              </w:rPr>
              <w:t>《医疗机构水污染物排放标准》（GB 18466-2005）表3</w:t>
            </w:r>
            <w:r>
              <w:rPr>
                <w:rFonts w:hint="eastAsia"/>
                <w:color w:val="auto"/>
                <w:u w:val="none" w:color="auto"/>
                <w:lang w:val="en-US" w:eastAsia="zh-CN"/>
              </w:rPr>
              <w:t>标准限值</w:t>
            </w:r>
            <w:r>
              <w:rPr>
                <w:rFonts w:hint="eastAsia" w:ascii="Times New Roman" w:hAnsi="Times New Roman" w:eastAsia="宋体" w:cs="Times New Roman"/>
                <w:color w:val="auto"/>
                <w:u w:val="none" w:color="auto"/>
                <w:lang w:val="en-US" w:eastAsia="zh-CN"/>
              </w:rPr>
              <w:t>。</w:t>
            </w:r>
          </w:p>
          <w:p w14:paraId="1CCB3DBA">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eastAsia" w:eastAsia="宋体"/>
                <w:b w:val="0"/>
                <w:bCs w:val="0"/>
                <w:color w:val="auto"/>
                <w:sz w:val="24"/>
                <w:u w:val="none" w:color="auto"/>
                <w:lang w:val="en-US" w:eastAsia="zh-CN"/>
              </w:rPr>
            </w:pPr>
            <w:r>
              <w:rPr>
                <w:rFonts w:hint="eastAsia"/>
                <w:b w:val="0"/>
                <w:bCs w:val="0"/>
                <w:color w:val="auto"/>
                <w:sz w:val="24"/>
                <w:u w:val="none" w:color="auto"/>
                <w:lang w:val="en-US" w:eastAsia="zh-CN"/>
              </w:rPr>
              <w:t>此外，污水处理过程厌氧微生物分解有机物产生甲烷气体，</w:t>
            </w:r>
            <w:r>
              <w:rPr>
                <w:rFonts w:ascii="Segoe UI" w:hAnsi="Segoe UI" w:eastAsia="Segoe UI" w:cs="Segoe UI"/>
                <w:b w:val="0"/>
                <w:bCs w:val="0"/>
                <w:i w:val="0"/>
                <w:iCs w:val="0"/>
                <w:caps w:val="0"/>
                <w:color w:val="auto"/>
                <w:spacing w:val="0"/>
                <w:sz w:val="24"/>
                <w:szCs w:val="24"/>
                <w:u w:val="none" w:color="auto"/>
                <w:shd w:val="clear" w:fill="FFFFFF"/>
              </w:rPr>
              <w:t>产生系数与污水COD</w:t>
            </w:r>
            <w:r>
              <w:rPr>
                <w:rFonts w:hint="eastAsia" w:ascii="Segoe UI" w:hAnsi="Segoe UI" w:eastAsia="宋体" w:cs="Segoe UI"/>
                <w:b w:val="0"/>
                <w:bCs w:val="0"/>
                <w:i w:val="0"/>
                <w:iCs w:val="0"/>
                <w:caps w:val="0"/>
                <w:color w:val="auto"/>
                <w:spacing w:val="0"/>
                <w:sz w:val="24"/>
                <w:szCs w:val="24"/>
                <w:u w:val="none" w:color="auto"/>
                <w:shd w:val="clear" w:fill="FFFFFF"/>
                <w:lang w:val="en-US" w:eastAsia="zh-CN"/>
              </w:rPr>
              <w:t>处理量</w:t>
            </w:r>
            <w:r>
              <w:rPr>
                <w:rFonts w:ascii="Segoe UI" w:hAnsi="Segoe UI" w:eastAsia="Segoe UI" w:cs="Segoe UI"/>
                <w:b w:val="0"/>
                <w:bCs w:val="0"/>
                <w:i w:val="0"/>
                <w:iCs w:val="0"/>
                <w:caps w:val="0"/>
                <w:color w:val="auto"/>
                <w:spacing w:val="0"/>
                <w:sz w:val="24"/>
                <w:szCs w:val="24"/>
                <w:u w:val="none" w:color="auto"/>
                <w:shd w:val="clear" w:fill="FFFFFF"/>
              </w:rPr>
              <w:t>相关，</w:t>
            </w:r>
            <w:r>
              <w:rPr>
                <w:rFonts w:hint="default" w:ascii="Times New Roman" w:hAnsi="Times New Roman" w:eastAsia="宋体" w:cs="Times New Roman"/>
                <w:b w:val="0"/>
                <w:bCs w:val="0"/>
                <w:i w:val="0"/>
                <w:iCs w:val="0"/>
                <w:caps w:val="0"/>
                <w:color w:val="auto"/>
                <w:spacing w:val="0"/>
                <w:sz w:val="24"/>
                <w:szCs w:val="24"/>
                <w:u w:val="none" w:color="auto"/>
                <w:shd w:val="clear" w:fill="FFFFFF"/>
              </w:rPr>
              <w:t>实际产率通常为</w:t>
            </w:r>
            <w:r>
              <w:rPr>
                <w:rStyle w:val="25"/>
                <w:rFonts w:hint="default" w:ascii="Times New Roman" w:hAnsi="Times New Roman" w:eastAsia="宋体" w:cs="Times New Roman"/>
                <w:b w:val="0"/>
                <w:bCs w:val="0"/>
                <w:i w:val="0"/>
                <w:iCs w:val="0"/>
                <w:caps w:val="0"/>
                <w:color w:val="auto"/>
                <w:spacing w:val="0"/>
                <w:sz w:val="24"/>
                <w:szCs w:val="24"/>
                <w:u w:val="none" w:color="auto"/>
                <w:shd w:val="clear" w:fill="FFFFFF"/>
              </w:rPr>
              <w:t>0.15</w:t>
            </w:r>
            <w:r>
              <w:rPr>
                <w:rStyle w:val="25"/>
                <w:rFonts w:hint="default" w:ascii="Times New Roman" w:hAnsi="Times New Roman" w:eastAsia="宋体" w:cs="Times New Roman"/>
                <w:b w:val="0"/>
                <w:bCs w:val="0"/>
                <w:i w:val="0"/>
                <w:iCs w:val="0"/>
                <w:caps w:val="0"/>
                <w:color w:val="auto"/>
                <w:spacing w:val="0"/>
                <w:sz w:val="24"/>
                <w:szCs w:val="24"/>
                <w:u w:val="none" w:color="auto"/>
                <w:shd w:val="clear" w:fill="FFFFFF"/>
                <w:lang w:val="en-US" w:eastAsia="zh-CN"/>
              </w:rPr>
              <w:t>~</w:t>
            </w:r>
            <w:r>
              <w:rPr>
                <w:rStyle w:val="25"/>
                <w:rFonts w:hint="default" w:ascii="Times New Roman" w:hAnsi="Times New Roman" w:eastAsia="宋体" w:cs="Times New Roman"/>
                <w:b w:val="0"/>
                <w:bCs w:val="0"/>
                <w:i w:val="0"/>
                <w:iCs w:val="0"/>
                <w:caps w:val="0"/>
                <w:color w:val="auto"/>
                <w:spacing w:val="0"/>
                <w:sz w:val="24"/>
                <w:szCs w:val="24"/>
                <w:u w:val="none" w:color="auto"/>
                <w:shd w:val="clear" w:fill="FFFFFF"/>
              </w:rPr>
              <w:t>0.3 m³/kg COD</w:t>
            </w:r>
            <w:r>
              <w:rPr>
                <w:rStyle w:val="25"/>
                <w:rFonts w:hint="default" w:ascii="Times New Roman" w:hAnsi="Times New Roman" w:eastAsia="宋体" w:cs="Times New Roman"/>
                <w:b w:val="0"/>
                <w:bCs w:val="0"/>
                <w:i w:val="0"/>
                <w:iCs w:val="0"/>
                <w:caps w:val="0"/>
                <w:color w:val="auto"/>
                <w:spacing w:val="0"/>
                <w:sz w:val="24"/>
                <w:szCs w:val="24"/>
                <w:u w:val="none" w:color="auto"/>
                <w:shd w:val="clear" w:fill="FFFFFF"/>
                <w:lang w:eastAsia="zh-CN"/>
              </w:rPr>
              <w:t>，</w:t>
            </w:r>
            <w:r>
              <w:rPr>
                <w:rStyle w:val="25"/>
                <w:rFonts w:hint="default" w:ascii="Times New Roman" w:hAnsi="Times New Roman" w:eastAsia="宋体" w:cs="Times New Roman"/>
                <w:b w:val="0"/>
                <w:bCs w:val="0"/>
                <w:i w:val="0"/>
                <w:iCs w:val="0"/>
                <w:caps w:val="0"/>
                <w:color w:val="auto"/>
                <w:spacing w:val="0"/>
                <w:sz w:val="24"/>
                <w:szCs w:val="24"/>
                <w:u w:val="none" w:color="auto"/>
                <w:shd w:val="clear" w:fill="FFFFFF"/>
                <w:lang w:val="en-US" w:eastAsia="zh-CN"/>
              </w:rPr>
              <w:t>本项目COD处理量为</w:t>
            </w:r>
            <w:r>
              <w:rPr>
                <w:rStyle w:val="25"/>
                <w:rFonts w:hint="eastAsia" w:cs="Times New Roman"/>
                <w:b w:val="0"/>
                <w:bCs w:val="0"/>
                <w:i w:val="0"/>
                <w:iCs w:val="0"/>
                <w:caps w:val="0"/>
                <w:color w:val="0000FF"/>
                <w:spacing w:val="0"/>
                <w:sz w:val="24"/>
                <w:szCs w:val="24"/>
                <w:u w:val="none" w:color="auto"/>
                <w:shd w:val="clear" w:fill="FFFFFF"/>
                <w:lang w:val="en-US" w:eastAsia="zh-CN"/>
              </w:rPr>
              <w:t>7.521</w:t>
            </w:r>
            <w:r>
              <w:rPr>
                <w:rStyle w:val="25"/>
                <w:rFonts w:hint="default" w:ascii="Times New Roman" w:hAnsi="Times New Roman" w:eastAsia="宋体" w:cs="Times New Roman"/>
                <w:b w:val="0"/>
                <w:bCs w:val="0"/>
                <w:i w:val="0"/>
                <w:iCs w:val="0"/>
                <w:caps w:val="0"/>
                <w:color w:val="0000FF"/>
                <w:spacing w:val="0"/>
                <w:sz w:val="24"/>
                <w:szCs w:val="24"/>
                <w:u w:val="none" w:color="auto"/>
                <w:shd w:val="clear" w:fill="FFFFFF"/>
                <w:lang w:val="en-US" w:eastAsia="zh-CN"/>
              </w:rPr>
              <w:t>t/a</w:t>
            </w:r>
            <w:r>
              <w:rPr>
                <w:rStyle w:val="25"/>
                <w:rFonts w:hint="default" w:ascii="Times New Roman" w:hAnsi="Times New Roman" w:eastAsia="宋体" w:cs="Times New Roman"/>
                <w:b w:val="0"/>
                <w:bCs w:val="0"/>
                <w:i w:val="0"/>
                <w:iCs w:val="0"/>
                <w:caps w:val="0"/>
                <w:color w:val="auto"/>
                <w:spacing w:val="0"/>
                <w:sz w:val="24"/>
                <w:szCs w:val="24"/>
                <w:u w:val="none" w:color="auto"/>
                <w:shd w:val="clear" w:fill="FFFFFF"/>
                <w:lang w:val="en-US" w:eastAsia="zh-CN"/>
              </w:rPr>
              <w:t>，甲烷产生量约</w:t>
            </w:r>
            <w:r>
              <w:rPr>
                <w:rStyle w:val="25"/>
                <w:rFonts w:hint="eastAsia" w:cs="Times New Roman"/>
                <w:b w:val="0"/>
                <w:bCs w:val="0"/>
                <w:i w:val="0"/>
                <w:iCs w:val="0"/>
                <w:caps w:val="0"/>
                <w:color w:val="0000FF"/>
                <w:spacing w:val="0"/>
                <w:sz w:val="24"/>
                <w:szCs w:val="24"/>
                <w:u w:val="none" w:color="auto"/>
                <w:shd w:val="clear" w:fill="FFFFFF"/>
                <w:lang w:val="en-US" w:eastAsia="zh-CN"/>
              </w:rPr>
              <w:t>2256.296</w:t>
            </w:r>
            <w:r>
              <w:rPr>
                <w:rStyle w:val="25"/>
                <w:rFonts w:hint="default" w:ascii="Times New Roman" w:hAnsi="Times New Roman" w:eastAsia="宋体" w:cs="Times New Roman"/>
                <w:b w:val="0"/>
                <w:bCs w:val="0"/>
                <w:i w:val="0"/>
                <w:iCs w:val="0"/>
                <w:caps w:val="0"/>
                <w:color w:val="0000FF"/>
                <w:spacing w:val="0"/>
                <w:sz w:val="24"/>
                <w:szCs w:val="24"/>
                <w:u w:val="none" w:color="auto"/>
                <w:shd w:val="clear" w:fill="FFFFFF"/>
              </w:rPr>
              <w:t>m³</w:t>
            </w:r>
            <w:r>
              <w:rPr>
                <w:rStyle w:val="25"/>
                <w:rFonts w:hint="default" w:ascii="Times New Roman" w:hAnsi="Times New Roman" w:eastAsia="宋体" w:cs="Times New Roman"/>
                <w:b w:val="0"/>
                <w:bCs w:val="0"/>
                <w:i w:val="0"/>
                <w:iCs w:val="0"/>
                <w:caps w:val="0"/>
                <w:color w:val="0000FF"/>
                <w:spacing w:val="0"/>
                <w:sz w:val="24"/>
                <w:szCs w:val="24"/>
                <w:u w:val="none" w:color="auto"/>
                <w:shd w:val="clear" w:fill="FFFFFF"/>
                <w:lang w:eastAsia="zh-CN"/>
              </w:rPr>
              <w:t>（</w:t>
            </w:r>
            <w:r>
              <w:rPr>
                <w:rStyle w:val="25"/>
                <w:rFonts w:hint="default" w:ascii="Times New Roman" w:hAnsi="Times New Roman" w:eastAsia="宋体" w:cs="Times New Roman"/>
                <w:b w:val="0"/>
                <w:bCs w:val="0"/>
                <w:i w:val="0"/>
                <w:iCs w:val="0"/>
                <w:caps w:val="0"/>
                <w:color w:val="0000FF"/>
                <w:spacing w:val="0"/>
                <w:sz w:val="24"/>
                <w:szCs w:val="24"/>
                <w:u w:val="none" w:color="auto"/>
                <w:shd w:val="clear" w:fill="FFFFFF"/>
                <w:lang w:val="en-US" w:eastAsia="zh-CN"/>
              </w:rPr>
              <w:t>密度</w:t>
            </w:r>
            <w:r>
              <w:rPr>
                <w:rStyle w:val="25"/>
                <w:rFonts w:hint="default" w:ascii="Times New Roman" w:hAnsi="Times New Roman" w:eastAsia="宋体" w:cs="Times New Roman"/>
                <w:b w:val="0"/>
                <w:bCs w:val="0"/>
                <w:i w:val="0"/>
                <w:iCs w:val="0"/>
                <w:caps w:val="0"/>
                <w:color w:val="0000FF"/>
                <w:spacing w:val="0"/>
                <w:sz w:val="24"/>
                <w:szCs w:val="24"/>
                <w:u w:val="none" w:color="auto"/>
                <w:shd w:val="clear" w:fill="FFFFFF"/>
              </w:rPr>
              <w:t>0.716 kg/m³</w:t>
            </w:r>
            <w:r>
              <w:rPr>
                <w:rStyle w:val="25"/>
                <w:rFonts w:hint="default" w:ascii="Times New Roman" w:hAnsi="Times New Roman" w:eastAsia="宋体" w:cs="Times New Roman"/>
                <w:b w:val="0"/>
                <w:bCs w:val="0"/>
                <w:i w:val="0"/>
                <w:iCs w:val="0"/>
                <w:caps w:val="0"/>
                <w:color w:val="0000FF"/>
                <w:spacing w:val="0"/>
                <w:sz w:val="24"/>
                <w:szCs w:val="24"/>
                <w:u w:val="none" w:color="auto"/>
                <w:shd w:val="clear" w:fill="FFFFFF"/>
                <w:lang w:eastAsia="zh-CN"/>
              </w:rPr>
              <w:t>，</w:t>
            </w:r>
            <w:r>
              <w:rPr>
                <w:rStyle w:val="25"/>
                <w:rFonts w:hint="default" w:ascii="Times New Roman" w:hAnsi="Times New Roman" w:eastAsia="宋体" w:cs="Times New Roman"/>
                <w:b w:val="0"/>
                <w:bCs w:val="0"/>
                <w:i w:val="0"/>
                <w:iCs w:val="0"/>
                <w:caps w:val="0"/>
                <w:color w:val="0000FF"/>
                <w:spacing w:val="0"/>
                <w:sz w:val="24"/>
                <w:szCs w:val="24"/>
                <w:u w:val="none" w:color="auto"/>
                <w:shd w:val="clear" w:fill="FFFFFF"/>
                <w:lang w:val="en-US" w:eastAsia="zh-CN"/>
              </w:rPr>
              <w:t>折合</w:t>
            </w:r>
            <w:r>
              <w:rPr>
                <w:rStyle w:val="25"/>
                <w:rFonts w:hint="eastAsia" w:cs="Times New Roman"/>
                <w:b w:val="0"/>
                <w:bCs w:val="0"/>
                <w:i w:val="0"/>
                <w:iCs w:val="0"/>
                <w:caps w:val="0"/>
                <w:color w:val="0000FF"/>
                <w:spacing w:val="0"/>
                <w:sz w:val="24"/>
                <w:szCs w:val="24"/>
                <w:u w:val="none" w:color="auto"/>
                <w:shd w:val="clear" w:fill="FFFFFF"/>
                <w:lang w:val="en-US" w:eastAsia="zh-CN"/>
              </w:rPr>
              <w:t>1.616</w:t>
            </w:r>
            <w:r>
              <w:rPr>
                <w:rStyle w:val="25"/>
                <w:rFonts w:hint="default" w:ascii="Times New Roman" w:hAnsi="Times New Roman" w:eastAsia="宋体" w:cs="Times New Roman"/>
                <w:b w:val="0"/>
                <w:bCs w:val="0"/>
                <w:i w:val="0"/>
                <w:iCs w:val="0"/>
                <w:caps w:val="0"/>
                <w:color w:val="0000FF"/>
                <w:spacing w:val="0"/>
                <w:sz w:val="24"/>
                <w:szCs w:val="24"/>
                <w:u w:val="none" w:color="auto"/>
                <w:shd w:val="clear" w:fill="FFFFFF"/>
                <w:lang w:val="en-US" w:eastAsia="zh-CN"/>
              </w:rPr>
              <w:t>t/a</w:t>
            </w:r>
            <w:r>
              <w:rPr>
                <w:rStyle w:val="25"/>
                <w:rFonts w:hint="default" w:ascii="Times New Roman" w:hAnsi="Times New Roman" w:eastAsia="宋体" w:cs="Times New Roman"/>
                <w:b w:val="0"/>
                <w:bCs w:val="0"/>
                <w:i w:val="0"/>
                <w:iCs w:val="0"/>
                <w:caps w:val="0"/>
                <w:color w:val="0000FF"/>
                <w:spacing w:val="0"/>
                <w:sz w:val="24"/>
                <w:szCs w:val="24"/>
                <w:u w:val="none" w:color="auto"/>
                <w:shd w:val="clear" w:fill="FFFFFF"/>
                <w:lang w:eastAsia="zh-CN"/>
              </w:rPr>
              <w:t>）</w:t>
            </w:r>
            <w:r>
              <w:rPr>
                <w:rStyle w:val="25"/>
                <w:rFonts w:hint="eastAsia" w:ascii="Segoe UI" w:hAnsi="Segoe UI" w:eastAsia="宋体" w:cs="Segoe UI"/>
                <w:b w:val="0"/>
                <w:bCs w:val="0"/>
                <w:i w:val="0"/>
                <w:iCs w:val="0"/>
                <w:caps w:val="0"/>
                <w:color w:val="auto"/>
                <w:spacing w:val="0"/>
                <w:sz w:val="24"/>
                <w:szCs w:val="24"/>
                <w:u w:val="none" w:color="auto"/>
                <w:shd w:val="clear" w:fill="FFFFFF"/>
                <w:lang w:eastAsia="zh-CN"/>
              </w:rPr>
              <w:t>。</w:t>
            </w:r>
            <w:r>
              <w:rPr>
                <w:rStyle w:val="25"/>
                <w:rFonts w:hint="eastAsia" w:ascii="Segoe UI" w:hAnsi="Segoe UI" w:cs="Segoe UI"/>
                <w:b w:val="0"/>
                <w:bCs w:val="0"/>
                <w:i w:val="0"/>
                <w:iCs w:val="0"/>
                <w:caps w:val="0"/>
                <w:color w:val="auto"/>
                <w:spacing w:val="0"/>
                <w:sz w:val="24"/>
                <w:szCs w:val="24"/>
                <w:u w:val="none" w:color="auto"/>
                <w:shd w:val="clear" w:fill="FFFFFF"/>
                <w:lang w:val="en-US" w:eastAsia="zh-CN"/>
              </w:rPr>
              <w:t>甲烷产生速度缓慢及易于扩散，本评价搜集</w:t>
            </w:r>
            <w:r>
              <w:rPr>
                <w:rFonts w:ascii="宋体" w:hAnsi="宋体" w:eastAsia="宋体" w:cs="宋体"/>
                <w:color w:val="auto"/>
                <w:sz w:val="24"/>
                <w:szCs w:val="24"/>
                <w:u w:val="none" w:color="auto"/>
              </w:rPr>
              <w:t>《益阳市赫山区精神病医院住院楼扩建项目竣工环境保护验收监测报告》中的废气监测数据</w:t>
            </w:r>
            <w:r>
              <w:rPr>
                <w:rFonts w:hint="eastAsia" w:ascii="宋体" w:hAnsi="宋体" w:eastAsia="宋体" w:cs="宋体"/>
                <w:color w:val="auto"/>
                <w:sz w:val="24"/>
                <w:szCs w:val="24"/>
                <w:u w:val="none" w:color="auto"/>
                <w:lang w:eastAsia="zh-CN"/>
              </w:rPr>
              <w:t>，</w:t>
            </w:r>
            <w:r>
              <w:rPr>
                <w:rFonts w:hint="eastAsia" w:ascii="宋体" w:hAnsi="宋体" w:eastAsia="宋体" w:cs="宋体"/>
                <w:color w:val="auto"/>
                <w:sz w:val="24"/>
                <w:szCs w:val="24"/>
                <w:u w:val="none" w:color="auto"/>
                <w:lang w:val="en-US" w:eastAsia="zh-CN"/>
              </w:rPr>
              <w:t>该项目污水处理站周边甲烷监测结果为</w:t>
            </w:r>
            <w:r>
              <w:rPr>
                <w:rFonts w:hint="default" w:ascii="Times New Roman" w:hAnsi="Times New Roman" w:eastAsia="宋体" w:cs="Times New Roman"/>
                <w:color w:val="auto"/>
                <w:sz w:val="24"/>
                <w:szCs w:val="24"/>
                <w:u w:val="none" w:color="auto"/>
                <w:lang w:val="en-US" w:eastAsia="zh-CN"/>
              </w:rPr>
              <w:t>（3.4×10</w:t>
            </w:r>
            <w:r>
              <w:rPr>
                <w:rFonts w:hint="default" w:ascii="Times New Roman" w:hAnsi="Times New Roman" w:eastAsia="宋体" w:cs="Times New Roman"/>
                <w:color w:val="auto"/>
                <w:sz w:val="24"/>
                <w:szCs w:val="24"/>
                <w:u w:val="none" w:color="auto"/>
                <w:vertAlign w:val="superscript"/>
                <w:lang w:val="en-US" w:eastAsia="zh-CN"/>
              </w:rPr>
              <w:t>-4</w:t>
            </w:r>
            <w:r>
              <w:rPr>
                <w:rFonts w:hint="default" w:ascii="Times New Roman" w:hAnsi="Times New Roman" w:eastAsia="宋体" w:cs="Times New Roman"/>
                <w:color w:val="auto"/>
                <w:sz w:val="24"/>
                <w:szCs w:val="24"/>
                <w:u w:val="none" w:color="auto"/>
                <w:lang w:val="en-US" w:eastAsia="zh-CN"/>
              </w:rPr>
              <w:t>~3.9×10</w:t>
            </w:r>
            <w:r>
              <w:rPr>
                <w:rFonts w:hint="default" w:ascii="Times New Roman" w:hAnsi="Times New Roman" w:eastAsia="宋体" w:cs="Times New Roman"/>
                <w:color w:val="auto"/>
                <w:sz w:val="24"/>
                <w:szCs w:val="24"/>
                <w:u w:val="none" w:color="auto"/>
                <w:vertAlign w:val="superscript"/>
                <w:lang w:val="en-US" w:eastAsia="zh-CN"/>
              </w:rPr>
              <w:t>-4</w:t>
            </w:r>
            <w:r>
              <w:rPr>
                <w:rFonts w:hint="default" w:ascii="Times New Roman" w:hAnsi="Times New Roman" w:eastAsia="宋体" w:cs="Times New Roman"/>
                <w:color w:val="auto"/>
                <w:sz w:val="24"/>
                <w:szCs w:val="24"/>
                <w:u w:val="none" w:color="auto"/>
                <w:lang w:val="en-US" w:eastAsia="zh-CN"/>
              </w:rPr>
              <w:t>）%</w:t>
            </w:r>
            <w:r>
              <w:rPr>
                <w:rFonts w:hint="eastAsia" w:ascii="Times New Roman" w:hAnsi="Times New Roman" w:eastAsia="宋体" w:cs="Times New Roman"/>
                <w:color w:val="auto"/>
                <w:sz w:val="24"/>
                <w:szCs w:val="24"/>
                <w:u w:val="none" w:color="auto"/>
                <w:lang w:val="en-US" w:eastAsia="zh-CN"/>
              </w:rPr>
              <w:t>，小于1%，满足</w:t>
            </w:r>
            <w:r>
              <w:rPr>
                <w:rFonts w:hint="eastAsia"/>
                <w:color w:val="auto"/>
                <w:u w:val="none" w:color="auto"/>
              </w:rPr>
              <w:t>《医疗机构水污染物排放标准》（GB 18466-2005）表3中污水处理站周边大气污染物最高允许浓度</w:t>
            </w:r>
            <w:r>
              <w:rPr>
                <w:rFonts w:hint="eastAsia"/>
                <w:color w:val="auto"/>
                <w:u w:val="none" w:color="auto"/>
                <w:lang w:eastAsia="zh-CN"/>
              </w:rPr>
              <w:t>。</w:t>
            </w:r>
          </w:p>
          <w:p w14:paraId="340010B5">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default" w:ascii="Times New Roman" w:hAnsi="Times New Roman" w:eastAsia="宋体" w:cs="Times New Roman"/>
                <w:color w:val="auto"/>
                <w:sz w:val="24"/>
                <w:u w:val="none" w:color="auto"/>
                <w:lang w:val="en-US" w:eastAsia="zh-CN"/>
              </w:rPr>
            </w:pPr>
            <w:bookmarkStart w:id="20" w:name="_Ref531017521"/>
            <w:r>
              <w:rPr>
                <w:rFonts w:hint="eastAsia"/>
                <w:color w:val="auto"/>
                <w:sz w:val="24"/>
                <w:u w:val="none" w:color="auto"/>
                <w:lang w:val="en-US" w:eastAsia="zh-CN"/>
              </w:rPr>
              <w:t>本评价</w:t>
            </w:r>
            <w:r>
              <w:rPr>
                <w:rFonts w:hint="eastAsia" w:ascii="Times New Roman" w:hAnsi="Times New Roman" w:eastAsia="宋体" w:cs="Times New Roman"/>
                <w:color w:val="auto"/>
                <w:sz w:val="24"/>
                <w:u w:val="none" w:color="auto"/>
                <w:lang w:val="en-US" w:eastAsia="zh-CN"/>
              </w:rPr>
              <w:t>采用AERSCREEN进行估算，相关参数及估算结果如下：</w:t>
            </w:r>
          </w:p>
          <w:p w14:paraId="4DF807FE">
            <w:pPr>
              <w:pStyle w:val="10"/>
              <w:numPr>
                <w:ilvl w:val="0"/>
                <w:numId w:val="3"/>
              </w:numPr>
              <w:ind w:left="0" w:firstLine="0" w:firstLineChars="0"/>
              <w:jc w:val="center"/>
              <w:rPr>
                <w:rFonts w:hint="eastAsia" w:ascii="黑体" w:hAnsi="黑体" w:eastAsia="黑体"/>
                <w:b w:val="0"/>
                <w:color w:val="auto"/>
                <w:u w:val="none" w:color="auto"/>
                <w:lang w:val="en-US" w:eastAsia="zh-CN"/>
              </w:rPr>
            </w:pPr>
            <w:r>
              <w:rPr>
                <w:rFonts w:hint="eastAsia" w:ascii="黑体" w:hAnsi="黑体" w:eastAsia="黑体"/>
                <w:b w:val="0"/>
                <w:color w:val="auto"/>
                <w:u w:val="none" w:color="auto"/>
                <w:lang w:val="en-US" w:eastAsia="zh-CN"/>
              </w:rPr>
              <w:t>估算模型参数表</w:t>
            </w:r>
            <w:bookmarkEnd w:id="20"/>
          </w:p>
          <w:tbl>
            <w:tblPr>
              <w:tblStyle w:val="2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50"/>
              <w:gridCol w:w="3052"/>
              <w:gridCol w:w="3051"/>
            </w:tblGrid>
            <w:tr w14:paraId="14F48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02" w:type="dxa"/>
                  <w:gridSpan w:val="2"/>
                  <w:tcBorders>
                    <w:top w:val="single" w:color="auto" w:sz="6" w:space="0"/>
                    <w:left w:val="single" w:color="auto" w:sz="6" w:space="0"/>
                  </w:tcBorders>
                  <w:noWrap w:val="0"/>
                  <w:vAlign w:val="center"/>
                </w:tcPr>
                <w:p w14:paraId="32BBEAE0">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b/>
                      <w:color w:val="auto"/>
                      <w:sz w:val="21"/>
                      <w:szCs w:val="21"/>
                      <w:u w:val="none" w:color="auto"/>
                    </w:rPr>
                  </w:pPr>
                  <w:r>
                    <w:rPr>
                      <w:b/>
                      <w:color w:val="auto"/>
                      <w:sz w:val="21"/>
                      <w:szCs w:val="21"/>
                      <w:u w:val="none" w:color="auto"/>
                    </w:rPr>
                    <w:t>参数</w:t>
                  </w:r>
                </w:p>
              </w:tc>
              <w:tc>
                <w:tcPr>
                  <w:tcW w:w="3051" w:type="dxa"/>
                  <w:tcBorders>
                    <w:top w:val="single" w:color="auto" w:sz="6" w:space="0"/>
                    <w:right w:val="single" w:color="auto" w:sz="6" w:space="0"/>
                  </w:tcBorders>
                  <w:noWrap w:val="0"/>
                  <w:vAlign w:val="center"/>
                </w:tcPr>
                <w:p w14:paraId="313BE85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b/>
                      <w:color w:val="auto"/>
                      <w:sz w:val="21"/>
                      <w:szCs w:val="21"/>
                      <w:u w:val="none" w:color="auto"/>
                    </w:rPr>
                  </w:pPr>
                  <w:r>
                    <w:rPr>
                      <w:b/>
                      <w:color w:val="auto"/>
                      <w:sz w:val="21"/>
                      <w:szCs w:val="21"/>
                      <w:u w:val="none" w:color="auto"/>
                    </w:rPr>
                    <w:t>取值</w:t>
                  </w:r>
                </w:p>
              </w:tc>
            </w:tr>
            <w:tr w14:paraId="48AA60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50" w:type="dxa"/>
                  <w:vMerge w:val="restart"/>
                  <w:tcBorders>
                    <w:left w:val="single" w:color="auto" w:sz="6" w:space="0"/>
                  </w:tcBorders>
                  <w:noWrap w:val="0"/>
                  <w:vAlign w:val="center"/>
                </w:tcPr>
                <w:p w14:paraId="40882FB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bCs/>
                      <w:color w:val="auto"/>
                      <w:sz w:val="21"/>
                      <w:szCs w:val="21"/>
                      <w:u w:val="none" w:color="auto"/>
                    </w:rPr>
                  </w:pPr>
                  <w:r>
                    <w:rPr>
                      <w:bCs/>
                      <w:color w:val="auto"/>
                      <w:sz w:val="21"/>
                      <w:szCs w:val="21"/>
                      <w:u w:val="none" w:color="auto"/>
                    </w:rPr>
                    <w:t>城市/农村选项</w:t>
                  </w:r>
                </w:p>
              </w:tc>
              <w:tc>
                <w:tcPr>
                  <w:tcW w:w="3052" w:type="dxa"/>
                  <w:noWrap w:val="0"/>
                  <w:vAlign w:val="center"/>
                </w:tcPr>
                <w:p w14:paraId="06D7A8EE">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bCs/>
                      <w:color w:val="auto"/>
                      <w:sz w:val="21"/>
                      <w:szCs w:val="21"/>
                      <w:u w:val="none" w:color="auto"/>
                    </w:rPr>
                  </w:pPr>
                  <w:r>
                    <w:rPr>
                      <w:bCs/>
                      <w:color w:val="auto"/>
                      <w:sz w:val="21"/>
                      <w:szCs w:val="21"/>
                      <w:u w:val="none" w:color="auto"/>
                    </w:rPr>
                    <w:t>城市/农村</w:t>
                  </w:r>
                </w:p>
              </w:tc>
              <w:tc>
                <w:tcPr>
                  <w:tcW w:w="3051" w:type="dxa"/>
                  <w:tcBorders>
                    <w:right w:val="single" w:color="auto" w:sz="6" w:space="0"/>
                  </w:tcBorders>
                  <w:noWrap w:val="0"/>
                  <w:vAlign w:val="center"/>
                </w:tcPr>
                <w:p w14:paraId="18DE0B06">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ascii="Times New Roman" w:hAnsi="Times New Roman" w:eastAsia="宋体" w:cs="Times New Roman"/>
                      <w:bCs/>
                      <w:color w:val="auto"/>
                      <w:sz w:val="21"/>
                      <w:szCs w:val="21"/>
                      <w:u w:val="none" w:color="auto"/>
                    </w:rPr>
                  </w:pPr>
                  <w:r>
                    <w:rPr>
                      <w:rFonts w:hint="eastAsia" w:cs="Times New Roman"/>
                      <w:bCs/>
                      <w:color w:val="auto"/>
                      <w:sz w:val="21"/>
                      <w:szCs w:val="21"/>
                      <w:u w:val="none" w:color="auto"/>
                      <w:lang w:val="en-US" w:eastAsia="zh-CN"/>
                    </w:rPr>
                    <w:t>城市</w:t>
                  </w:r>
                </w:p>
              </w:tc>
            </w:tr>
            <w:tr w14:paraId="6300C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50" w:type="dxa"/>
                  <w:vMerge w:val="continue"/>
                  <w:tcBorders>
                    <w:left w:val="single" w:color="auto" w:sz="6" w:space="0"/>
                  </w:tcBorders>
                  <w:noWrap w:val="0"/>
                  <w:vAlign w:val="center"/>
                </w:tcPr>
                <w:p w14:paraId="3F37DB15">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bCs/>
                      <w:color w:val="auto"/>
                      <w:sz w:val="21"/>
                      <w:szCs w:val="21"/>
                      <w:u w:val="none" w:color="auto"/>
                    </w:rPr>
                  </w:pPr>
                </w:p>
              </w:tc>
              <w:tc>
                <w:tcPr>
                  <w:tcW w:w="3052" w:type="dxa"/>
                  <w:noWrap w:val="0"/>
                  <w:vAlign w:val="center"/>
                </w:tcPr>
                <w:p w14:paraId="56CB396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bCs/>
                      <w:color w:val="auto"/>
                      <w:sz w:val="21"/>
                      <w:szCs w:val="21"/>
                      <w:u w:val="none" w:color="auto"/>
                    </w:rPr>
                  </w:pPr>
                  <w:r>
                    <w:rPr>
                      <w:bCs/>
                      <w:color w:val="auto"/>
                      <w:sz w:val="21"/>
                      <w:szCs w:val="21"/>
                      <w:u w:val="none" w:color="auto"/>
                    </w:rPr>
                    <w:t>人口数（城市选项时）</w:t>
                  </w:r>
                </w:p>
              </w:tc>
              <w:tc>
                <w:tcPr>
                  <w:tcW w:w="3051" w:type="dxa"/>
                  <w:tcBorders>
                    <w:right w:val="single" w:color="auto" w:sz="6" w:space="0"/>
                  </w:tcBorders>
                  <w:noWrap w:val="0"/>
                  <w:vAlign w:val="center"/>
                </w:tcPr>
                <w:p w14:paraId="4E9A2F4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Cs/>
                      <w:color w:val="auto"/>
                      <w:sz w:val="21"/>
                      <w:szCs w:val="21"/>
                      <w:u w:val="none" w:color="auto"/>
                      <w:lang w:val="en-US" w:eastAsia="zh-CN"/>
                    </w:rPr>
                  </w:pPr>
                  <w:r>
                    <w:rPr>
                      <w:rFonts w:hint="eastAsia" w:cs="Times New Roman"/>
                      <w:bCs/>
                      <w:color w:val="auto"/>
                      <w:sz w:val="21"/>
                      <w:szCs w:val="21"/>
                      <w:u w:val="none" w:color="auto"/>
                      <w:lang w:val="en-US" w:eastAsia="zh-CN"/>
                    </w:rPr>
                    <w:t>10万</w:t>
                  </w:r>
                </w:p>
              </w:tc>
            </w:tr>
            <w:tr w14:paraId="0BF971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02" w:type="dxa"/>
                  <w:gridSpan w:val="2"/>
                  <w:tcBorders>
                    <w:left w:val="single" w:color="auto" w:sz="6" w:space="0"/>
                  </w:tcBorders>
                  <w:noWrap w:val="0"/>
                  <w:vAlign w:val="center"/>
                </w:tcPr>
                <w:p w14:paraId="0A7C5C2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bCs/>
                      <w:color w:val="auto"/>
                      <w:sz w:val="21"/>
                      <w:szCs w:val="21"/>
                      <w:u w:val="none" w:color="auto"/>
                    </w:rPr>
                  </w:pPr>
                  <w:r>
                    <w:rPr>
                      <w:bCs/>
                      <w:color w:val="auto"/>
                      <w:sz w:val="21"/>
                      <w:szCs w:val="21"/>
                      <w:u w:val="none" w:color="auto"/>
                    </w:rPr>
                    <w:t>最高环境温度/℃</w:t>
                  </w:r>
                </w:p>
              </w:tc>
              <w:tc>
                <w:tcPr>
                  <w:tcW w:w="3051" w:type="dxa"/>
                  <w:tcBorders>
                    <w:right w:val="single" w:color="auto" w:sz="6" w:space="0"/>
                  </w:tcBorders>
                  <w:noWrap w:val="0"/>
                  <w:vAlign w:val="center"/>
                </w:tcPr>
                <w:p w14:paraId="4467E01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Cs/>
                      <w:color w:val="auto"/>
                      <w:sz w:val="21"/>
                      <w:szCs w:val="21"/>
                      <w:u w:val="none" w:color="auto"/>
                      <w:lang w:val="en-US" w:eastAsia="zh-CN"/>
                    </w:rPr>
                  </w:pPr>
                  <w:r>
                    <w:rPr>
                      <w:rFonts w:ascii="Times New Roman" w:hAnsi="Times New Roman" w:eastAsia="宋体" w:cs="Times New Roman"/>
                      <w:bCs/>
                      <w:color w:val="auto"/>
                      <w:sz w:val="21"/>
                      <w:szCs w:val="21"/>
                      <w:u w:val="none" w:color="auto"/>
                    </w:rPr>
                    <w:t>/</w:t>
                  </w:r>
                </w:p>
              </w:tc>
            </w:tr>
            <w:tr w14:paraId="020488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02" w:type="dxa"/>
                  <w:gridSpan w:val="2"/>
                  <w:tcBorders>
                    <w:left w:val="single" w:color="auto" w:sz="6" w:space="0"/>
                  </w:tcBorders>
                  <w:noWrap w:val="0"/>
                  <w:vAlign w:val="center"/>
                </w:tcPr>
                <w:p w14:paraId="24737B5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bCs/>
                      <w:color w:val="auto"/>
                      <w:sz w:val="21"/>
                      <w:szCs w:val="21"/>
                      <w:u w:val="none" w:color="auto"/>
                    </w:rPr>
                  </w:pPr>
                  <w:r>
                    <w:rPr>
                      <w:bCs/>
                      <w:color w:val="auto"/>
                      <w:sz w:val="21"/>
                      <w:szCs w:val="21"/>
                      <w:u w:val="none" w:color="auto"/>
                    </w:rPr>
                    <w:t>最低环境温度/℃</w:t>
                  </w:r>
                </w:p>
              </w:tc>
              <w:tc>
                <w:tcPr>
                  <w:tcW w:w="3051" w:type="dxa"/>
                  <w:tcBorders>
                    <w:right w:val="single" w:color="auto" w:sz="6" w:space="0"/>
                  </w:tcBorders>
                  <w:noWrap w:val="0"/>
                  <w:vAlign w:val="center"/>
                </w:tcPr>
                <w:p w14:paraId="12050C4F">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Cs/>
                      <w:color w:val="auto"/>
                      <w:sz w:val="21"/>
                      <w:szCs w:val="21"/>
                      <w:u w:val="none" w:color="auto"/>
                      <w:lang w:val="en-US" w:eastAsia="zh-CN"/>
                    </w:rPr>
                  </w:pPr>
                  <w:r>
                    <w:rPr>
                      <w:rFonts w:hint="eastAsia" w:cs="Times New Roman"/>
                      <w:bCs/>
                      <w:color w:val="auto"/>
                      <w:sz w:val="21"/>
                      <w:szCs w:val="21"/>
                      <w:u w:val="none" w:color="auto"/>
                      <w:lang w:val="en-US" w:eastAsia="zh-CN"/>
                    </w:rPr>
                    <w:t>40.4</w:t>
                  </w:r>
                </w:p>
              </w:tc>
            </w:tr>
            <w:tr w14:paraId="57F0D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02" w:type="dxa"/>
                  <w:gridSpan w:val="2"/>
                  <w:tcBorders>
                    <w:left w:val="single" w:color="auto" w:sz="6" w:space="0"/>
                  </w:tcBorders>
                  <w:noWrap w:val="0"/>
                  <w:vAlign w:val="center"/>
                </w:tcPr>
                <w:p w14:paraId="16D8129E">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bCs/>
                      <w:color w:val="auto"/>
                      <w:sz w:val="21"/>
                      <w:szCs w:val="21"/>
                      <w:u w:val="none" w:color="auto"/>
                    </w:rPr>
                  </w:pPr>
                  <w:r>
                    <w:rPr>
                      <w:bCs/>
                      <w:color w:val="auto"/>
                      <w:sz w:val="21"/>
                      <w:szCs w:val="21"/>
                      <w:u w:val="none" w:color="auto"/>
                    </w:rPr>
                    <w:t>土地利用类型</w:t>
                  </w:r>
                </w:p>
              </w:tc>
              <w:tc>
                <w:tcPr>
                  <w:tcW w:w="3051" w:type="dxa"/>
                  <w:tcBorders>
                    <w:right w:val="single" w:color="auto" w:sz="6" w:space="0"/>
                  </w:tcBorders>
                  <w:noWrap w:val="0"/>
                  <w:vAlign w:val="center"/>
                </w:tcPr>
                <w:p w14:paraId="3B763D9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Cs/>
                      <w:color w:val="auto"/>
                      <w:sz w:val="21"/>
                      <w:szCs w:val="21"/>
                      <w:u w:val="none" w:color="auto"/>
                      <w:lang w:val="en-US" w:eastAsia="zh-CN"/>
                    </w:rPr>
                  </w:pPr>
                  <w:r>
                    <w:rPr>
                      <w:rFonts w:hint="eastAsia" w:cs="Times New Roman"/>
                      <w:bCs/>
                      <w:color w:val="auto"/>
                      <w:sz w:val="21"/>
                      <w:szCs w:val="21"/>
                      <w:u w:val="none" w:color="auto"/>
                      <w:lang w:val="en-US" w:eastAsia="zh-CN"/>
                    </w:rPr>
                    <w:t>-2.1</w:t>
                  </w:r>
                </w:p>
              </w:tc>
            </w:tr>
            <w:tr w14:paraId="301385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02" w:type="dxa"/>
                  <w:gridSpan w:val="2"/>
                  <w:tcBorders>
                    <w:left w:val="single" w:color="auto" w:sz="6" w:space="0"/>
                  </w:tcBorders>
                  <w:noWrap w:val="0"/>
                  <w:vAlign w:val="center"/>
                </w:tcPr>
                <w:p w14:paraId="5E69886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bCs/>
                      <w:color w:val="auto"/>
                      <w:sz w:val="21"/>
                      <w:szCs w:val="21"/>
                      <w:u w:val="none" w:color="auto"/>
                    </w:rPr>
                  </w:pPr>
                  <w:r>
                    <w:rPr>
                      <w:bCs/>
                      <w:color w:val="auto"/>
                      <w:sz w:val="21"/>
                      <w:szCs w:val="21"/>
                      <w:u w:val="none" w:color="auto"/>
                    </w:rPr>
                    <w:t>区域湿度条件</w:t>
                  </w:r>
                </w:p>
              </w:tc>
              <w:tc>
                <w:tcPr>
                  <w:tcW w:w="3051" w:type="dxa"/>
                  <w:tcBorders>
                    <w:right w:val="single" w:color="auto" w:sz="6" w:space="0"/>
                  </w:tcBorders>
                  <w:noWrap w:val="0"/>
                  <w:vAlign w:val="center"/>
                </w:tcPr>
                <w:p w14:paraId="6AD4618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eastAsia="宋体"/>
                      <w:bCs/>
                      <w:color w:val="auto"/>
                      <w:sz w:val="21"/>
                      <w:szCs w:val="21"/>
                      <w:u w:val="none" w:color="auto"/>
                      <w:lang w:eastAsia="zh-CN"/>
                    </w:rPr>
                  </w:pPr>
                  <w:r>
                    <w:rPr>
                      <w:rFonts w:hint="eastAsia"/>
                      <w:bCs/>
                      <w:color w:val="auto"/>
                      <w:sz w:val="21"/>
                      <w:szCs w:val="21"/>
                      <w:u w:val="none" w:color="auto"/>
                      <w:lang w:val="en-US" w:eastAsia="zh-CN"/>
                    </w:rPr>
                    <w:t>潮湿</w:t>
                  </w:r>
                </w:p>
              </w:tc>
            </w:tr>
            <w:tr w14:paraId="1C8E4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50" w:type="dxa"/>
                  <w:vMerge w:val="restart"/>
                  <w:tcBorders>
                    <w:left w:val="single" w:color="auto" w:sz="6" w:space="0"/>
                  </w:tcBorders>
                  <w:noWrap w:val="0"/>
                  <w:vAlign w:val="center"/>
                </w:tcPr>
                <w:p w14:paraId="3299C0FF">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bCs/>
                      <w:color w:val="auto"/>
                      <w:sz w:val="21"/>
                      <w:szCs w:val="21"/>
                      <w:u w:val="none" w:color="auto"/>
                    </w:rPr>
                  </w:pPr>
                  <w:r>
                    <w:rPr>
                      <w:bCs/>
                      <w:color w:val="auto"/>
                      <w:sz w:val="21"/>
                      <w:szCs w:val="21"/>
                      <w:u w:val="none" w:color="auto"/>
                    </w:rPr>
                    <w:t>是否考虑地形</w:t>
                  </w:r>
                </w:p>
              </w:tc>
              <w:tc>
                <w:tcPr>
                  <w:tcW w:w="3052" w:type="dxa"/>
                  <w:noWrap w:val="0"/>
                  <w:vAlign w:val="center"/>
                </w:tcPr>
                <w:p w14:paraId="0765FACB">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bCs/>
                      <w:color w:val="auto"/>
                      <w:sz w:val="21"/>
                      <w:szCs w:val="21"/>
                      <w:u w:val="none" w:color="auto"/>
                    </w:rPr>
                  </w:pPr>
                  <w:r>
                    <w:rPr>
                      <w:bCs/>
                      <w:color w:val="auto"/>
                      <w:sz w:val="21"/>
                      <w:szCs w:val="21"/>
                      <w:u w:val="none" w:color="auto"/>
                    </w:rPr>
                    <w:t>考虑地形</w:t>
                  </w:r>
                </w:p>
              </w:tc>
              <w:tc>
                <w:tcPr>
                  <w:tcW w:w="3051" w:type="dxa"/>
                  <w:tcBorders>
                    <w:right w:val="single" w:color="auto" w:sz="6" w:space="0"/>
                  </w:tcBorders>
                  <w:noWrap w:val="0"/>
                  <w:vAlign w:val="center"/>
                </w:tcPr>
                <w:p w14:paraId="7CAD621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bCs/>
                      <w:color w:val="auto"/>
                      <w:sz w:val="21"/>
                      <w:szCs w:val="21"/>
                      <w:u w:val="none" w:color="auto"/>
                    </w:rPr>
                  </w:pPr>
                  <w:r>
                    <w:rPr>
                      <w:rFonts w:hint="eastAsia"/>
                      <w:bCs/>
                      <w:color w:val="auto"/>
                      <w:sz w:val="21"/>
                      <w:szCs w:val="21"/>
                      <w:u w:val="none" w:color="auto"/>
                      <w:lang w:val="en-US" w:eastAsia="zh-CN"/>
                    </w:rPr>
                    <w:t>/</w:t>
                  </w:r>
                </w:p>
              </w:tc>
            </w:tr>
            <w:tr w14:paraId="5FB36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50" w:type="dxa"/>
                  <w:vMerge w:val="continue"/>
                  <w:tcBorders>
                    <w:left w:val="single" w:color="auto" w:sz="6" w:space="0"/>
                  </w:tcBorders>
                  <w:noWrap w:val="0"/>
                  <w:vAlign w:val="center"/>
                </w:tcPr>
                <w:p w14:paraId="41C5070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bCs/>
                      <w:color w:val="auto"/>
                      <w:sz w:val="21"/>
                      <w:szCs w:val="21"/>
                      <w:u w:val="none" w:color="auto"/>
                    </w:rPr>
                  </w:pPr>
                </w:p>
              </w:tc>
              <w:tc>
                <w:tcPr>
                  <w:tcW w:w="3052" w:type="dxa"/>
                  <w:noWrap w:val="0"/>
                  <w:vAlign w:val="center"/>
                </w:tcPr>
                <w:p w14:paraId="3E25375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bCs/>
                      <w:color w:val="auto"/>
                      <w:sz w:val="21"/>
                      <w:szCs w:val="21"/>
                      <w:u w:val="none" w:color="auto"/>
                    </w:rPr>
                  </w:pPr>
                  <w:r>
                    <w:rPr>
                      <w:bCs/>
                      <w:color w:val="auto"/>
                      <w:sz w:val="21"/>
                      <w:szCs w:val="21"/>
                      <w:u w:val="none" w:color="auto"/>
                    </w:rPr>
                    <w:t>地形数据分辨率/m</w:t>
                  </w:r>
                </w:p>
              </w:tc>
              <w:tc>
                <w:tcPr>
                  <w:tcW w:w="3051" w:type="dxa"/>
                  <w:tcBorders>
                    <w:right w:val="single" w:color="auto" w:sz="6" w:space="0"/>
                  </w:tcBorders>
                  <w:noWrap w:val="0"/>
                  <w:vAlign w:val="center"/>
                </w:tcPr>
                <w:p w14:paraId="1458AE5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eastAsia="宋体"/>
                      <w:bCs/>
                      <w:color w:val="auto"/>
                      <w:sz w:val="21"/>
                      <w:szCs w:val="21"/>
                      <w:u w:val="none" w:color="auto"/>
                      <w:lang w:eastAsia="zh-CN"/>
                    </w:rPr>
                  </w:pPr>
                  <w:r>
                    <w:rPr>
                      <w:rFonts w:hint="eastAsia"/>
                      <w:bCs/>
                      <w:color w:val="auto"/>
                      <w:sz w:val="21"/>
                      <w:szCs w:val="21"/>
                      <w:u w:val="none" w:color="auto"/>
                      <w:lang w:val="en-US" w:eastAsia="zh-CN"/>
                    </w:rPr>
                    <w:t>/</w:t>
                  </w:r>
                </w:p>
              </w:tc>
            </w:tr>
            <w:tr w14:paraId="1F766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02" w:type="dxa"/>
                  <w:gridSpan w:val="2"/>
                  <w:tcBorders>
                    <w:left w:val="single" w:color="auto" w:sz="6" w:space="0"/>
                    <w:bottom w:val="single" w:color="auto" w:sz="6" w:space="0"/>
                  </w:tcBorders>
                  <w:noWrap w:val="0"/>
                  <w:vAlign w:val="center"/>
                </w:tcPr>
                <w:p w14:paraId="4931C48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bCs/>
                      <w:color w:val="auto"/>
                      <w:sz w:val="21"/>
                      <w:szCs w:val="21"/>
                      <w:u w:val="none" w:color="auto"/>
                    </w:rPr>
                  </w:pPr>
                  <w:r>
                    <w:rPr>
                      <w:bCs/>
                      <w:color w:val="auto"/>
                      <w:sz w:val="21"/>
                      <w:szCs w:val="21"/>
                      <w:u w:val="none" w:color="auto"/>
                    </w:rPr>
                    <w:t>是否考虑岸边熏烟模式</w:t>
                  </w:r>
                </w:p>
              </w:tc>
              <w:tc>
                <w:tcPr>
                  <w:tcW w:w="3051" w:type="dxa"/>
                  <w:tcBorders>
                    <w:bottom w:val="single" w:color="auto" w:sz="6" w:space="0"/>
                    <w:right w:val="single" w:color="auto" w:sz="6" w:space="0"/>
                  </w:tcBorders>
                  <w:noWrap w:val="0"/>
                  <w:vAlign w:val="center"/>
                </w:tcPr>
                <w:p w14:paraId="2568462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eastAsia="宋体"/>
                      <w:bCs/>
                      <w:color w:val="auto"/>
                      <w:sz w:val="21"/>
                      <w:szCs w:val="21"/>
                      <w:u w:val="none" w:color="auto"/>
                      <w:lang w:eastAsia="zh-CN"/>
                    </w:rPr>
                  </w:pPr>
                  <w:r>
                    <w:rPr>
                      <w:rFonts w:hint="eastAsia"/>
                      <w:bCs/>
                      <w:color w:val="auto"/>
                      <w:sz w:val="21"/>
                      <w:szCs w:val="21"/>
                      <w:u w:val="none" w:color="auto"/>
                      <w:lang w:val="en-US" w:eastAsia="zh-CN"/>
                    </w:rPr>
                    <w:t>/</w:t>
                  </w:r>
                </w:p>
              </w:tc>
            </w:tr>
          </w:tbl>
          <w:p w14:paraId="5C28B609">
            <w:pPr>
              <w:pStyle w:val="10"/>
              <w:numPr>
                <w:ilvl w:val="0"/>
                <w:numId w:val="3"/>
              </w:numPr>
              <w:ind w:left="0" w:firstLine="0" w:firstLineChars="0"/>
              <w:jc w:val="center"/>
              <w:rPr>
                <w:rFonts w:hint="eastAsia" w:ascii="黑体" w:hAnsi="黑体" w:eastAsia="黑体"/>
                <w:b w:val="0"/>
                <w:color w:val="auto"/>
                <w:u w:val="none" w:color="auto"/>
                <w:lang w:val="en-US" w:eastAsia="zh-CN"/>
              </w:rPr>
            </w:pPr>
            <w:bookmarkStart w:id="21" w:name="_Ref531017576"/>
            <w:bookmarkStart w:id="22" w:name="_Ref21528"/>
            <w:r>
              <w:rPr>
                <w:rFonts w:hint="eastAsia" w:ascii="黑体" w:hAnsi="黑体" w:eastAsia="黑体"/>
                <w:b w:val="0"/>
                <w:color w:val="auto"/>
                <w:u w:val="none" w:color="auto"/>
                <w:lang w:val="en-US" w:eastAsia="zh-CN"/>
              </w:rPr>
              <w:t>无组织排放估算模型计算参数表</w:t>
            </w:r>
            <w:bookmarkEnd w:id="21"/>
            <w:r>
              <w:rPr>
                <w:rFonts w:hint="eastAsia" w:ascii="黑体" w:hAnsi="黑体" w:eastAsia="黑体"/>
                <w:b w:val="0"/>
                <w:color w:val="auto"/>
                <w:u w:val="none" w:color="auto"/>
                <w:lang w:val="en-US" w:eastAsia="zh-CN"/>
              </w:rPr>
              <w:t>（正常排放）</w:t>
            </w:r>
            <w:bookmarkEnd w:id="22"/>
          </w:p>
          <w:tbl>
            <w:tblPr>
              <w:tblStyle w:val="22"/>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64"/>
              <w:gridCol w:w="1521"/>
              <w:gridCol w:w="1215"/>
              <w:gridCol w:w="1071"/>
              <w:gridCol w:w="901"/>
              <w:gridCol w:w="1320"/>
              <w:gridCol w:w="1475"/>
              <w:gridCol w:w="1304"/>
            </w:tblGrid>
            <w:tr w14:paraId="4B0E6A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55" w:type="dxa"/>
                  <w:vMerge w:val="restart"/>
                  <w:tcBorders>
                    <w:top w:val="single" w:color="auto" w:sz="6" w:space="0"/>
                    <w:left w:val="single" w:color="auto" w:sz="6" w:space="0"/>
                    <w:bottom w:val="single" w:color="auto" w:sz="6" w:space="0"/>
                    <w:right w:val="single" w:color="auto" w:sz="6" w:space="0"/>
                  </w:tcBorders>
                  <w:noWrap w:val="0"/>
                  <w:vAlign w:val="center"/>
                </w:tcPr>
                <w:p w14:paraId="207DD9C4">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b/>
                      <w:color w:val="auto"/>
                      <w:sz w:val="21"/>
                      <w:szCs w:val="21"/>
                      <w:u w:val="none" w:color="auto"/>
                    </w:rPr>
                  </w:pPr>
                  <w:r>
                    <w:rPr>
                      <w:rFonts w:hint="default" w:ascii="Times New Roman" w:hAnsi="Times New Roman" w:cs="Times New Roman" w:eastAsiaTheme="minorEastAsia"/>
                      <w:b/>
                      <w:color w:val="auto"/>
                      <w:sz w:val="21"/>
                      <w:szCs w:val="21"/>
                      <w:u w:val="none" w:color="auto"/>
                    </w:rPr>
                    <w:t>编号</w:t>
                  </w:r>
                </w:p>
              </w:tc>
              <w:tc>
                <w:tcPr>
                  <w:tcW w:w="1469" w:type="dxa"/>
                  <w:vMerge w:val="restart"/>
                  <w:tcBorders>
                    <w:top w:val="single" w:color="auto" w:sz="6" w:space="0"/>
                    <w:left w:val="single" w:color="auto" w:sz="6" w:space="0"/>
                    <w:bottom w:val="single" w:color="auto" w:sz="6" w:space="0"/>
                    <w:right w:val="single" w:color="auto" w:sz="6" w:space="0"/>
                  </w:tcBorders>
                  <w:noWrap w:val="0"/>
                  <w:vAlign w:val="center"/>
                </w:tcPr>
                <w:p w14:paraId="2D3267FA">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b/>
                      <w:color w:val="auto"/>
                      <w:sz w:val="21"/>
                      <w:szCs w:val="21"/>
                      <w:u w:val="none" w:color="auto"/>
                    </w:rPr>
                  </w:pPr>
                  <w:r>
                    <w:rPr>
                      <w:rFonts w:hint="default" w:ascii="Times New Roman" w:hAnsi="Times New Roman" w:cs="Times New Roman" w:eastAsiaTheme="minorEastAsia"/>
                      <w:b/>
                      <w:color w:val="auto"/>
                      <w:sz w:val="21"/>
                      <w:szCs w:val="21"/>
                      <w:u w:val="none" w:color="auto"/>
                    </w:rPr>
                    <w:t>名称</w:t>
                  </w:r>
                </w:p>
              </w:tc>
              <w:tc>
                <w:tcPr>
                  <w:tcW w:w="1174" w:type="dxa"/>
                  <w:vMerge w:val="restart"/>
                  <w:tcBorders>
                    <w:top w:val="single" w:color="auto" w:sz="6" w:space="0"/>
                    <w:left w:val="single" w:color="auto" w:sz="6" w:space="0"/>
                    <w:bottom w:val="single" w:color="auto" w:sz="6" w:space="0"/>
                    <w:right w:val="single" w:color="auto" w:sz="6" w:space="0"/>
                  </w:tcBorders>
                  <w:noWrap w:val="0"/>
                  <w:vAlign w:val="center"/>
                </w:tcPr>
                <w:p w14:paraId="31A9BD68">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b/>
                      <w:color w:val="auto"/>
                      <w:sz w:val="21"/>
                      <w:szCs w:val="21"/>
                      <w:u w:val="none" w:color="auto"/>
                    </w:rPr>
                  </w:pPr>
                  <w:r>
                    <w:rPr>
                      <w:rFonts w:hint="default" w:ascii="Times New Roman" w:hAnsi="Times New Roman" w:cs="Times New Roman" w:eastAsiaTheme="minorEastAsia"/>
                      <w:b/>
                      <w:color w:val="auto"/>
                      <w:sz w:val="21"/>
                      <w:szCs w:val="21"/>
                      <w:u w:val="none" w:color="auto"/>
                    </w:rPr>
                    <w:t>面源海拔高度/m</w:t>
                  </w:r>
                </w:p>
              </w:tc>
              <w:tc>
                <w:tcPr>
                  <w:tcW w:w="1035" w:type="dxa"/>
                  <w:vMerge w:val="restart"/>
                  <w:tcBorders>
                    <w:top w:val="single" w:color="auto" w:sz="6" w:space="0"/>
                    <w:left w:val="single" w:color="auto" w:sz="6" w:space="0"/>
                    <w:bottom w:val="single" w:color="auto" w:sz="6" w:space="0"/>
                    <w:right w:val="single" w:color="auto" w:sz="6" w:space="0"/>
                  </w:tcBorders>
                  <w:noWrap w:val="0"/>
                  <w:vAlign w:val="center"/>
                </w:tcPr>
                <w:p w14:paraId="17195CC5">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b/>
                      <w:color w:val="auto"/>
                      <w:sz w:val="21"/>
                      <w:szCs w:val="21"/>
                      <w:u w:val="none" w:color="auto"/>
                    </w:rPr>
                  </w:pPr>
                  <w:r>
                    <w:rPr>
                      <w:rFonts w:hint="default" w:ascii="Times New Roman" w:hAnsi="Times New Roman" w:cs="Times New Roman" w:eastAsiaTheme="minorEastAsia"/>
                      <w:b/>
                      <w:color w:val="auto"/>
                      <w:sz w:val="21"/>
                      <w:szCs w:val="21"/>
                      <w:u w:val="none" w:color="auto"/>
                    </w:rPr>
                    <w:t>面源长度</w:t>
                  </w:r>
                  <w:r>
                    <w:rPr>
                      <w:rFonts w:hint="eastAsia" w:cs="Times New Roman" w:eastAsiaTheme="minorEastAsia"/>
                      <w:b/>
                      <w:color w:val="auto"/>
                      <w:sz w:val="21"/>
                      <w:szCs w:val="21"/>
                      <w:u w:val="none" w:color="auto"/>
                      <w:lang w:eastAsia="zh-CN"/>
                    </w:rPr>
                    <w:t>(</w:t>
                  </w:r>
                  <w:r>
                    <w:rPr>
                      <w:rFonts w:hint="default" w:ascii="Times New Roman" w:hAnsi="Times New Roman" w:cs="Times New Roman" w:eastAsiaTheme="minorEastAsia"/>
                      <w:b/>
                      <w:color w:val="auto"/>
                      <w:sz w:val="21"/>
                      <w:szCs w:val="21"/>
                      <w:u w:val="none" w:color="auto"/>
                    </w:rPr>
                    <w:t>m)</w:t>
                  </w:r>
                </w:p>
              </w:tc>
              <w:tc>
                <w:tcPr>
                  <w:tcW w:w="870" w:type="dxa"/>
                  <w:vMerge w:val="restart"/>
                  <w:tcBorders>
                    <w:top w:val="single" w:color="auto" w:sz="6" w:space="0"/>
                    <w:left w:val="single" w:color="auto" w:sz="6" w:space="0"/>
                    <w:bottom w:val="single" w:color="auto" w:sz="6" w:space="0"/>
                    <w:right w:val="single" w:color="auto" w:sz="6" w:space="0"/>
                  </w:tcBorders>
                  <w:noWrap w:val="0"/>
                  <w:vAlign w:val="center"/>
                </w:tcPr>
                <w:p w14:paraId="058DF21C">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b/>
                      <w:color w:val="auto"/>
                      <w:sz w:val="21"/>
                      <w:szCs w:val="21"/>
                      <w:u w:val="none" w:color="auto"/>
                    </w:rPr>
                  </w:pPr>
                  <w:r>
                    <w:rPr>
                      <w:rFonts w:hint="default" w:ascii="Times New Roman" w:hAnsi="Times New Roman" w:cs="Times New Roman" w:eastAsiaTheme="minorEastAsia"/>
                      <w:b/>
                      <w:color w:val="auto"/>
                      <w:sz w:val="21"/>
                      <w:szCs w:val="21"/>
                      <w:u w:val="none" w:color="auto"/>
                    </w:rPr>
                    <w:t>面源宽度</w:t>
                  </w:r>
                  <w:r>
                    <w:rPr>
                      <w:rFonts w:hint="eastAsia" w:cs="Times New Roman" w:eastAsiaTheme="minorEastAsia"/>
                      <w:b/>
                      <w:color w:val="auto"/>
                      <w:sz w:val="21"/>
                      <w:szCs w:val="21"/>
                      <w:u w:val="none" w:color="auto"/>
                      <w:lang w:eastAsia="zh-CN"/>
                    </w:rPr>
                    <w:t>(</w:t>
                  </w:r>
                  <w:r>
                    <w:rPr>
                      <w:rFonts w:hint="default" w:ascii="Times New Roman" w:hAnsi="Times New Roman" w:cs="Times New Roman" w:eastAsiaTheme="minorEastAsia"/>
                      <w:b/>
                      <w:color w:val="auto"/>
                      <w:sz w:val="21"/>
                      <w:szCs w:val="21"/>
                      <w:u w:val="none" w:color="auto"/>
                    </w:rPr>
                    <w:t>m)</w:t>
                  </w:r>
                </w:p>
              </w:tc>
              <w:tc>
                <w:tcPr>
                  <w:tcW w:w="1275" w:type="dxa"/>
                  <w:vMerge w:val="restart"/>
                  <w:tcBorders>
                    <w:top w:val="single" w:color="auto" w:sz="6" w:space="0"/>
                    <w:left w:val="single" w:color="auto" w:sz="6" w:space="0"/>
                    <w:bottom w:val="single" w:color="auto" w:sz="6" w:space="0"/>
                    <w:right w:val="single" w:color="auto" w:sz="6" w:space="0"/>
                  </w:tcBorders>
                  <w:noWrap w:val="0"/>
                  <w:vAlign w:val="center"/>
                </w:tcPr>
                <w:p w14:paraId="061EC63A">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b/>
                      <w:color w:val="auto"/>
                      <w:sz w:val="21"/>
                      <w:szCs w:val="21"/>
                      <w:u w:val="none" w:color="auto"/>
                    </w:rPr>
                  </w:pPr>
                  <w:r>
                    <w:rPr>
                      <w:rFonts w:hint="default" w:ascii="Times New Roman" w:hAnsi="Times New Roman" w:cs="Times New Roman" w:eastAsiaTheme="minorEastAsia"/>
                      <w:b/>
                      <w:color w:val="auto"/>
                      <w:sz w:val="21"/>
                      <w:szCs w:val="21"/>
                      <w:u w:val="none" w:color="auto"/>
                    </w:rPr>
                    <w:t>面源有效排放高度（m）</w:t>
                  </w:r>
                </w:p>
              </w:tc>
              <w:tc>
                <w:tcPr>
                  <w:tcW w:w="2685" w:type="dxa"/>
                  <w:gridSpan w:val="2"/>
                  <w:tcBorders>
                    <w:top w:val="single" w:color="auto" w:sz="6" w:space="0"/>
                    <w:left w:val="single" w:color="auto" w:sz="6" w:space="0"/>
                    <w:bottom w:val="single" w:color="auto" w:sz="6" w:space="0"/>
                    <w:right w:val="single" w:color="auto" w:sz="6" w:space="0"/>
                  </w:tcBorders>
                  <w:noWrap w:val="0"/>
                  <w:vAlign w:val="center"/>
                </w:tcPr>
                <w:p w14:paraId="7AA0F0AF">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b/>
                      <w:color w:val="auto"/>
                      <w:sz w:val="21"/>
                      <w:szCs w:val="21"/>
                      <w:u w:val="none" w:color="auto"/>
                    </w:rPr>
                  </w:pPr>
                  <w:r>
                    <w:rPr>
                      <w:rFonts w:hint="default" w:ascii="Times New Roman" w:hAnsi="Times New Roman" w:cs="Times New Roman" w:eastAsiaTheme="minorEastAsia"/>
                      <w:b/>
                      <w:color w:val="auto"/>
                      <w:sz w:val="21"/>
                      <w:szCs w:val="21"/>
                      <w:u w:val="none" w:color="auto"/>
                    </w:rPr>
                    <w:t>污染物排放速率</w:t>
                  </w:r>
                  <w:r>
                    <w:rPr>
                      <w:rFonts w:hint="eastAsia" w:cs="Times New Roman" w:eastAsiaTheme="minorEastAsia"/>
                      <w:b/>
                      <w:color w:val="auto"/>
                      <w:sz w:val="21"/>
                      <w:szCs w:val="21"/>
                      <w:u w:val="none" w:color="auto"/>
                      <w:lang w:eastAsia="zh-CN"/>
                    </w:rPr>
                    <w:t>(</w:t>
                  </w:r>
                  <w:r>
                    <w:rPr>
                      <w:rFonts w:hint="default" w:ascii="Times New Roman" w:hAnsi="Times New Roman" w:cs="Times New Roman" w:eastAsiaTheme="minorEastAsia"/>
                      <w:b/>
                      <w:color w:val="auto"/>
                      <w:sz w:val="21"/>
                      <w:szCs w:val="21"/>
                      <w:u w:val="none" w:color="auto"/>
                    </w:rPr>
                    <w:t>kg/h)</w:t>
                  </w:r>
                </w:p>
              </w:tc>
            </w:tr>
            <w:tr w14:paraId="78488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55" w:type="dxa"/>
                  <w:vMerge w:val="continue"/>
                  <w:tcBorders>
                    <w:top w:val="single" w:color="auto" w:sz="6" w:space="0"/>
                    <w:left w:val="single" w:color="auto" w:sz="6" w:space="0"/>
                    <w:bottom w:val="single" w:color="auto" w:sz="6" w:space="0"/>
                    <w:right w:val="single" w:color="auto" w:sz="6" w:space="0"/>
                  </w:tcBorders>
                  <w:noWrap w:val="0"/>
                  <w:vAlign w:val="center"/>
                </w:tcPr>
                <w:p w14:paraId="50633BB2">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b/>
                      <w:color w:val="auto"/>
                      <w:sz w:val="21"/>
                      <w:szCs w:val="21"/>
                      <w:u w:val="none" w:color="auto"/>
                    </w:rPr>
                  </w:pPr>
                </w:p>
              </w:tc>
              <w:tc>
                <w:tcPr>
                  <w:tcW w:w="1469" w:type="dxa"/>
                  <w:vMerge w:val="continue"/>
                  <w:tcBorders>
                    <w:top w:val="single" w:color="auto" w:sz="6" w:space="0"/>
                    <w:left w:val="single" w:color="auto" w:sz="6" w:space="0"/>
                    <w:bottom w:val="single" w:color="auto" w:sz="6" w:space="0"/>
                    <w:right w:val="single" w:color="auto" w:sz="6" w:space="0"/>
                  </w:tcBorders>
                  <w:noWrap w:val="0"/>
                  <w:vAlign w:val="center"/>
                </w:tcPr>
                <w:p w14:paraId="13E9A8E7">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b/>
                      <w:color w:val="auto"/>
                      <w:sz w:val="21"/>
                      <w:szCs w:val="21"/>
                      <w:u w:val="none" w:color="auto"/>
                    </w:rPr>
                  </w:pPr>
                </w:p>
              </w:tc>
              <w:tc>
                <w:tcPr>
                  <w:tcW w:w="1174" w:type="dxa"/>
                  <w:vMerge w:val="continue"/>
                  <w:tcBorders>
                    <w:top w:val="single" w:color="auto" w:sz="6" w:space="0"/>
                    <w:left w:val="single" w:color="auto" w:sz="6" w:space="0"/>
                    <w:bottom w:val="single" w:color="auto" w:sz="6" w:space="0"/>
                    <w:right w:val="single" w:color="auto" w:sz="6" w:space="0"/>
                  </w:tcBorders>
                  <w:noWrap w:val="0"/>
                  <w:vAlign w:val="center"/>
                </w:tcPr>
                <w:p w14:paraId="7E8BC15D">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b/>
                      <w:color w:val="auto"/>
                      <w:sz w:val="21"/>
                      <w:szCs w:val="21"/>
                      <w:u w:val="none" w:color="auto"/>
                    </w:rPr>
                  </w:pPr>
                </w:p>
              </w:tc>
              <w:tc>
                <w:tcPr>
                  <w:tcW w:w="1035" w:type="dxa"/>
                  <w:vMerge w:val="continue"/>
                  <w:tcBorders>
                    <w:top w:val="single" w:color="auto" w:sz="6" w:space="0"/>
                    <w:left w:val="single" w:color="auto" w:sz="6" w:space="0"/>
                    <w:bottom w:val="single" w:color="auto" w:sz="6" w:space="0"/>
                    <w:right w:val="single" w:color="auto" w:sz="6" w:space="0"/>
                  </w:tcBorders>
                  <w:noWrap w:val="0"/>
                  <w:vAlign w:val="center"/>
                </w:tcPr>
                <w:p w14:paraId="689ECC09">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b/>
                      <w:color w:val="auto"/>
                      <w:sz w:val="21"/>
                      <w:szCs w:val="21"/>
                      <w:u w:val="none" w:color="auto"/>
                    </w:rPr>
                  </w:pPr>
                </w:p>
              </w:tc>
              <w:tc>
                <w:tcPr>
                  <w:tcW w:w="870" w:type="dxa"/>
                  <w:vMerge w:val="continue"/>
                  <w:tcBorders>
                    <w:top w:val="single" w:color="auto" w:sz="6" w:space="0"/>
                    <w:left w:val="single" w:color="auto" w:sz="6" w:space="0"/>
                    <w:bottom w:val="single" w:color="auto" w:sz="6" w:space="0"/>
                    <w:right w:val="single" w:color="auto" w:sz="6" w:space="0"/>
                  </w:tcBorders>
                  <w:noWrap w:val="0"/>
                  <w:vAlign w:val="center"/>
                </w:tcPr>
                <w:p w14:paraId="3BBC39DD">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b/>
                      <w:color w:val="auto"/>
                      <w:sz w:val="21"/>
                      <w:szCs w:val="21"/>
                      <w:u w:val="none" w:color="auto"/>
                    </w:rPr>
                  </w:pPr>
                </w:p>
              </w:tc>
              <w:tc>
                <w:tcPr>
                  <w:tcW w:w="1275" w:type="dxa"/>
                  <w:vMerge w:val="continue"/>
                  <w:tcBorders>
                    <w:top w:val="single" w:color="auto" w:sz="6" w:space="0"/>
                    <w:left w:val="single" w:color="auto" w:sz="6" w:space="0"/>
                    <w:bottom w:val="single" w:color="auto" w:sz="6" w:space="0"/>
                    <w:right w:val="single" w:color="auto" w:sz="6" w:space="0"/>
                  </w:tcBorders>
                  <w:noWrap w:val="0"/>
                  <w:vAlign w:val="center"/>
                </w:tcPr>
                <w:p w14:paraId="052BDE3B">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b/>
                      <w:color w:val="auto"/>
                      <w:sz w:val="21"/>
                      <w:szCs w:val="21"/>
                      <w:u w:val="none" w:color="auto"/>
                    </w:rPr>
                  </w:pPr>
                </w:p>
              </w:tc>
              <w:tc>
                <w:tcPr>
                  <w:tcW w:w="1425" w:type="dxa"/>
                  <w:tcBorders>
                    <w:top w:val="single" w:color="auto" w:sz="6" w:space="0"/>
                    <w:left w:val="single" w:color="auto" w:sz="6" w:space="0"/>
                    <w:bottom w:val="single" w:color="auto" w:sz="6" w:space="0"/>
                    <w:right w:val="single" w:color="auto" w:sz="6" w:space="0"/>
                  </w:tcBorders>
                  <w:noWrap w:val="0"/>
                  <w:vAlign w:val="center"/>
                </w:tcPr>
                <w:p w14:paraId="4A77D6B1">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eastAsiaTheme="minorEastAsia"/>
                      <w:b/>
                      <w:color w:val="auto"/>
                      <w:sz w:val="21"/>
                      <w:szCs w:val="21"/>
                      <w:u w:val="none" w:color="auto"/>
                    </w:rPr>
                  </w:pPr>
                  <w:r>
                    <w:rPr>
                      <w:rFonts w:ascii="宋体" w:hAnsi="宋体" w:eastAsia="宋体"/>
                      <w:b w:val="0"/>
                      <w:color w:val="auto"/>
                      <w:sz w:val="23"/>
                      <w:szCs w:val="23"/>
                      <w:u w:val="none" w:color="auto"/>
                    </w:rPr>
                    <w:t>H</w:t>
                  </w:r>
                  <w:r>
                    <w:rPr>
                      <w:rFonts w:ascii="宋体" w:hAnsi="宋体" w:eastAsia="宋体"/>
                      <w:b w:val="0"/>
                      <w:color w:val="auto"/>
                      <w:sz w:val="23"/>
                      <w:szCs w:val="23"/>
                      <w:u w:val="none" w:color="auto"/>
                      <w:vertAlign w:val="subscript"/>
                    </w:rPr>
                    <w:t>2</w:t>
                  </w:r>
                  <w:r>
                    <w:rPr>
                      <w:rFonts w:ascii="宋体" w:hAnsi="宋体" w:eastAsia="宋体"/>
                      <w:b w:val="0"/>
                      <w:color w:val="auto"/>
                      <w:sz w:val="23"/>
                      <w:szCs w:val="23"/>
                      <w:u w:val="none" w:color="auto"/>
                    </w:rPr>
                    <w:t>S</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6F9CAFA9">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eastAsiaTheme="minorEastAsia"/>
                      <w:b/>
                      <w:color w:val="auto"/>
                      <w:sz w:val="21"/>
                      <w:szCs w:val="21"/>
                      <w:u w:val="none" w:color="auto"/>
                    </w:rPr>
                  </w:pPr>
                  <w:r>
                    <w:rPr>
                      <w:rFonts w:ascii="宋体" w:hAnsi="宋体" w:eastAsia="宋体"/>
                      <w:b w:val="0"/>
                      <w:color w:val="auto"/>
                      <w:sz w:val="23"/>
                      <w:szCs w:val="23"/>
                      <w:u w:val="none" w:color="auto"/>
                    </w:rPr>
                    <w:t>NH</w:t>
                  </w:r>
                  <w:r>
                    <w:rPr>
                      <w:rFonts w:ascii="宋体" w:hAnsi="宋体" w:eastAsia="宋体"/>
                      <w:b w:val="0"/>
                      <w:color w:val="auto"/>
                      <w:sz w:val="23"/>
                      <w:szCs w:val="23"/>
                      <w:u w:val="none" w:color="auto"/>
                      <w:vertAlign w:val="subscript"/>
                    </w:rPr>
                    <w:t>3</w:t>
                  </w:r>
                </w:p>
              </w:tc>
            </w:tr>
            <w:tr w14:paraId="65C23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55" w:type="dxa"/>
                  <w:tcBorders>
                    <w:top w:val="single" w:color="auto" w:sz="6" w:space="0"/>
                    <w:left w:val="single" w:color="auto" w:sz="6" w:space="0"/>
                    <w:bottom w:val="single" w:color="auto" w:sz="6" w:space="0"/>
                    <w:right w:val="single" w:color="auto" w:sz="6" w:space="0"/>
                  </w:tcBorders>
                  <w:noWrap w:val="0"/>
                  <w:vAlign w:val="center"/>
                </w:tcPr>
                <w:p w14:paraId="5E4DB5E0">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eastAsiaTheme="minorEastAsia"/>
                      <w:color w:val="auto"/>
                      <w:sz w:val="21"/>
                      <w:szCs w:val="21"/>
                      <w:u w:val="none" w:color="auto"/>
                    </w:rPr>
                  </w:pPr>
                  <w:r>
                    <w:rPr>
                      <w:rFonts w:hint="default" w:ascii="Times New Roman" w:hAnsi="Times New Roman" w:cs="Times New Roman" w:eastAsiaTheme="minorEastAsia"/>
                      <w:color w:val="auto"/>
                      <w:sz w:val="21"/>
                      <w:szCs w:val="21"/>
                      <w:u w:val="none" w:color="auto"/>
                    </w:rPr>
                    <w:t>1</w:t>
                  </w:r>
                </w:p>
              </w:tc>
              <w:tc>
                <w:tcPr>
                  <w:tcW w:w="1469" w:type="dxa"/>
                  <w:tcBorders>
                    <w:top w:val="single" w:color="auto" w:sz="6" w:space="0"/>
                    <w:left w:val="single" w:color="auto" w:sz="6" w:space="0"/>
                    <w:bottom w:val="single" w:color="auto" w:sz="6" w:space="0"/>
                    <w:right w:val="single" w:color="auto" w:sz="6" w:space="0"/>
                  </w:tcBorders>
                  <w:noWrap w:val="0"/>
                  <w:vAlign w:val="center"/>
                </w:tcPr>
                <w:p w14:paraId="7B16546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eastAsiaTheme="minorEastAsia"/>
                      <w:color w:val="auto"/>
                      <w:sz w:val="21"/>
                      <w:szCs w:val="21"/>
                      <w:u w:val="none" w:color="auto"/>
                      <w:lang w:val="en-US" w:eastAsia="zh-CN"/>
                    </w:rPr>
                  </w:pPr>
                  <w:r>
                    <w:rPr>
                      <w:rFonts w:hint="eastAsia" w:cs="Times New Roman" w:eastAsiaTheme="minorEastAsia"/>
                      <w:color w:val="auto"/>
                      <w:sz w:val="21"/>
                      <w:szCs w:val="21"/>
                      <w:u w:val="none" w:color="auto"/>
                      <w:lang w:val="en-US" w:eastAsia="zh-CN"/>
                    </w:rPr>
                    <w:t>地埋式污水处理站</w:t>
                  </w:r>
                </w:p>
              </w:tc>
              <w:tc>
                <w:tcPr>
                  <w:tcW w:w="1174" w:type="dxa"/>
                  <w:tcBorders>
                    <w:top w:val="single" w:color="auto" w:sz="6" w:space="0"/>
                    <w:left w:val="single" w:color="auto" w:sz="6" w:space="0"/>
                    <w:bottom w:val="single" w:color="auto" w:sz="6" w:space="0"/>
                    <w:right w:val="single" w:color="auto" w:sz="6" w:space="0"/>
                  </w:tcBorders>
                  <w:noWrap w:val="0"/>
                  <w:vAlign w:val="center"/>
                </w:tcPr>
                <w:p w14:paraId="30AB59AB">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color w:val="auto"/>
                      <w:sz w:val="21"/>
                      <w:szCs w:val="21"/>
                      <w:u w:val="none" w:color="auto"/>
                      <w:lang w:val="en-US" w:eastAsia="zh-CN"/>
                    </w:rPr>
                  </w:pPr>
                  <w:r>
                    <w:rPr>
                      <w:rFonts w:hint="eastAsia" w:ascii="Times New Roman" w:hAnsi="Times New Roman" w:cs="Times New Roman" w:eastAsiaTheme="minorEastAsia"/>
                      <w:color w:val="auto"/>
                      <w:sz w:val="21"/>
                      <w:szCs w:val="21"/>
                      <w:u w:val="none" w:color="auto"/>
                      <w:lang w:val="en-US" w:eastAsia="zh-CN"/>
                    </w:rPr>
                    <w:t>83</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6D67D58A">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color w:val="auto"/>
                      <w:sz w:val="21"/>
                      <w:szCs w:val="21"/>
                      <w:u w:val="none" w:color="auto"/>
                      <w:lang w:val="en-US" w:eastAsia="zh-CN"/>
                    </w:rPr>
                  </w:pPr>
                  <w:r>
                    <w:rPr>
                      <w:rFonts w:hint="eastAsia" w:ascii="Times New Roman" w:hAnsi="Times New Roman" w:cs="Times New Roman" w:eastAsiaTheme="minorEastAsia"/>
                      <w:color w:val="auto"/>
                      <w:sz w:val="21"/>
                      <w:szCs w:val="21"/>
                      <w:u w:val="none" w:color="auto"/>
                      <w:lang w:val="en-US" w:eastAsia="zh-CN"/>
                    </w:rPr>
                    <w:t>8</w:t>
                  </w:r>
                </w:p>
              </w:tc>
              <w:tc>
                <w:tcPr>
                  <w:tcW w:w="870" w:type="dxa"/>
                  <w:tcBorders>
                    <w:top w:val="single" w:color="auto" w:sz="6" w:space="0"/>
                    <w:left w:val="single" w:color="auto" w:sz="6" w:space="0"/>
                    <w:bottom w:val="single" w:color="auto" w:sz="6" w:space="0"/>
                    <w:right w:val="single" w:color="auto" w:sz="6" w:space="0"/>
                  </w:tcBorders>
                  <w:noWrap w:val="0"/>
                  <w:vAlign w:val="center"/>
                </w:tcPr>
                <w:p w14:paraId="5593BC6F">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color w:val="auto"/>
                      <w:sz w:val="21"/>
                      <w:szCs w:val="21"/>
                      <w:u w:val="none" w:color="auto"/>
                      <w:lang w:val="en-US" w:eastAsia="zh-CN"/>
                    </w:rPr>
                  </w:pPr>
                  <w:r>
                    <w:rPr>
                      <w:rFonts w:hint="eastAsia" w:ascii="Times New Roman" w:hAnsi="Times New Roman" w:cs="Times New Roman" w:eastAsiaTheme="minorEastAsia"/>
                      <w:color w:val="auto"/>
                      <w:sz w:val="21"/>
                      <w:szCs w:val="21"/>
                      <w:u w:val="none" w:color="auto"/>
                      <w:lang w:val="en-US" w:eastAsia="zh-CN"/>
                    </w:rPr>
                    <w:t>6</w:t>
                  </w:r>
                </w:p>
              </w:tc>
              <w:tc>
                <w:tcPr>
                  <w:tcW w:w="1275" w:type="dxa"/>
                  <w:tcBorders>
                    <w:top w:val="single" w:color="auto" w:sz="6" w:space="0"/>
                    <w:left w:val="single" w:color="auto" w:sz="6" w:space="0"/>
                    <w:bottom w:val="single" w:color="auto" w:sz="6" w:space="0"/>
                    <w:right w:val="single" w:color="auto" w:sz="6" w:space="0"/>
                  </w:tcBorders>
                  <w:noWrap w:val="0"/>
                  <w:vAlign w:val="center"/>
                </w:tcPr>
                <w:p w14:paraId="2239DC4D">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color w:val="auto"/>
                      <w:sz w:val="21"/>
                      <w:szCs w:val="21"/>
                      <w:u w:val="none" w:color="auto"/>
                      <w:lang w:val="en-US" w:eastAsia="zh-CN"/>
                    </w:rPr>
                  </w:pPr>
                  <w:r>
                    <w:rPr>
                      <w:rFonts w:hint="eastAsia" w:ascii="Times New Roman" w:hAnsi="Times New Roman" w:cs="Times New Roman" w:eastAsiaTheme="minorEastAsia"/>
                      <w:color w:val="auto"/>
                      <w:sz w:val="21"/>
                      <w:szCs w:val="21"/>
                      <w:u w:val="none" w:color="auto"/>
                      <w:lang w:val="en-US" w:eastAsia="zh-CN"/>
                    </w:rPr>
                    <w:t>2.5</w:t>
                  </w:r>
                </w:p>
              </w:tc>
              <w:tc>
                <w:tcPr>
                  <w:tcW w:w="1425" w:type="dxa"/>
                  <w:tcBorders>
                    <w:top w:val="single" w:color="auto" w:sz="6" w:space="0"/>
                    <w:left w:val="single" w:color="auto" w:sz="6" w:space="0"/>
                    <w:bottom w:val="single" w:color="auto" w:sz="6" w:space="0"/>
                    <w:right w:val="single" w:color="auto" w:sz="6" w:space="0"/>
                  </w:tcBorders>
                  <w:noWrap w:val="0"/>
                  <w:vAlign w:val="center"/>
                </w:tcPr>
                <w:p w14:paraId="19761184">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cs="Times New Roman" w:eastAsiaTheme="minorEastAsia"/>
                      <w:color w:val="0000FF"/>
                      <w:sz w:val="21"/>
                      <w:szCs w:val="21"/>
                      <w:u w:val="none" w:color="auto"/>
                      <w:lang w:val="en-US" w:eastAsia="zh-CN"/>
                    </w:rPr>
                  </w:pPr>
                  <w:r>
                    <w:rPr>
                      <w:rFonts w:hint="eastAsia" w:ascii="Times New Roman" w:hAnsi="Times New Roman" w:cs="Times New Roman" w:eastAsiaTheme="minorEastAsia"/>
                      <w:color w:val="0000FF"/>
                      <w:sz w:val="21"/>
                      <w:szCs w:val="21"/>
                      <w:u w:val="none" w:color="auto"/>
                      <w:lang w:val="en-US" w:eastAsia="zh-CN"/>
                    </w:rPr>
                    <w:t>0.000</w:t>
                  </w:r>
                  <w:r>
                    <w:rPr>
                      <w:rFonts w:hint="eastAsia" w:cs="Times New Roman" w:eastAsiaTheme="minorEastAsia"/>
                      <w:color w:val="0000FF"/>
                      <w:sz w:val="21"/>
                      <w:szCs w:val="21"/>
                      <w:u w:val="none" w:color="auto"/>
                      <w:lang w:val="en-US" w:eastAsia="zh-CN"/>
                    </w:rPr>
                    <w:t>2</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2681911B">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color w:val="0000FF"/>
                      <w:sz w:val="21"/>
                      <w:szCs w:val="21"/>
                      <w:u w:val="none" w:color="auto"/>
                      <w:lang w:val="en-US" w:eastAsia="zh-CN"/>
                    </w:rPr>
                  </w:pPr>
                  <w:r>
                    <w:rPr>
                      <w:rFonts w:hint="eastAsia" w:ascii="Times New Roman" w:hAnsi="Times New Roman" w:cs="Times New Roman" w:eastAsiaTheme="minorEastAsia"/>
                      <w:color w:val="0000FF"/>
                      <w:sz w:val="21"/>
                      <w:szCs w:val="21"/>
                      <w:u w:val="none" w:color="auto"/>
                      <w:lang w:val="en-US" w:eastAsia="zh-CN"/>
                    </w:rPr>
                    <w:t>0.00</w:t>
                  </w:r>
                  <w:r>
                    <w:rPr>
                      <w:rFonts w:hint="eastAsia" w:cs="Times New Roman" w:eastAsiaTheme="minorEastAsia"/>
                      <w:color w:val="0000FF"/>
                      <w:sz w:val="21"/>
                      <w:szCs w:val="21"/>
                      <w:u w:val="none" w:color="auto"/>
                      <w:lang w:val="en-US" w:eastAsia="zh-CN"/>
                    </w:rPr>
                    <w:t>50</w:t>
                  </w:r>
                </w:p>
              </w:tc>
            </w:tr>
          </w:tbl>
          <w:p w14:paraId="17E136FA">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eastAsia"/>
                <w:color w:val="auto"/>
                <w:sz w:val="24"/>
                <w:u w:val="none" w:color="auto"/>
                <w:lang w:val="en-US" w:eastAsia="zh-CN"/>
              </w:rPr>
            </w:pPr>
            <w:r>
              <w:rPr>
                <w:rFonts w:hint="eastAsia"/>
                <w:color w:val="auto"/>
                <w:sz w:val="24"/>
                <w:u w:val="none" w:color="auto"/>
                <w:lang w:val="en-US" w:eastAsia="zh-CN"/>
              </w:rPr>
              <w:t>估算结果如下：</w:t>
            </w:r>
          </w:p>
          <w:p w14:paraId="69D2DA4E">
            <w:pPr>
              <w:pStyle w:val="10"/>
              <w:numPr>
                <w:ilvl w:val="0"/>
                <w:numId w:val="3"/>
              </w:numPr>
              <w:ind w:left="0" w:firstLine="0" w:firstLineChars="0"/>
              <w:jc w:val="center"/>
              <w:rPr>
                <w:rFonts w:hint="eastAsia" w:ascii="黑体" w:hAnsi="黑体" w:eastAsia="黑体"/>
                <w:b w:val="0"/>
                <w:color w:val="auto"/>
                <w:u w:val="none" w:color="auto"/>
                <w:lang w:val="en-US" w:eastAsia="zh-CN"/>
              </w:rPr>
            </w:pPr>
            <w:r>
              <w:rPr>
                <w:rFonts w:hint="eastAsia" w:ascii="黑体" w:hAnsi="黑体" w:eastAsia="黑体"/>
                <w:b w:val="0"/>
                <w:color w:val="auto"/>
                <w:u w:val="none" w:color="auto"/>
                <w:lang w:val="en-US" w:eastAsia="zh-CN"/>
              </w:rPr>
              <w:t xml:space="preserve"> P</w:t>
            </w:r>
            <w:r>
              <w:rPr>
                <w:rFonts w:hint="eastAsia" w:ascii="黑体" w:hAnsi="黑体" w:eastAsia="黑体"/>
                <w:b w:val="0"/>
                <w:color w:val="auto"/>
                <w:u w:val="none" w:color="auto"/>
                <w:vertAlign w:val="subscript"/>
                <w:lang w:val="en-US" w:eastAsia="zh-CN"/>
              </w:rPr>
              <w:t>max</w:t>
            </w:r>
            <w:r>
              <w:rPr>
                <w:rFonts w:hint="eastAsia" w:ascii="黑体" w:hAnsi="黑体" w:eastAsia="黑体"/>
                <w:b w:val="0"/>
                <w:color w:val="auto"/>
                <w:u w:val="none" w:color="auto"/>
                <w:lang w:val="en-US" w:eastAsia="zh-CN"/>
              </w:rPr>
              <w:t>和D</w:t>
            </w:r>
            <w:r>
              <w:rPr>
                <w:rFonts w:hint="eastAsia" w:ascii="黑体" w:hAnsi="黑体" w:eastAsia="黑体"/>
                <w:b w:val="0"/>
                <w:color w:val="auto"/>
                <w:u w:val="none" w:color="auto"/>
                <w:vertAlign w:val="subscript"/>
                <w:lang w:val="en-US" w:eastAsia="zh-CN"/>
              </w:rPr>
              <w:t>10%</w:t>
            </w:r>
            <w:r>
              <w:rPr>
                <w:rFonts w:hint="eastAsia" w:ascii="黑体" w:hAnsi="黑体" w:eastAsia="黑体"/>
                <w:b w:val="0"/>
                <w:color w:val="auto"/>
                <w:u w:val="none" w:color="auto"/>
                <w:lang w:val="en-US" w:eastAsia="zh-CN"/>
              </w:rPr>
              <w:t>预测和计算结果一览表</w:t>
            </w:r>
          </w:p>
          <w:tbl>
            <w:tblPr>
              <w:tblStyle w:val="22"/>
              <w:tblW w:w="9071"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511"/>
              <w:gridCol w:w="1512"/>
              <w:gridCol w:w="1512"/>
              <w:gridCol w:w="1512"/>
              <w:gridCol w:w="1512"/>
              <w:gridCol w:w="1512"/>
            </w:tblGrid>
            <w:tr w14:paraId="3DD0B8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jc w:val="center"/>
              </w:trPr>
              <w:tc>
                <w:tcPr>
                  <w:tcW w:w="0" w:type="dxa"/>
                  <w:vAlign w:val="center"/>
                </w:tcPr>
                <w:p w14:paraId="11F9A1A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关心</w:t>
                  </w:r>
                </w:p>
              </w:tc>
              <w:tc>
                <w:tcPr>
                  <w:tcW w:w="0" w:type="dxa"/>
                  <w:vAlign w:val="center"/>
                </w:tcPr>
                <w:p w14:paraId="409820A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eastAsia="宋体" w:cs="Times New Roman"/>
                      <w:b w:val="0"/>
                      <w:color w:val="auto"/>
                      <w:sz w:val="21"/>
                      <w:szCs w:val="21"/>
                      <w:u w:val="none" w:color="auto"/>
                    </w:rPr>
                    <w:t>评价因子</w:t>
                  </w:r>
                </w:p>
              </w:tc>
              <w:tc>
                <w:tcPr>
                  <w:tcW w:w="0" w:type="dxa"/>
                  <w:vAlign w:val="center"/>
                </w:tcPr>
                <w:p w14:paraId="7D90315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eastAsia="宋体" w:cs="Times New Roman"/>
                      <w:b w:val="0"/>
                      <w:color w:val="auto"/>
                      <w:sz w:val="21"/>
                      <w:szCs w:val="21"/>
                      <w:u w:val="none" w:color="auto"/>
                    </w:rPr>
                    <w:t>评价标准(μg/m³)</w:t>
                  </w:r>
                </w:p>
              </w:tc>
              <w:tc>
                <w:tcPr>
                  <w:tcW w:w="0" w:type="dxa"/>
                  <w:vAlign w:val="center"/>
                </w:tcPr>
                <w:p w14:paraId="04AE484F">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eastAsia="宋体" w:cs="Times New Roman"/>
                      <w:b w:val="0"/>
                      <w:color w:val="auto"/>
                      <w:sz w:val="21"/>
                      <w:szCs w:val="21"/>
                      <w:u w:val="none" w:color="auto"/>
                    </w:rPr>
                    <w:t>C</w:t>
                  </w:r>
                  <w:r>
                    <w:rPr>
                      <w:rFonts w:hint="default" w:ascii="Times New Roman" w:hAnsi="Times New Roman" w:eastAsia="宋体" w:cs="Times New Roman"/>
                      <w:b w:val="0"/>
                      <w:color w:val="auto"/>
                      <w:sz w:val="21"/>
                      <w:szCs w:val="21"/>
                      <w:u w:val="none" w:color="auto"/>
                      <w:vertAlign w:val="subscript"/>
                    </w:rPr>
                    <w:t>max</w:t>
                  </w:r>
                  <w:r>
                    <w:rPr>
                      <w:rFonts w:hint="default" w:ascii="Times New Roman" w:hAnsi="Times New Roman" w:eastAsia="宋体" w:cs="Times New Roman"/>
                      <w:b w:val="0"/>
                      <w:color w:val="auto"/>
                      <w:sz w:val="21"/>
                      <w:szCs w:val="21"/>
                      <w:u w:val="none" w:color="auto"/>
                    </w:rPr>
                    <w:t>(μg/m³)</w:t>
                  </w:r>
                </w:p>
              </w:tc>
              <w:tc>
                <w:tcPr>
                  <w:tcW w:w="0" w:type="dxa"/>
                  <w:vAlign w:val="center"/>
                </w:tcPr>
                <w:p w14:paraId="4362A2D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eastAsia="宋体" w:cs="Times New Roman"/>
                      <w:b w:val="0"/>
                      <w:color w:val="auto"/>
                      <w:sz w:val="21"/>
                      <w:szCs w:val="21"/>
                      <w:u w:val="none" w:color="auto"/>
                    </w:rPr>
                    <w:t>P</w:t>
                  </w:r>
                  <w:r>
                    <w:rPr>
                      <w:rFonts w:hint="default" w:ascii="Times New Roman" w:hAnsi="Times New Roman" w:eastAsia="宋体" w:cs="Times New Roman"/>
                      <w:b w:val="0"/>
                      <w:color w:val="auto"/>
                      <w:sz w:val="21"/>
                      <w:szCs w:val="21"/>
                      <w:u w:val="none" w:color="auto"/>
                      <w:vertAlign w:val="subscript"/>
                    </w:rPr>
                    <w:t>max</w:t>
                  </w:r>
                  <w:r>
                    <w:rPr>
                      <w:rFonts w:hint="default" w:ascii="Times New Roman" w:hAnsi="Times New Roman" w:eastAsia="宋体" w:cs="Times New Roman"/>
                      <w:b w:val="0"/>
                      <w:color w:val="auto"/>
                      <w:sz w:val="21"/>
                      <w:szCs w:val="21"/>
                      <w:u w:val="none" w:color="auto"/>
                    </w:rPr>
                    <w:t>(%)</w:t>
                  </w:r>
                </w:p>
              </w:tc>
              <w:tc>
                <w:tcPr>
                  <w:tcW w:w="0" w:type="dxa"/>
                  <w:vAlign w:val="center"/>
                </w:tcPr>
                <w:p w14:paraId="1EC02E0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eastAsia="宋体" w:cs="Times New Roman"/>
                      <w:b w:val="0"/>
                      <w:color w:val="auto"/>
                      <w:sz w:val="21"/>
                      <w:szCs w:val="21"/>
                      <w:u w:val="none" w:color="auto"/>
                    </w:rPr>
                    <w:t>D</w:t>
                  </w:r>
                  <w:r>
                    <w:rPr>
                      <w:rFonts w:hint="default" w:ascii="Times New Roman" w:hAnsi="Times New Roman" w:eastAsia="宋体" w:cs="Times New Roman"/>
                      <w:b w:val="0"/>
                      <w:color w:val="auto"/>
                      <w:sz w:val="21"/>
                      <w:szCs w:val="21"/>
                      <w:u w:val="none" w:color="auto"/>
                      <w:vertAlign w:val="subscript"/>
                    </w:rPr>
                    <w:t>10%</w:t>
                  </w:r>
                  <w:r>
                    <w:rPr>
                      <w:rFonts w:hint="default" w:ascii="Times New Roman" w:hAnsi="Times New Roman" w:eastAsia="宋体" w:cs="Times New Roman"/>
                      <w:b w:val="0"/>
                      <w:color w:val="auto"/>
                      <w:sz w:val="21"/>
                      <w:szCs w:val="21"/>
                      <w:u w:val="none" w:color="auto"/>
                    </w:rPr>
                    <w:t>(m)</w:t>
                  </w:r>
                </w:p>
              </w:tc>
            </w:tr>
            <w:tr w14:paraId="4224B8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jc w:val="center"/>
              </w:trPr>
              <w:tc>
                <w:tcPr>
                  <w:tcW w:w="0" w:type="dxa"/>
                  <w:vAlign w:val="center"/>
                </w:tcPr>
                <w:p w14:paraId="2724391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eastAsia="宋体" w:cs="Times New Roman"/>
                      <w:b w:val="0"/>
                      <w:color w:val="auto"/>
                      <w:sz w:val="21"/>
                      <w:szCs w:val="21"/>
                      <w:u w:val="none" w:color="auto"/>
                    </w:rPr>
                    <w:t>矩形面源</w:t>
                  </w:r>
                </w:p>
              </w:tc>
              <w:tc>
                <w:tcPr>
                  <w:tcW w:w="0" w:type="dxa"/>
                  <w:vAlign w:val="center"/>
                </w:tcPr>
                <w:p w14:paraId="34DE287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eastAsia="宋体" w:cs="Times New Roman"/>
                      <w:b w:val="0"/>
                      <w:color w:val="auto"/>
                      <w:sz w:val="21"/>
                      <w:szCs w:val="21"/>
                      <w:u w:val="none" w:color="auto"/>
                    </w:rPr>
                    <w:t>NH</w:t>
                  </w:r>
                  <w:r>
                    <w:rPr>
                      <w:rFonts w:hint="default" w:ascii="Times New Roman" w:hAnsi="Times New Roman" w:eastAsia="宋体" w:cs="Times New Roman"/>
                      <w:b w:val="0"/>
                      <w:color w:val="auto"/>
                      <w:sz w:val="21"/>
                      <w:szCs w:val="21"/>
                      <w:u w:val="none" w:color="auto"/>
                      <w:vertAlign w:val="subscript"/>
                    </w:rPr>
                    <w:t>3</w:t>
                  </w:r>
                </w:p>
              </w:tc>
              <w:tc>
                <w:tcPr>
                  <w:tcW w:w="0" w:type="dxa"/>
                  <w:vAlign w:val="center"/>
                </w:tcPr>
                <w:p w14:paraId="503B0309">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color w:val="0000FF"/>
                      <w:sz w:val="21"/>
                      <w:szCs w:val="21"/>
                      <w:u w:val="none" w:color="auto"/>
                      <w:lang w:val="en-US" w:eastAsia="zh-CN"/>
                    </w:rPr>
                  </w:pPr>
                  <w:r>
                    <w:rPr>
                      <w:rFonts w:hint="eastAsia" w:ascii="Times New Roman" w:hAnsi="Times New Roman" w:cs="Times New Roman" w:eastAsiaTheme="minorEastAsia"/>
                      <w:color w:val="0000FF"/>
                      <w:sz w:val="21"/>
                      <w:szCs w:val="21"/>
                      <w:u w:val="none" w:color="auto"/>
                      <w:lang w:val="en-US" w:eastAsia="zh-CN"/>
                    </w:rPr>
                    <w:t>200.0</w:t>
                  </w:r>
                </w:p>
              </w:tc>
              <w:tc>
                <w:tcPr>
                  <w:tcW w:w="0" w:type="dxa"/>
                  <w:vAlign w:val="center"/>
                </w:tcPr>
                <w:p w14:paraId="771EE48A">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color w:val="0000FF"/>
                      <w:sz w:val="21"/>
                      <w:szCs w:val="21"/>
                      <w:u w:val="none" w:color="auto"/>
                      <w:lang w:val="en-US" w:eastAsia="zh-CN"/>
                    </w:rPr>
                  </w:pPr>
                  <w:r>
                    <w:rPr>
                      <w:rFonts w:hint="eastAsia" w:cs="Times New Roman" w:eastAsiaTheme="minorEastAsia"/>
                      <w:color w:val="0000FF"/>
                      <w:sz w:val="21"/>
                      <w:szCs w:val="21"/>
                      <w:u w:val="none" w:color="auto"/>
                      <w:lang w:val="en-US" w:eastAsia="zh-CN"/>
                    </w:rPr>
                    <w:t>102.2</w:t>
                  </w:r>
                </w:p>
              </w:tc>
              <w:tc>
                <w:tcPr>
                  <w:tcW w:w="0" w:type="dxa"/>
                  <w:vAlign w:val="center"/>
                </w:tcPr>
                <w:p w14:paraId="05F2B9D2">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color w:val="0000FF"/>
                      <w:sz w:val="21"/>
                      <w:szCs w:val="21"/>
                      <w:u w:val="none" w:color="auto"/>
                      <w:lang w:val="en-US" w:eastAsia="zh-CN"/>
                    </w:rPr>
                  </w:pPr>
                  <w:r>
                    <w:rPr>
                      <w:rFonts w:hint="eastAsia" w:cs="Times New Roman" w:eastAsiaTheme="minorEastAsia"/>
                      <w:color w:val="0000FF"/>
                      <w:sz w:val="21"/>
                      <w:szCs w:val="21"/>
                      <w:u w:val="none" w:color="auto"/>
                      <w:lang w:val="en-US" w:eastAsia="zh-CN"/>
                    </w:rPr>
                    <w:t>51.1</w:t>
                  </w:r>
                </w:p>
              </w:tc>
              <w:tc>
                <w:tcPr>
                  <w:tcW w:w="0" w:type="dxa"/>
                  <w:vAlign w:val="center"/>
                </w:tcPr>
                <w:p w14:paraId="54A788C5">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color w:val="0000FF"/>
                      <w:sz w:val="21"/>
                      <w:szCs w:val="21"/>
                      <w:u w:val="none" w:color="auto"/>
                      <w:lang w:val="en-US" w:eastAsia="zh-CN"/>
                    </w:rPr>
                  </w:pPr>
                  <w:r>
                    <w:rPr>
                      <w:rFonts w:hint="eastAsia" w:ascii="Times New Roman" w:hAnsi="Times New Roman" w:cs="Times New Roman" w:eastAsiaTheme="minorEastAsia"/>
                      <w:color w:val="0000FF"/>
                      <w:sz w:val="21"/>
                      <w:szCs w:val="21"/>
                      <w:u w:val="none" w:color="auto"/>
                      <w:lang w:val="en-US" w:eastAsia="zh-CN"/>
                    </w:rPr>
                    <w:t>7</w:t>
                  </w:r>
                  <w:r>
                    <w:rPr>
                      <w:rFonts w:hint="eastAsia" w:cs="Times New Roman" w:eastAsiaTheme="minorEastAsia"/>
                      <w:color w:val="0000FF"/>
                      <w:sz w:val="21"/>
                      <w:szCs w:val="21"/>
                      <w:u w:val="none" w:color="auto"/>
                      <w:lang w:val="en-US" w:eastAsia="zh-CN"/>
                    </w:rPr>
                    <w:t>2</w:t>
                  </w:r>
                  <w:r>
                    <w:rPr>
                      <w:rFonts w:hint="eastAsia" w:ascii="Times New Roman" w:hAnsi="Times New Roman" w:cs="Times New Roman" w:eastAsiaTheme="minorEastAsia"/>
                      <w:color w:val="0000FF"/>
                      <w:sz w:val="21"/>
                      <w:szCs w:val="21"/>
                      <w:u w:val="none" w:color="auto"/>
                      <w:lang w:val="en-US" w:eastAsia="zh-CN"/>
                    </w:rPr>
                    <w:t>.0</w:t>
                  </w:r>
                </w:p>
              </w:tc>
            </w:tr>
            <w:tr w14:paraId="585C76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8" w:hRule="atLeast"/>
                <w:jc w:val="center"/>
              </w:trPr>
              <w:tc>
                <w:tcPr>
                  <w:tcW w:w="0" w:type="dxa"/>
                  <w:vAlign w:val="center"/>
                </w:tcPr>
                <w:p w14:paraId="3BACE4C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eastAsia="宋体" w:cs="Times New Roman"/>
                      <w:b w:val="0"/>
                      <w:color w:val="auto"/>
                      <w:sz w:val="21"/>
                      <w:szCs w:val="21"/>
                      <w:u w:val="none" w:color="auto"/>
                    </w:rPr>
                    <w:t>矩形面源</w:t>
                  </w:r>
                </w:p>
              </w:tc>
              <w:tc>
                <w:tcPr>
                  <w:tcW w:w="0" w:type="dxa"/>
                  <w:vAlign w:val="center"/>
                </w:tcPr>
                <w:p w14:paraId="0F586BE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eastAsia="宋体" w:cs="Times New Roman"/>
                      <w:b w:val="0"/>
                      <w:color w:val="auto"/>
                      <w:sz w:val="21"/>
                      <w:szCs w:val="21"/>
                      <w:u w:val="none" w:color="auto"/>
                    </w:rPr>
                    <w:t>H</w:t>
                  </w:r>
                  <w:r>
                    <w:rPr>
                      <w:rFonts w:hint="default" w:ascii="Times New Roman" w:hAnsi="Times New Roman" w:eastAsia="宋体" w:cs="Times New Roman"/>
                      <w:b w:val="0"/>
                      <w:color w:val="auto"/>
                      <w:sz w:val="21"/>
                      <w:szCs w:val="21"/>
                      <w:u w:val="none" w:color="auto"/>
                      <w:vertAlign w:val="subscript"/>
                    </w:rPr>
                    <w:t>2</w:t>
                  </w:r>
                  <w:r>
                    <w:rPr>
                      <w:rFonts w:hint="default" w:ascii="Times New Roman" w:hAnsi="Times New Roman" w:eastAsia="宋体" w:cs="Times New Roman"/>
                      <w:b w:val="0"/>
                      <w:color w:val="auto"/>
                      <w:sz w:val="21"/>
                      <w:szCs w:val="21"/>
                      <w:u w:val="none" w:color="auto"/>
                    </w:rPr>
                    <w:t>S</w:t>
                  </w:r>
                </w:p>
              </w:tc>
              <w:tc>
                <w:tcPr>
                  <w:tcW w:w="0" w:type="dxa"/>
                  <w:vAlign w:val="center"/>
                </w:tcPr>
                <w:p w14:paraId="4AF9984B">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color w:val="0000FF"/>
                      <w:sz w:val="21"/>
                      <w:szCs w:val="21"/>
                      <w:u w:val="none" w:color="auto"/>
                      <w:lang w:val="en-US" w:eastAsia="zh-CN"/>
                    </w:rPr>
                  </w:pPr>
                  <w:r>
                    <w:rPr>
                      <w:rFonts w:hint="eastAsia" w:ascii="Times New Roman" w:hAnsi="Times New Roman" w:cs="Times New Roman" w:eastAsiaTheme="minorEastAsia"/>
                      <w:color w:val="0000FF"/>
                      <w:sz w:val="21"/>
                      <w:szCs w:val="21"/>
                      <w:u w:val="none" w:color="auto"/>
                      <w:lang w:val="en-US" w:eastAsia="zh-CN"/>
                    </w:rPr>
                    <w:t>10.0</w:t>
                  </w:r>
                </w:p>
              </w:tc>
              <w:tc>
                <w:tcPr>
                  <w:tcW w:w="0" w:type="dxa"/>
                  <w:vAlign w:val="center"/>
                </w:tcPr>
                <w:p w14:paraId="3F02444C">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color w:val="0000FF"/>
                      <w:sz w:val="21"/>
                      <w:szCs w:val="21"/>
                      <w:u w:val="none" w:color="auto"/>
                      <w:lang w:val="en-US" w:eastAsia="zh-CN"/>
                    </w:rPr>
                  </w:pPr>
                  <w:r>
                    <w:rPr>
                      <w:rFonts w:hint="eastAsia" w:ascii="Times New Roman" w:hAnsi="Times New Roman" w:cs="Times New Roman" w:eastAsiaTheme="minorEastAsia"/>
                      <w:color w:val="0000FF"/>
                      <w:sz w:val="21"/>
                      <w:szCs w:val="21"/>
                      <w:u w:val="none" w:color="auto"/>
                      <w:lang w:val="en-US" w:eastAsia="zh-CN"/>
                    </w:rPr>
                    <w:t>5.</w:t>
                  </w:r>
                  <w:r>
                    <w:rPr>
                      <w:rFonts w:hint="eastAsia" w:cs="Times New Roman" w:eastAsiaTheme="minorEastAsia"/>
                      <w:color w:val="0000FF"/>
                      <w:sz w:val="21"/>
                      <w:szCs w:val="21"/>
                      <w:u w:val="none" w:color="auto"/>
                      <w:lang w:val="en-US" w:eastAsia="zh-CN"/>
                    </w:rPr>
                    <w:t>01</w:t>
                  </w:r>
                </w:p>
              </w:tc>
              <w:tc>
                <w:tcPr>
                  <w:tcW w:w="0" w:type="dxa"/>
                  <w:vAlign w:val="center"/>
                </w:tcPr>
                <w:p w14:paraId="7277A504">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color w:val="0000FF"/>
                      <w:sz w:val="21"/>
                      <w:szCs w:val="21"/>
                      <w:u w:val="none" w:color="auto"/>
                      <w:lang w:val="en-US" w:eastAsia="zh-CN"/>
                    </w:rPr>
                  </w:pPr>
                  <w:r>
                    <w:rPr>
                      <w:rFonts w:hint="eastAsia" w:cs="Times New Roman" w:eastAsiaTheme="minorEastAsia"/>
                      <w:color w:val="0000FF"/>
                      <w:sz w:val="21"/>
                      <w:szCs w:val="21"/>
                      <w:u w:val="none" w:color="auto"/>
                      <w:lang w:val="en-US" w:eastAsia="zh-CN"/>
                    </w:rPr>
                    <w:t>50.1</w:t>
                  </w:r>
                </w:p>
              </w:tc>
              <w:tc>
                <w:tcPr>
                  <w:tcW w:w="0" w:type="dxa"/>
                  <w:vAlign w:val="center"/>
                </w:tcPr>
                <w:p w14:paraId="552123F6">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eastAsiaTheme="minorEastAsia"/>
                      <w:color w:val="0000FF"/>
                      <w:sz w:val="21"/>
                      <w:szCs w:val="21"/>
                      <w:u w:val="none" w:color="auto"/>
                      <w:lang w:val="en-US" w:eastAsia="zh-CN"/>
                    </w:rPr>
                  </w:pPr>
                  <w:r>
                    <w:rPr>
                      <w:rFonts w:hint="eastAsia" w:ascii="Times New Roman" w:hAnsi="Times New Roman" w:cs="Times New Roman" w:eastAsiaTheme="minorEastAsia"/>
                      <w:color w:val="0000FF"/>
                      <w:sz w:val="21"/>
                      <w:szCs w:val="21"/>
                      <w:u w:val="none" w:color="auto"/>
                      <w:lang w:val="en-US" w:eastAsia="zh-CN"/>
                    </w:rPr>
                    <w:t>7</w:t>
                  </w:r>
                  <w:r>
                    <w:rPr>
                      <w:rFonts w:hint="eastAsia" w:cs="Times New Roman" w:eastAsiaTheme="minorEastAsia"/>
                      <w:color w:val="0000FF"/>
                      <w:sz w:val="21"/>
                      <w:szCs w:val="21"/>
                      <w:u w:val="none" w:color="auto"/>
                      <w:lang w:val="en-US" w:eastAsia="zh-CN"/>
                    </w:rPr>
                    <w:t>2</w:t>
                  </w:r>
                  <w:r>
                    <w:rPr>
                      <w:rFonts w:hint="eastAsia" w:ascii="Times New Roman" w:hAnsi="Times New Roman" w:cs="Times New Roman" w:eastAsiaTheme="minorEastAsia"/>
                      <w:color w:val="0000FF"/>
                      <w:sz w:val="21"/>
                      <w:szCs w:val="21"/>
                      <w:u w:val="none" w:color="auto"/>
                      <w:lang w:val="en-US" w:eastAsia="zh-CN"/>
                    </w:rPr>
                    <w:t>.0</w:t>
                  </w:r>
                </w:p>
              </w:tc>
            </w:tr>
          </w:tbl>
          <w:p w14:paraId="6B5EF9D8">
            <w:pPr>
              <w:pStyle w:val="29"/>
              <w:rPr>
                <w:rFonts w:hint="default"/>
                <w:color w:val="auto"/>
                <w:u w:val="none" w:color="auto"/>
                <w:lang w:val="en-US" w:eastAsia="zh-CN"/>
              </w:rPr>
            </w:pPr>
          </w:p>
          <w:p w14:paraId="740CC954">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eastAsia"/>
                <w:color w:val="auto"/>
                <w:sz w:val="24"/>
                <w:u w:val="none" w:color="auto"/>
              </w:rPr>
            </w:pPr>
            <w:r>
              <w:rPr>
                <w:rFonts w:hint="eastAsia"/>
                <w:color w:val="auto"/>
                <w:sz w:val="24"/>
                <w:u w:val="none" w:color="auto"/>
                <w:lang w:val="en-US" w:eastAsia="zh-CN"/>
              </w:rPr>
              <w:t>由上表可见</w:t>
            </w:r>
            <w:r>
              <w:rPr>
                <w:color w:val="auto"/>
                <w:sz w:val="24"/>
                <w:highlight w:val="none"/>
                <w:u w:val="none" w:color="auto"/>
              </w:rPr>
              <w:t>，污水处理</w:t>
            </w:r>
            <w:r>
              <w:rPr>
                <w:rFonts w:hint="eastAsia"/>
                <w:color w:val="auto"/>
                <w:sz w:val="24"/>
                <w:highlight w:val="none"/>
                <w:u w:val="none" w:color="auto"/>
              </w:rPr>
              <w:t>排放的</w:t>
            </w:r>
            <w:r>
              <w:rPr>
                <w:color w:val="auto"/>
                <w:sz w:val="24"/>
                <w:highlight w:val="none"/>
                <w:u w:val="none" w:color="auto"/>
              </w:rPr>
              <w:t>氨和硫化氢</w:t>
            </w:r>
            <w:r>
              <w:rPr>
                <w:rFonts w:hint="eastAsia"/>
                <w:color w:val="auto"/>
                <w:sz w:val="24"/>
                <w:highlight w:val="none"/>
                <w:u w:val="none" w:color="auto"/>
              </w:rPr>
              <w:t>的最大落地</w:t>
            </w:r>
            <w:r>
              <w:rPr>
                <w:color w:val="auto"/>
                <w:sz w:val="24"/>
                <w:highlight w:val="none"/>
                <w:u w:val="none" w:color="auto"/>
              </w:rPr>
              <w:t>浓度为</w:t>
            </w:r>
            <w:r>
              <w:rPr>
                <w:rFonts w:hint="eastAsia"/>
                <w:color w:val="0000FF"/>
                <w:sz w:val="24"/>
                <w:highlight w:val="none"/>
                <w:u w:val="none" w:color="auto"/>
                <w:lang w:val="en-US" w:eastAsia="zh-CN"/>
              </w:rPr>
              <w:t>102.200</w:t>
            </w:r>
            <w:r>
              <w:rPr>
                <w:rFonts w:hint="default" w:ascii="Times New Roman" w:hAnsi="Times New Roman" w:eastAsia="宋体" w:cs="Times New Roman"/>
                <w:b w:val="0"/>
                <w:color w:val="0000FF"/>
                <w:sz w:val="21"/>
                <w:szCs w:val="21"/>
                <w:u w:val="none" w:color="auto"/>
              </w:rPr>
              <w:t>μ</w:t>
            </w:r>
            <w:r>
              <w:rPr>
                <w:color w:val="0000FF"/>
                <w:sz w:val="24"/>
                <w:highlight w:val="none"/>
                <w:u w:val="none" w:color="auto"/>
              </w:rPr>
              <w:t>g/m</w:t>
            </w:r>
            <w:r>
              <w:rPr>
                <w:color w:val="0000FF"/>
                <w:sz w:val="24"/>
                <w:highlight w:val="none"/>
                <w:u w:val="none" w:color="auto"/>
                <w:vertAlign w:val="superscript"/>
              </w:rPr>
              <w:t>3</w:t>
            </w:r>
            <w:r>
              <w:rPr>
                <w:color w:val="0000FF"/>
                <w:sz w:val="24"/>
                <w:highlight w:val="none"/>
                <w:u w:val="none" w:color="auto"/>
              </w:rPr>
              <w:t>和</w:t>
            </w:r>
            <w:r>
              <w:rPr>
                <w:rFonts w:hint="eastAsia"/>
                <w:color w:val="0000FF"/>
                <w:sz w:val="24"/>
                <w:highlight w:val="none"/>
                <w:u w:val="none" w:color="auto"/>
                <w:lang w:val="en-US" w:eastAsia="zh-CN"/>
              </w:rPr>
              <w:t>5.01</w:t>
            </w:r>
            <w:r>
              <w:rPr>
                <w:rFonts w:hint="default" w:ascii="Times New Roman" w:hAnsi="Times New Roman" w:eastAsia="宋体" w:cs="Times New Roman"/>
                <w:b w:val="0"/>
                <w:color w:val="0000FF"/>
                <w:sz w:val="21"/>
                <w:szCs w:val="21"/>
                <w:u w:val="none" w:color="auto"/>
              </w:rPr>
              <w:t>μ</w:t>
            </w:r>
            <w:r>
              <w:rPr>
                <w:color w:val="0000FF"/>
                <w:sz w:val="24"/>
                <w:highlight w:val="none"/>
                <w:u w:val="none" w:color="auto"/>
              </w:rPr>
              <w:t>g/m</w:t>
            </w:r>
            <w:r>
              <w:rPr>
                <w:color w:val="0000FF"/>
                <w:sz w:val="24"/>
                <w:highlight w:val="none"/>
                <w:u w:val="none" w:color="auto"/>
                <w:vertAlign w:val="superscript"/>
              </w:rPr>
              <w:t>3</w:t>
            </w:r>
            <w:r>
              <w:rPr>
                <w:color w:val="auto"/>
                <w:sz w:val="24"/>
                <w:highlight w:val="none"/>
                <w:u w:val="none" w:color="auto"/>
              </w:rPr>
              <w:t>，占标率分别为</w:t>
            </w:r>
            <w:r>
              <w:rPr>
                <w:rFonts w:hint="eastAsia"/>
                <w:color w:val="0000FF"/>
                <w:sz w:val="24"/>
                <w:highlight w:val="none"/>
                <w:u w:val="none" w:color="auto"/>
                <w:lang w:val="en-US" w:eastAsia="zh-CN"/>
              </w:rPr>
              <w:t>51.1</w:t>
            </w:r>
            <w:r>
              <w:rPr>
                <w:color w:val="0000FF"/>
                <w:sz w:val="24"/>
                <w:highlight w:val="none"/>
                <w:u w:val="none" w:color="auto"/>
              </w:rPr>
              <w:t>%、</w:t>
            </w:r>
            <w:r>
              <w:rPr>
                <w:rFonts w:hint="eastAsia"/>
                <w:color w:val="0000FF"/>
                <w:sz w:val="24"/>
                <w:highlight w:val="none"/>
                <w:u w:val="none" w:color="auto"/>
                <w:lang w:val="en-US" w:eastAsia="zh-CN"/>
              </w:rPr>
              <w:t>50.1</w:t>
            </w:r>
            <w:r>
              <w:rPr>
                <w:color w:val="0000FF"/>
                <w:sz w:val="24"/>
                <w:highlight w:val="none"/>
                <w:u w:val="none" w:color="auto"/>
              </w:rPr>
              <w:t>%</w:t>
            </w:r>
            <w:r>
              <w:rPr>
                <w:color w:val="auto"/>
                <w:sz w:val="24"/>
                <w:highlight w:val="none"/>
                <w:u w:val="none" w:color="auto"/>
              </w:rPr>
              <w:t>，</w:t>
            </w:r>
            <w:r>
              <w:rPr>
                <w:rFonts w:hint="eastAsia"/>
                <w:color w:val="auto"/>
                <w:sz w:val="24"/>
                <w:u w:val="none" w:color="auto"/>
                <w:lang w:val="en-US" w:eastAsia="zh-CN"/>
              </w:rPr>
              <w:t>上述最大落地浓度同时也小于</w:t>
            </w:r>
            <w:r>
              <w:rPr>
                <w:color w:val="auto"/>
                <w:sz w:val="24"/>
                <w:u w:val="none" w:color="auto"/>
              </w:rPr>
              <w:t>GB18466-2005《医疗机构水污染物排放标准》污水处理站周边大气污染物最高允许浓度</w:t>
            </w:r>
            <w:r>
              <w:rPr>
                <w:rFonts w:hint="eastAsia"/>
                <w:color w:val="auto"/>
                <w:sz w:val="24"/>
                <w:u w:val="none" w:color="auto"/>
                <w:lang w:eastAsia="zh-CN"/>
              </w:rPr>
              <w:t>、</w:t>
            </w:r>
            <w:r>
              <w:rPr>
                <w:rFonts w:hint="eastAsia" w:ascii="Times New Roman" w:hAnsi="Times New Roman" w:eastAsia="宋体" w:cs="Times New Roman"/>
                <w:color w:val="auto"/>
                <w:u w:val="none" w:color="auto"/>
              </w:rPr>
              <w:t>《恶臭污染物排放标准》</w:t>
            </w:r>
            <w:r>
              <w:rPr>
                <w:rFonts w:hint="eastAsia" w:ascii="Times New Roman" w:hAnsi="Times New Roman" w:eastAsia="宋体" w:cs="Times New Roman"/>
                <w:color w:val="auto"/>
                <w:u w:val="none" w:color="auto"/>
                <w:lang w:eastAsia="zh-CN"/>
              </w:rPr>
              <w:t>（</w:t>
            </w:r>
            <w:r>
              <w:rPr>
                <w:rFonts w:hint="eastAsia" w:ascii="Times New Roman" w:hAnsi="Times New Roman" w:eastAsia="宋体" w:cs="Times New Roman"/>
                <w:color w:val="auto"/>
                <w:u w:val="none" w:color="auto"/>
              </w:rPr>
              <w:t>GB14554-93</w:t>
            </w:r>
            <w:r>
              <w:rPr>
                <w:rFonts w:hint="eastAsia" w:ascii="Times New Roman" w:hAnsi="Times New Roman" w:eastAsia="宋体" w:cs="Times New Roman"/>
                <w:color w:val="auto"/>
                <w:u w:val="none" w:color="auto"/>
                <w:lang w:eastAsia="zh-CN"/>
              </w:rPr>
              <w:t>）</w:t>
            </w:r>
            <w:r>
              <w:rPr>
                <w:rFonts w:hint="eastAsia" w:ascii="Times New Roman" w:hAnsi="Times New Roman" w:eastAsia="宋体" w:cs="Times New Roman"/>
                <w:color w:val="auto"/>
                <w:u w:val="none" w:color="auto"/>
                <w:lang w:val="en-US" w:eastAsia="zh-CN"/>
              </w:rPr>
              <w:t>表1</w:t>
            </w:r>
            <w:r>
              <w:rPr>
                <w:rFonts w:hint="eastAsia" w:cs="Times New Roman"/>
                <w:color w:val="auto"/>
                <w:u w:val="none" w:color="auto"/>
                <w:lang w:val="en-US" w:eastAsia="zh-CN"/>
              </w:rPr>
              <w:t>一级场</w:t>
            </w:r>
            <w:r>
              <w:rPr>
                <w:rFonts w:hint="eastAsia" w:ascii="Times New Roman" w:hAnsi="Times New Roman" w:eastAsia="宋体" w:cs="Times New Roman"/>
                <w:color w:val="auto"/>
                <w:u w:val="none" w:color="auto"/>
                <w:lang w:val="en-US" w:eastAsia="zh-CN"/>
              </w:rPr>
              <w:t>界标准限值</w:t>
            </w:r>
            <w:r>
              <w:rPr>
                <w:rFonts w:hint="eastAsia" w:cs="Times New Roman"/>
                <w:color w:val="auto"/>
                <w:u w:val="none" w:color="auto"/>
                <w:lang w:val="en-US" w:eastAsia="zh-CN"/>
              </w:rPr>
              <w:t>（氨：1.0</w:t>
            </w:r>
            <w:r>
              <w:rPr>
                <w:rFonts w:hint="eastAsia" w:ascii="Times New Roman" w:hAnsi="Times New Roman" w:eastAsia="宋体" w:cs="Times New Roman"/>
                <w:b w:val="0"/>
                <w:color w:val="auto"/>
                <w:sz w:val="21"/>
                <w:szCs w:val="21"/>
                <w:u w:val="none" w:color="auto"/>
                <w:lang w:val="en-US" w:eastAsia="zh-CN"/>
              </w:rPr>
              <w:t>m</w:t>
            </w:r>
            <w:r>
              <w:rPr>
                <w:color w:val="auto"/>
                <w:sz w:val="24"/>
                <w:highlight w:val="none"/>
                <w:u w:val="none" w:color="auto"/>
              </w:rPr>
              <w:t>g/m</w:t>
            </w:r>
            <w:r>
              <w:rPr>
                <w:color w:val="auto"/>
                <w:sz w:val="24"/>
                <w:highlight w:val="none"/>
                <w:u w:val="none" w:color="auto"/>
                <w:vertAlign w:val="superscript"/>
              </w:rPr>
              <w:t>3</w:t>
            </w:r>
            <w:r>
              <w:rPr>
                <w:rFonts w:hint="eastAsia" w:cs="Times New Roman"/>
                <w:color w:val="auto"/>
                <w:u w:val="none" w:color="auto"/>
                <w:lang w:val="en-US" w:eastAsia="zh-CN"/>
              </w:rPr>
              <w:t>、硫化氢0.03</w:t>
            </w:r>
            <w:r>
              <w:rPr>
                <w:rFonts w:hint="eastAsia" w:ascii="Times New Roman" w:hAnsi="Times New Roman" w:eastAsia="宋体" w:cs="Times New Roman"/>
                <w:b w:val="0"/>
                <w:color w:val="auto"/>
                <w:sz w:val="21"/>
                <w:szCs w:val="21"/>
                <w:u w:val="none" w:color="auto"/>
                <w:lang w:val="en-US" w:eastAsia="zh-CN"/>
              </w:rPr>
              <w:t>m</w:t>
            </w:r>
            <w:r>
              <w:rPr>
                <w:color w:val="auto"/>
                <w:sz w:val="24"/>
                <w:highlight w:val="none"/>
                <w:u w:val="none" w:color="auto"/>
              </w:rPr>
              <w:t>g/m</w:t>
            </w:r>
            <w:r>
              <w:rPr>
                <w:color w:val="auto"/>
                <w:sz w:val="24"/>
                <w:highlight w:val="none"/>
                <w:u w:val="none" w:color="auto"/>
                <w:vertAlign w:val="superscript"/>
              </w:rPr>
              <w:t>3</w:t>
            </w:r>
            <w:r>
              <w:rPr>
                <w:rFonts w:hint="eastAsia" w:cs="Times New Roman"/>
                <w:color w:val="auto"/>
                <w:u w:val="none" w:color="auto"/>
                <w:lang w:val="en-US" w:eastAsia="zh-CN"/>
              </w:rPr>
              <w:t>），说明项目排放的氨、硫化氢在污水处理站周边的浓度满足</w:t>
            </w:r>
            <w:r>
              <w:rPr>
                <w:color w:val="auto"/>
                <w:sz w:val="24"/>
                <w:u w:val="none" w:color="auto"/>
              </w:rPr>
              <w:t>GB18466-2005《医疗机构水污染物排放标准》污水处理站周边大气污染物最高允许浓度</w:t>
            </w:r>
            <w:r>
              <w:rPr>
                <w:rFonts w:hint="eastAsia"/>
                <w:color w:val="auto"/>
                <w:sz w:val="24"/>
                <w:u w:val="none" w:color="auto"/>
                <w:lang w:eastAsia="zh-CN"/>
              </w:rPr>
              <w:t>，</w:t>
            </w:r>
            <w:r>
              <w:rPr>
                <w:rFonts w:hint="eastAsia"/>
                <w:color w:val="auto"/>
                <w:sz w:val="24"/>
                <w:u w:val="none" w:color="auto"/>
                <w:lang w:val="en-US" w:eastAsia="zh-CN"/>
              </w:rPr>
              <w:t>场界浓度满足</w:t>
            </w:r>
            <w:r>
              <w:rPr>
                <w:rFonts w:hint="eastAsia" w:ascii="Times New Roman" w:hAnsi="Times New Roman" w:eastAsia="宋体" w:cs="Times New Roman"/>
                <w:color w:val="auto"/>
                <w:u w:val="none" w:color="auto"/>
              </w:rPr>
              <w:t>《恶臭污染物排放标准》</w:t>
            </w:r>
            <w:r>
              <w:rPr>
                <w:rFonts w:hint="eastAsia" w:ascii="Times New Roman" w:hAnsi="Times New Roman" w:eastAsia="宋体" w:cs="Times New Roman"/>
                <w:color w:val="auto"/>
                <w:u w:val="none" w:color="auto"/>
                <w:lang w:eastAsia="zh-CN"/>
              </w:rPr>
              <w:t>（</w:t>
            </w:r>
            <w:r>
              <w:rPr>
                <w:rFonts w:hint="eastAsia" w:ascii="Times New Roman" w:hAnsi="Times New Roman" w:eastAsia="宋体" w:cs="Times New Roman"/>
                <w:color w:val="auto"/>
                <w:u w:val="none" w:color="auto"/>
              </w:rPr>
              <w:t>GB14554-93</w:t>
            </w:r>
            <w:r>
              <w:rPr>
                <w:rFonts w:hint="eastAsia" w:ascii="Times New Roman" w:hAnsi="Times New Roman" w:eastAsia="宋体" w:cs="Times New Roman"/>
                <w:color w:val="auto"/>
                <w:u w:val="none" w:color="auto"/>
                <w:lang w:eastAsia="zh-CN"/>
              </w:rPr>
              <w:t>）</w:t>
            </w:r>
            <w:r>
              <w:rPr>
                <w:rFonts w:hint="eastAsia" w:ascii="Times New Roman" w:hAnsi="Times New Roman" w:eastAsia="宋体" w:cs="Times New Roman"/>
                <w:color w:val="auto"/>
                <w:u w:val="none" w:color="auto"/>
                <w:lang w:val="en-US" w:eastAsia="zh-CN"/>
              </w:rPr>
              <w:t>表1</w:t>
            </w:r>
            <w:r>
              <w:rPr>
                <w:rFonts w:hint="eastAsia" w:cs="Times New Roman"/>
                <w:color w:val="auto"/>
                <w:u w:val="none" w:color="auto"/>
                <w:lang w:val="en-US" w:eastAsia="zh-CN"/>
              </w:rPr>
              <w:t>一级场</w:t>
            </w:r>
            <w:r>
              <w:rPr>
                <w:rFonts w:hint="eastAsia" w:ascii="Times New Roman" w:hAnsi="Times New Roman" w:eastAsia="宋体" w:cs="Times New Roman"/>
                <w:color w:val="auto"/>
                <w:u w:val="none" w:color="auto"/>
                <w:lang w:val="en-US" w:eastAsia="zh-CN"/>
              </w:rPr>
              <w:t>界标准限值</w:t>
            </w:r>
            <w:r>
              <w:rPr>
                <w:color w:val="auto"/>
                <w:sz w:val="24"/>
                <w:u w:val="none" w:color="auto"/>
              </w:rPr>
              <w:t>。</w:t>
            </w:r>
          </w:p>
          <w:p w14:paraId="69D32507">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u w:val="none" w:color="auto"/>
                <w:lang w:val="en-US" w:eastAsia="zh-CN"/>
              </w:rPr>
            </w:pPr>
            <w:r>
              <w:rPr>
                <w:rFonts w:hint="eastAsia"/>
                <w:color w:val="auto"/>
                <w:u w:val="none" w:color="auto"/>
                <w:lang w:val="en-US" w:eastAsia="zh-CN"/>
              </w:rPr>
              <w:t>对周边环境保护目标估算结果如下表：</w:t>
            </w:r>
          </w:p>
          <w:p w14:paraId="469417FC">
            <w:pPr>
              <w:pStyle w:val="10"/>
              <w:keepNext w:val="0"/>
              <w:keepLines w:val="0"/>
              <w:pageBreakBefore w:val="0"/>
              <w:widowControl w:val="0"/>
              <w:numPr>
                <w:ilvl w:val="0"/>
                <w:numId w:val="3"/>
              </w:numPr>
              <w:kinsoku/>
              <w:wordWrap/>
              <w:overflowPunct/>
              <w:topLinePunct w:val="0"/>
              <w:autoSpaceDE/>
              <w:autoSpaceDN/>
              <w:bidi w:val="0"/>
              <w:adjustRightInd/>
              <w:snapToGrid/>
              <w:spacing w:before="164" w:beforeLines="50"/>
              <w:ind w:left="0" w:firstLine="0" w:firstLineChars="0"/>
              <w:jc w:val="center"/>
              <w:textAlignment w:val="auto"/>
              <w:rPr>
                <w:rFonts w:hint="default" w:ascii="黑体" w:hAnsi="黑体" w:eastAsia="黑体"/>
                <w:b w:val="0"/>
                <w:color w:val="auto"/>
                <w:u w:val="none" w:color="auto"/>
                <w:lang w:val="en-US" w:eastAsia="zh-CN"/>
              </w:rPr>
            </w:pPr>
            <w:r>
              <w:rPr>
                <w:rFonts w:hint="eastAsia" w:ascii="黑体" w:hAnsi="黑体" w:eastAsia="黑体"/>
                <w:b w:val="0"/>
                <w:color w:val="auto"/>
                <w:u w:val="none" w:color="auto"/>
                <w:lang w:val="en-US" w:eastAsia="zh-CN"/>
              </w:rPr>
              <w:t>周边环境保护目标估算结果表</w:t>
            </w:r>
          </w:p>
          <w:tbl>
            <w:tblPr>
              <w:tblStyle w:val="22"/>
              <w:tblW w:w="89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194"/>
              <w:gridCol w:w="2194"/>
              <w:gridCol w:w="1215"/>
              <w:gridCol w:w="2133"/>
              <w:gridCol w:w="1200"/>
            </w:tblGrid>
            <w:tr w14:paraId="75A5B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19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46C2830">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离散点</w:t>
                  </w:r>
                </w:p>
              </w:tc>
              <w:tc>
                <w:tcPr>
                  <w:tcW w:w="340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779BF9C7">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NH</w:t>
                  </w:r>
                  <w:r>
                    <w:rPr>
                      <w:rStyle w:val="46"/>
                      <w:rFonts w:hint="default" w:ascii="Times New Roman" w:hAnsi="Times New Roman" w:eastAsia="宋体" w:cs="Times New Roman"/>
                      <w:color w:val="auto"/>
                      <w:sz w:val="21"/>
                      <w:szCs w:val="21"/>
                      <w:u w:val="none" w:color="auto"/>
                      <w:vertAlign w:val="subscript"/>
                      <w:lang w:val="en-US" w:eastAsia="zh-CN" w:bidi="ar"/>
                    </w:rPr>
                    <w:t>3</w:t>
                  </w:r>
                </w:p>
              </w:tc>
              <w:tc>
                <w:tcPr>
                  <w:tcW w:w="3333"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7FE53CBB">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H</w:t>
                  </w:r>
                  <w:r>
                    <w:rPr>
                      <w:rStyle w:val="46"/>
                      <w:rFonts w:hint="default" w:ascii="Times New Roman" w:hAnsi="Times New Roman" w:eastAsia="宋体" w:cs="Times New Roman"/>
                      <w:color w:val="auto"/>
                      <w:sz w:val="21"/>
                      <w:szCs w:val="21"/>
                      <w:u w:val="none" w:color="auto"/>
                      <w:vertAlign w:val="subscript"/>
                      <w:lang w:val="en-US" w:eastAsia="zh-CN" w:bidi="ar"/>
                    </w:rPr>
                    <w:t>2</w:t>
                  </w:r>
                  <w:r>
                    <w:rPr>
                      <w:rStyle w:val="45"/>
                      <w:rFonts w:hint="default" w:ascii="Times New Roman" w:hAnsi="Times New Roman" w:eastAsia="宋体" w:cs="Times New Roman"/>
                      <w:color w:val="auto"/>
                      <w:sz w:val="21"/>
                      <w:szCs w:val="21"/>
                      <w:u w:val="none" w:color="auto"/>
                      <w:lang w:val="en-US" w:eastAsia="zh-CN" w:bidi="ar"/>
                    </w:rPr>
                    <w:t>S</w:t>
                  </w:r>
                </w:p>
              </w:tc>
            </w:tr>
            <w:tr w14:paraId="0835E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219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7DD6FD9">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i w:val="0"/>
                      <w:iCs w:val="0"/>
                      <w:color w:val="auto"/>
                      <w:sz w:val="21"/>
                      <w:szCs w:val="21"/>
                      <w:u w:val="none" w:color="auto"/>
                    </w:rPr>
                  </w:pPr>
                </w:p>
              </w:tc>
              <w:tc>
                <w:tcPr>
                  <w:tcW w:w="2194" w:type="dxa"/>
                  <w:tcBorders>
                    <w:top w:val="nil"/>
                    <w:left w:val="single" w:color="000000" w:sz="8" w:space="0"/>
                    <w:bottom w:val="single" w:color="000000" w:sz="8" w:space="0"/>
                    <w:right w:val="single" w:color="000000" w:sz="8" w:space="0"/>
                  </w:tcBorders>
                  <w:shd w:val="clear" w:color="auto" w:fill="auto"/>
                  <w:vAlign w:val="center"/>
                </w:tcPr>
                <w:p w14:paraId="3828CDF9">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最大落地浓度</w:t>
                  </w:r>
                  <w:r>
                    <w:rPr>
                      <w:rStyle w:val="45"/>
                      <w:rFonts w:hint="default" w:ascii="Times New Roman" w:hAnsi="Times New Roman" w:eastAsia="宋体" w:cs="Times New Roman"/>
                      <w:color w:val="auto"/>
                      <w:sz w:val="21"/>
                      <w:szCs w:val="21"/>
                      <w:u w:val="none" w:color="auto"/>
                      <w:lang w:val="en-US" w:eastAsia="zh-CN" w:bidi="ar"/>
                    </w:rPr>
                    <w:t>(μg/m³)</w:t>
                  </w:r>
                </w:p>
              </w:tc>
              <w:tc>
                <w:tcPr>
                  <w:tcW w:w="1215" w:type="dxa"/>
                  <w:tcBorders>
                    <w:top w:val="nil"/>
                    <w:left w:val="single" w:color="000000" w:sz="8" w:space="0"/>
                    <w:bottom w:val="single" w:color="000000" w:sz="8" w:space="0"/>
                    <w:right w:val="single" w:color="000000" w:sz="8" w:space="0"/>
                  </w:tcBorders>
                  <w:shd w:val="clear" w:color="auto" w:fill="auto"/>
                  <w:vAlign w:val="center"/>
                </w:tcPr>
                <w:p w14:paraId="7110007C">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占标率</w:t>
                  </w:r>
                </w:p>
              </w:tc>
              <w:tc>
                <w:tcPr>
                  <w:tcW w:w="21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15CABA">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最大落地浓度</w:t>
                  </w:r>
                  <w:r>
                    <w:rPr>
                      <w:rStyle w:val="45"/>
                      <w:rFonts w:hint="default" w:ascii="Times New Roman" w:hAnsi="Times New Roman" w:eastAsia="宋体" w:cs="Times New Roman"/>
                      <w:color w:val="auto"/>
                      <w:sz w:val="21"/>
                      <w:szCs w:val="21"/>
                      <w:u w:val="none" w:color="auto"/>
                      <w:lang w:val="en-US" w:eastAsia="zh-CN" w:bidi="ar"/>
                    </w:rPr>
                    <w:t>(μg/m³)</w:t>
                  </w:r>
                </w:p>
              </w:tc>
              <w:tc>
                <w:tcPr>
                  <w:tcW w:w="12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47EFCA">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占标率</w:t>
                  </w:r>
                </w:p>
              </w:tc>
            </w:tr>
            <w:tr w14:paraId="7A684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2194" w:type="dxa"/>
                  <w:tcBorders>
                    <w:top w:val="nil"/>
                    <w:left w:val="single" w:color="000000" w:sz="8" w:space="0"/>
                    <w:bottom w:val="single" w:color="000000" w:sz="8" w:space="0"/>
                    <w:right w:val="single" w:color="000000" w:sz="8" w:space="0"/>
                  </w:tcBorders>
                  <w:shd w:val="clear" w:color="auto" w:fill="auto"/>
                  <w:vAlign w:val="center"/>
                </w:tcPr>
                <w:p w14:paraId="504BE7B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九斗村</w:t>
                  </w:r>
                </w:p>
              </w:tc>
              <w:tc>
                <w:tcPr>
                  <w:tcW w:w="2194" w:type="dxa"/>
                  <w:tcBorders>
                    <w:top w:val="nil"/>
                    <w:left w:val="single" w:color="000000" w:sz="8" w:space="0"/>
                    <w:bottom w:val="single" w:color="000000" w:sz="8" w:space="0"/>
                    <w:right w:val="single" w:color="000000" w:sz="8" w:space="0"/>
                  </w:tcBorders>
                  <w:shd w:val="clear" w:color="auto" w:fill="auto"/>
                  <w:vAlign w:val="center"/>
                </w:tcPr>
                <w:p w14:paraId="6FB5B899">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14.271</w:t>
                  </w:r>
                </w:p>
              </w:tc>
              <w:tc>
                <w:tcPr>
                  <w:tcW w:w="1215" w:type="dxa"/>
                  <w:tcBorders>
                    <w:top w:val="nil"/>
                    <w:left w:val="single" w:color="000000" w:sz="8" w:space="0"/>
                    <w:bottom w:val="single" w:color="000000" w:sz="8" w:space="0"/>
                    <w:right w:val="single" w:color="000000" w:sz="8" w:space="0"/>
                  </w:tcBorders>
                  <w:shd w:val="clear" w:color="auto" w:fill="auto"/>
                  <w:vAlign w:val="center"/>
                </w:tcPr>
                <w:p w14:paraId="228CC19B">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7.14%</w:t>
                  </w:r>
                </w:p>
              </w:tc>
              <w:tc>
                <w:tcPr>
                  <w:tcW w:w="2133" w:type="dxa"/>
                  <w:tcBorders>
                    <w:top w:val="nil"/>
                    <w:left w:val="single" w:color="000000" w:sz="8" w:space="0"/>
                    <w:bottom w:val="single" w:color="000000" w:sz="8" w:space="0"/>
                    <w:right w:val="single" w:color="000000" w:sz="8" w:space="0"/>
                  </w:tcBorders>
                  <w:shd w:val="clear" w:color="auto" w:fill="auto"/>
                  <w:vAlign w:val="center"/>
                </w:tcPr>
                <w:p w14:paraId="197F675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0.6587</w:t>
                  </w:r>
                </w:p>
              </w:tc>
              <w:tc>
                <w:tcPr>
                  <w:tcW w:w="1200" w:type="dxa"/>
                  <w:tcBorders>
                    <w:top w:val="nil"/>
                    <w:left w:val="single" w:color="000000" w:sz="8" w:space="0"/>
                    <w:bottom w:val="single" w:color="000000" w:sz="8" w:space="0"/>
                    <w:right w:val="single" w:color="000000" w:sz="8" w:space="0"/>
                  </w:tcBorders>
                  <w:shd w:val="clear" w:color="auto" w:fill="auto"/>
                  <w:vAlign w:val="center"/>
                </w:tcPr>
                <w:p w14:paraId="708BFF1F">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6.59%</w:t>
                  </w:r>
                </w:p>
              </w:tc>
            </w:tr>
            <w:tr w14:paraId="2AE63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194" w:type="dxa"/>
                  <w:tcBorders>
                    <w:top w:val="nil"/>
                    <w:left w:val="single" w:color="000000" w:sz="8" w:space="0"/>
                    <w:bottom w:val="single" w:color="000000" w:sz="8" w:space="0"/>
                    <w:right w:val="single" w:color="000000" w:sz="8" w:space="0"/>
                  </w:tcBorders>
                  <w:shd w:val="clear" w:color="auto" w:fill="auto"/>
                  <w:vAlign w:val="center"/>
                </w:tcPr>
                <w:p w14:paraId="6D385AA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大雷坪</w:t>
                  </w:r>
                </w:p>
              </w:tc>
              <w:tc>
                <w:tcPr>
                  <w:tcW w:w="2194" w:type="dxa"/>
                  <w:tcBorders>
                    <w:top w:val="nil"/>
                    <w:left w:val="single" w:color="000000" w:sz="8" w:space="0"/>
                    <w:bottom w:val="single" w:color="000000" w:sz="8" w:space="0"/>
                    <w:right w:val="single" w:color="000000" w:sz="8" w:space="0"/>
                  </w:tcBorders>
                  <w:shd w:val="clear" w:color="auto" w:fill="auto"/>
                  <w:vAlign w:val="center"/>
                </w:tcPr>
                <w:p w14:paraId="18F2CE2E">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2.3115</w:t>
                  </w:r>
                </w:p>
              </w:tc>
              <w:tc>
                <w:tcPr>
                  <w:tcW w:w="1215" w:type="dxa"/>
                  <w:tcBorders>
                    <w:top w:val="nil"/>
                    <w:left w:val="single" w:color="000000" w:sz="8" w:space="0"/>
                    <w:bottom w:val="single" w:color="000000" w:sz="8" w:space="0"/>
                    <w:right w:val="single" w:color="000000" w:sz="8" w:space="0"/>
                  </w:tcBorders>
                  <w:shd w:val="clear" w:color="auto" w:fill="auto"/>
                  <w:vAlign w:val="center"/>
                </w:tcPr>
                <w:p w14:paraId="2E218C27">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1.16%</w:t>
                  </w:r>
                </w:p>
              </w:tc>
              <w:tc>
                <w:tcPr>
                  <w:tcW w:w="2133" w:type="dxa"/>
                  <w:tcBorders>
                    <w:top w:val="nil"/>
                    <w:left w:val="single" w:color="000000" w:sz="8" w:space="0"/>
                    <w:bottom w:val="single" w:color="000000" w:sz="8" w:space="0"/>
                    <w:right w:val="single" w:color="000000" w:sz="8" w:space="0"/>
                  </w:tcBorders>
                  <w:shd w:val="clear" w:color="auto" w:fill="auto"/>
                  <w:vAlign w:val="center"/>
                </w:tcPr>
                <w:p w14:paraId="39FEDE2F">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0.1067</w:t>
                  </w:r>
                </w:p>
              </w:tc>
              <w:tc>
                <w:tcPr>
                  <w:tcW w:w="1200" w:type="dxa"/>
                  <w:tcBorders>
                    <w:top w:val="nil"/>
                    <w:left w:val="single" w:color="000000" w:sz="8" w:space="0"/>
                    <w:bottom w:val="single" w:color="000000" w:sz="8" w:space="0"/>
                    <w:right w:val="single" w:color="000000" w:sz="8" w:space="0"/>
                  </w:tcBorders>
                  <w:shd w:val="clear" w:color="auto" w:fill="auto"/>
                  <w:vAlign w:val="center"/>
                </w:tcPr>
                <w:p w14:paraId="4D5ACE8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1.07%</w:t>
                  </w:r>
                </w:p>
              </w:tc>
            </w:tr>
            <w:tr w14:paraId="459D0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2194" w:type="dxa"/>
                  <w:tcBorders>
                    <w:top w:val="nil"/>
                    <w:left w:val="single" w:color="000000" w:sz="8" w:space="0"/>
                    <w:bottom w:val="single" w:color="000000" w:sz="8" w:space="0"/>
                    <w:right w:val="single" w:color="000000" w:sz="8" w:space="0"/>
                  </w:tcBorders>
                  <w:shd w:val="clear" w:color="auto" w:fill="auto"/>
                  <w:vAlign w:val="center"/>
                </w:tcPr>
                <w:p w14:paraId="7B738417">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四厦村</w:t>
                  </w:r>
                </w:p>
              </w:tc>
              <w:tc>
                <w:tcPr>
                  <w:tcW w:w="2194" w:type="dxa"/>
                  <w:tcBorders>
                    <w:top w:val="nil"/>
                    <w:left w:val="single" w:color="000000" w:sz="8" w:space="0"/>
                    <w:bottom w:val="single" w:color="000000" w:sz="8" w:space="0"/>
                    <w:right w:val="single" w:color="000000" w:sz="8" w:space="0"/>
                  </w:tcBorders>
                  <w:shd w:val="clear" w:color="auto" w:fill="auto"/>
                  <w:vAlign w:val="center"/>
                </w:tcPr>
                <w:p w14:paraId="30B432F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1.2148</w:t>
                  </w:r>
                </w:p>
              </w:tc>
              <w:tc>
                <w:tcPr>
                  <w:tcW w:w="1215" w:type="dxa"/>
                  <w:tcBorders>
                    <w:top w:val="nil"/>
                    <w:left w:val="single" w:color="000000" w:sz="8" w:space="0"/>
                    <w:bottom w:val="single" w:color="000000" w:sz="8" w:space="0"/>
                    <w:right w:val="single" w:color="000000" w:sz="8" w:space="0"/>
                  </w:tcBorders>
                  <w:shd w:val="clear" w:color="auto" w:fill="auto"/>
                  <w:vAlign w:val="center"/>
                </w:tcPr>
                <w:p w14:paraId="4D0862B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0.61%</w:t>
                  </w:r>
                </w:p>
              </w:tc>
              <w:tc>
                <w:tcPr>
                  <w:tcW w:w="2133" w:type="dxa"/>
                  <w:tcBorders>
                    <w:top w:val="nil"/>
                    <w:left w:val="single" w:color="000000" w:sz="8" w:space="0"/>
                    <w:bottom w:val="single" w:color="000000" w:sz="8" w:space="0"/>
                    <w:right w:val="single" w:color="000000" w:sz="8" w:space="0"/>
                  </w:tcBorders>
                  <w:shd w:val="clear" w:color="auto" w:fill="auto"/>
                  <w:vAlign w:val="center"/>
                </w:tcPr>
                <w:p w14:paraId="7810F3B7">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0.0561</w:t>
                  </w:r>
                </w:p>
              </w:tc>
              <w:tc>
                <w:tcPr>
                  <w:tcW w:w="1200" w:type="dxa"/>
                  <w:tcBorders>
                    <w:top w:val="nil"/>
                    <w:left w:val="single" w:color="000000" w:sz="8" w:space="0"/>
                    <w:bottom w:val="single" w:color="000000" w:sz="8" w:space="0"/>
                    <w:right w:val="single" w:color="000000" w:sz="8" w:space="0"/>
                  </w:tcBorders>
                  <w:shd w:val="clear" w:color="auto" w:fill="auto"/>
                  <w:vAlign w:val="center"/>
                </w:tcPr>
                <w:p w14:paraId="3C71E4B7">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0.56%</w:t>
                  </w:r>
                </w:p>
              </w:tc>
            </w:tr>
            <w:tr w14:paraId="651C8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194" w:type="dxa"/>
                  <w:tcBorders>
                    <w:top w:val="nil"/>
                    <w:left w:val="single" w:color="000000" w:sz="8" w:space="0"/>
                    <w:bottom w:val="single" w:color="000000" w:sz="8" w:space="0"/>
                    <w:right w:val="single" w:color="000000" w:sz="8" w:space="0"/>
                  </w:tcBorders>
                  <w:shd w:val="clear" w:color="auto" w:fill="auto"/>
                  <w:vAlign w:val="center"/>
                </w:tcPr>
                <w:p w14:paraId="25E24517">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高岭村散户</w:t>
                  </w:r>
                </w:p>
              </w:tc>
              <w:tc>
                <w:tcPr>
                  <w:tcW w:w="2194" w:type="dxa"/>
                  <w:tcBorders>
                    <w:top w:val="nil"/>
                    <w:left w:val="single" w:color="000000" w:sz="8" w:space="0"/>
                    <w:bottom w:val="single" w:color="000000" w:sz="8" w:space="0"/>
                    <w:right w:val="single" w:color="000000" w:sz="8" w:space="0"/>
                  </w:tcBorders>
                  <w:shd w:val="clear" w:color="auto" w:fill="auto"/>
                  <w:vAlign w:val="center"/>
                </w:tcPr>
                <w:p w14:paraId="536AA27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5.1843</w:t>
                  </w:r>
                </w:p>
              </w:tc>
              <w:tc>
                <w:tcPr>
                  <w:tcW w:w="1215" w:type="dxa"/>
                  <w:tcBorders>
                    <w:top w:val="nil"/>
                    <w:left w:val="single" w:color="000000" w:sz="8" w:space="0"/>
                    <w:bottom w:val="single" w:color="000000" w:sz="8" w:space="0"/>
                    <w:right w:val="single" w:color="000000" w:sz="8" w:space="0"/>
                  </w:tcBorders>
                  <w:shd w:val="clear" w:color="auto" w:fill="auto"/>
                  <w:vAlign w:val="center"/>
                </w:tcPr>
                <w:p w14:paraId="044EB1A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2.59%</w:t>
                  </w:r>
                </w:p>
              </w:tc>
              <w:tc>
                <w:tcPr>
                  <w:tcW w:w="2133" w:type="dxa"/>
                  <w:tcBorders>
                    <w:top w:val="nil"/>
                    <w:left w:val="single" w:color="000000" w:sz="8" w:space="0"/>
                    <w:bottom w:val="single" w:color="000000" w:sz="8" w:space="0"/>
                    <w:right w:val="single" w:color="000000" w:sz="8" w:space="0"/>
                  </w:tcBorders>
                  <w:shd w:val="clear" w:color="auto" w:fill="auto"/>
                  <w:vAlign w:val="center"/>
                </w:tcPr>
                <w:p w14:paraId="7138A2CB">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0.2393</w:t>
                  </w:r>
                </w:p>
              </w:tc>
              <w:tc>
                <w:tcPr>
                  <w:tcW w:w="1200" w:type="dxa"/>
                  <w:tcBorders>
                    <w:top w:val="nil"/>
                    <w:left w:val="single" w:color="000000" w:sz="8" w:space="0"/>
                    <w:bottom w:val="single" w:color="000000" w:sz="8" w:space="0"/>
                    <w:right w:val="single" w:color="000000" w:sz="8" w:space="0"/>
                  </w:tcBorders>
                  <w:shd w:val="clear" w:color="auto" w:fill="auto"/>
                  <w:vAlign w:val="center"/>
                </w:tcPr>
                <w:p w14:paraId="0A3F855F">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2.39%</w:t>
                  </w:r>
                </w:p>
              </w:tc>
            </w:tr>
            <w:tr w14:paraId="28B91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2194" w:type="dxa"/>
                  <w:tcBorders>
                    <w:top w:val="nil"/>
                    <w:left w:val="single" w:color="000000" w:sz="8" w:space="0"/>
                    <w:bottom w:val="single" w:color="000000" w:sz="8" w:space="0"/>
                    <w:right w:val="single" w:color="000000" w:sz="8" w:space="0"/>
                  </w:tcBorders>
                  <w:shd w:val="clear" w:color="auto" w:fill="auto"/>
                  <w:vAlign w:val="center"/>
                </w:tcPr>
                <w:p w14:paraId="30011139">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良凤江</w:t>
                  </w:r>
                  <w:r>
                    <w:rPr>
                      <w:rFonts w:hint="eastAsia" w:cs="Times New Roman"/>
                      <w:i w:val="0"/>
                      <w:iCs w:val="0"/>
                      <w:color w:val="auto"/>
                      <w:kern w:val="0"/>
                      <w:sz w:val="21"/>
                      <w:szCs w:val="21"/>
                      <w:u w:val="none" w:color="auto"/>
                      <w:lang w:val="en-US" w:eastAsia="zh-CN" w:bidi="ar"/>
                    </w:rPr>
                    <w:t>国家</w:t>
                  </w:r>
                  <w:r>
                    <w:rPr>
                      <w:rFonts w:hint="default" w:ascii="Times New Roman" w:hAnsi="Times New Roman" w:eastAsia="宋体" w:cs="Times New Roman"/>
                      <w:i w:val="0"/>
                      <w:iCs w:val="0"/>
                      <w:color w:val="auto"/>
                      <w:kern w:val="0"/>
                      <w:sz w:val="21"/>
                      <w:szCs w:val="21"/>
                      <w:u w:val="none" w:color="auto"/>
                      <w:lang w:val="en-US" w:eastAsia="zh-CN" w:bidi="ar"/>
                    </w:rPr>
                    <w:t>森林公园</w:t>
                  </w:r>
                </w:p>
              </w:tc>
              <w:tc>
                <w:tcPr>
                  <w:tcW w:w="2194" w:type="dxa"/>
                  <w:tcBorders>
                    <w:top w:val="nil"/>
                    <w:left w:val="single" w:color="000000" w:sz="8" w:space="0"/>
                    <w:bottom w:val="single" w:color="000000" w:sz="8" w:space="0"/>
                    <w:right w:val="single" w:color="000000" w:sz="8" w:space="0"/>
                  </w:tcBorders>
                  <w:shd w:val="clear" w:color="auto" w:fill="auto"/>
                  <w:vAlign w:val="center"/>
                </w:tcPr>
                <w:p w14:paraId="70328B8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1.4997</w:t>
                  </w:r>
                </w:p>
              </w:tc>
              <w:tc>
                <w:tcPr>
                  <w:tcW w:w="1215" w:type="dxa"/>
                  <w:tcBorders>
                    <w:top w:val="nil"/>
                    <w:left w:val="single" w:color="000000" w:sz="8" w:space="0"/>
                    <w:bottom w:val="single" w:color="000000" w:sz="8" w:space="0"/>
                    <w:right w:val="single" w:color="000000" w:sz="8" w:space="0"/>
                  </w:tcBorders>
                  <w:shd w:val="clear" w:color="auto" w:fill="auto"/>
                  <w:vAlign w:val="center"/>
                </w:tcPr>
                <w:p w14:paraId="7324B47B">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0.75%</w:t>
                  </w:r>
                </w:p>
              </w:tc>
              <w:tc>
                <w:tcPr>
                  <w:tcW w:w="2133" w:type="dxa"/>
                  <w:tcBorders>
                    <w:top w:val="nil"/>
                    <w:left w:val="single" w:color="000000" w:sz="8" w:space="0"/>
                    <w:bottom w:val="single" w:color="000000" w:sz="8" w:space="0"/>
                    <w:right w:val="single" w:color="000000" w:sz="8" w:space="0"/>
                  </w:tcBorders>
                  <w:shd w:val="clear" w:color="auto" w:fill="auto"/>
                  <w:vAlign w:val="center"/>
                </w:tcPr>
                <w:p w14:paraId="5C4893B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0.0692</w:t>
                  </w:r>
                </w:p>
              </w:tc>
              <w:tc>
                <w:tcPr>
                  <w:tcW w:w="1200" w:type="dxa"/>
                  <w:tcBorders>
                    <w:top w:val="nil"/>
                    <w:left w:val="single" w:color="000000" w:sz="8" w:space="0"/>
                    <w:bottom w:val="single" w:color="000000" w:sz="8" w:space="0"/>
                    <w:right w:val="single" w:color="000000" w:sz="8" w:space="0"/>
                  </w:tcBorders>
                  <w:shd w:val="clear" w:color="auto" w:fill="auto"/>
                  <w:vAlign w:val="center"/>
                </w:tcPr>
                <w:p w14:paraId="2782E61D">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0.69%</w:t>
                  </w:r>
                </w:p>
              </w:tc>
            </w:tr>
          </w:tbl>
          <w:p w14:paraId="03325E5E">
            <w:pPr>
              <w:rPr>
                <w:rFonts w:hint="default"/>
                <w:color w:val="auto"/>
                <w:u w:val="none" w:color="auto"/>
                <w:lang w:val="en-US" w:eastAsia="zh-CN"/>
              </w:rPr>
            </w:pPr>
            <w:r>
              <w:rPr>
                <w:rFonts w:hint="eastAsia"/>
                <w:color w:val="auto"/>
                <w:u w:val="none" w:color="auto"/>
                <w:lang w:val="en-US" w:eastAsia="zh-CN"/>
              </w:rPr>
              <w:t>由上表可见，项目排放的氨、硫化氢对周边环境保护目标的贡献值较低，占标率均小于10%，说明项目运营期产生的氨、硫化氢对其影响不大。</w:t>
            </w:r>
          </w:p>
          <w:p w14:paraId="73B0FC9D">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color w:val="auto"/>
                <w:sz w:val="24"/>
                <w:u w:val="none" w:color="auto"/>
              </w:rPr>
            </w:pPr>
            <w:r>
              <w:rPr>
                <w:color w:val="auto"/>
                <w:sz w:val="24"/>
                <w:u w:val="none" w:color="auto"/>
              </w:rPr>
              <w:t>（3）</w:t>
            </w:r>
            <w:r>
              <w:rPr>
                <w:rFonts w:hint="eastAsia"/>
                <w:color w:val="auto"/>
                <w:sz w:val="24"/>
                <w:u w:val="none" w:color="auto"/>
                <w:lang w:val="en-US" w:eastAsia="zh-CN"/>
              </w:rPr>
              <w:t>生活</w:t>
            </w:r>
            <w:r>
              <w:rPr>
                <w:color w:val="auto"/>
                <w:sz w:val="24"/>
                <w:u w:val="none" w:color="auto"/>
              </w:rPr>
              <w:t>垃圾</w:t>
            </w:r>
            <w:r>
              <w:rPr>
                <w:rFonts w:hint="eastAsia"/>
                <w:color w:val="auto"/>
                <w:sz w:val="24"/>
                <w:u w:val="none" w:color="auto"/>
              </w:rPr>
              <w:t>收集点</w:t>
            </w:r>
            <w:r>
              <w:rPr>
                <w:rFonts w:hint="eastAsia"/>
                <w:color w:val="auto"/>
                <w:sz w:val="24"/>
                <w:u w:val="none" w:color="auto"/>
                <w:lang w:eastAsia="zh-CN"/>
              </w:rPr>
              <w:t>、</w:t>
            </w:r>
            <w:r>
              <w:rPr>
                <w:rFonts w:hint="eastAsia"/>
                <w:color w:val="auto"/>
                <w:sz w:val="24"/>
                <w:u w:val="none" w:color="auto"/>
              </w:rPr>
              <w:t>医疗废物暂存室恶臭</w:t>
            </w:r>
          </w:p>
          <w:p w14:paraId="43E17900">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color w:val="auto"/>
                <w:sz w:val="24"/>
                <w:u w:val="none" w:color="auto"/>
              </w:rPr>
            </w:pPr>
            <w:r>
              <w:rPr>
                <w:color w:val="auto"/>
                <w:sz w:val="24"/>
                <w:u w:val="none" w:color="auto"/>
              </w:rPr>
              <w:t>医院生活垃圾、医疗废物分开储存</w:t>
            </w:r>
            <w:r>
              <w:rPr>
                <w:rFonts w:hint="eastAsia"/>
                <w:color w:val="auto"/>
                <w:sz w:val="24"/>
                <w:u w:val="none" w:color="auto"/>
              </w:rPr>
              <w:t>，垃圾收集点</w:t>
            </w:r>
            <w:r>
              <w:rPr>
                <w:color w:val="auto"/>
                <w:sz w:val="24"/>
                <w:u w:val="none" w:color="auto"/>
              </w:rPr>
              <w:t>会</w:t>
            </w:r>
            <w:r>
              <w:rPr>
                <w:rFonts w:hint="eastAsia"/>
                <w:color w:val="auto"/>
                <w:sz w:val="24"/>
                <w:u w:val="none" w:color="auto"/>
              </w:rPr>
              <w:t>产生恶臭，</w:t>
            </w:r>
            <w:r>
              <w:rPr>
                <w:color w:val="auto"/>
                <w:sz w:val="24"/>
                <w:u w:val="none" w:color="auto"/>
              </w:rPr>
              <w:t>垃圾</w:t>
            </w:r>
            <w:r>
              <w:rPr>
                <w:rFonts w:hint="eastAsia"/>
                <w:color w:val="auto"/>
                <w:sz w:val="24"/>
                <w:u w:val="none" w:color="auto"/>
              </w:rPr>
              <w:t>收集点（含医疗废物暂存室）</w:t>
            </w:r>
            <w:r>
              <w:rPr>
                <w:rFonts w:hint="eastAsia"/>
                <w:color w:val="auto"/>
                <w:sz w:val="24"/>
                <w:u w:val="none" w:color="auto"/>
                <w:lang w:val="en-US" w:eastAsia="zh-CN"/>
              </w:rPr>
              <w:t>均加盖处理，同时减少医疗垃圾及生活垃圾的暂存时间，在此基础上对环境影响小</w:t>
            </w:r>
            <w:r>
              <w:rPr>
                <w:color w:val="auto"/>
                <w:sz w:val="24"/>
                <w:u w:val="none" w:color="auto"/>
              </w:rPr>
              <w:t>。</w:t>
            </w:r>
          </w:p>
          <w:p w14:paraId="141B3476">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color w:val="auto"/>
                <w:sz w:val="24"/>
                <w:u w:val="none" w:color="auto"/>
              </w:rPr>
            </w:pPr>
            <w:r>
              <w:rPr>
                <w:color w:val="auto"/>
                <w:sz w:val="24"/>
                <w:u w:val="none" w:color="auto"/>
              </w:rPr>
              <w:t>（4）食堂燃油废气和油烟</w:t>
            </w:r>
          </w:p>
          <w:p w14:paraId="166A387E">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eastAsia"/>
                <w:color w:val="auto"/>
                <w:sz w:val="24"/>
                <w:u w:val="none" w:color="auto"/>
              </w:rPr>
            </w:pPr>
            <w:r>
              <w:rPr>
                <w:color w:val="auto"/>
                <w:sz w:val="24"/>
                <w:u w:val="none" w:color="auto"/>
              </w:rPr>
              <w:t>食堂使用的能源为液化石油气和电，均为清洁能源，对环境污染小。食堂烹饪过程中，食物煎、炒、炸、烤等加工过程中会产生油烟污染，油烟成分复杂，动植物油在高温作用产生大量油雾和裂解出大量挥发性物质，化学成分复杂。食堂共设置</w:t>
            </w:r>
            <w:r>
              <w:rPr>
                <w:rFonts w:hint="eastAsia"/>
                <w:color w:val="auto"/>
                <w:sz w:val="24"/>
                <w:u w:val="none" w:color="auto"/>
              </w:rPr>
              <w:t>4</w:t>
            </w:r>
            <w:r>
              <w:rPr>
                <w:color w:val="auto"/>
                <w:sz w:val="24"/>
                <w:u w:val="none" w:color="auto"/>
              </w:rPr>
              <w:t>个灶头，每天提供3餐</w:t>
            </w:r>
            <w:r>
              <w:rPr>
                <w:rFonts w:hint="eastAsia"/>
                <w:color w:val="auto"/>
                <w:sz w:val="24"/>
                <w:u w:val="none" w:color="auto"/>
              </w:rPr>
              <w:t>，</w:t>
            </w:r>
            <w:r>
              <w:rPr>
                <w:color w:val="auto"/>
                <w:sz w:val="24"/>
                <w:u w:val="none" w:color="auto"/>
              </w:rPr>
              <w:t>日最大供餐</w:t>
            </w:r>
            <w:r>
              <w:rPr>
                <w:rFonts w:hint="eastAsia"/>
                <w:color w:val="auto"/>
                <w:sz w:val="24"/>
                <w:u w:val="none" w:color="auto"/>
                <w:lang w:val="en-US" w:eastAsia="zh-CN"/>
              </w:rPr>
              <w:t>813</w:t>
            </w:r>
            <w:r>
              <w:rPr>
                <w:color w:val="auto"/>
                <w:sz w:val="24"/>
                <w:u w:val="none" w:color="auto"/>
              </w:rPr>
              <w:t>人次，</w:t>
            </w:r>
            <w:r>
              <w:rPr>
                <w:color w:val="auto"/>
                <w:sz w:val="24"/>
                <w:highlight w:val="none"/>
                <w:u w:val="none" w:color="auto"/>
              </w:rPr>
              <w:t>油烟排放时间主要集中在6:00~8:00、11:00~13:00和17:00~19:00三个时间段，排放具有间歇性。根据有关资料，每人每次食用油用量约10g，一般油烟挥发量占总耗油量的</w:t>
            </w:r>
            <w:r>
              <w:rPr>
                <w:rFonts w:hint="eastAsia"/>
                <w:color w:val="auto"/>
                <w:sz w:val="24"/>
                <w:highlight w:val="none"/>
                <w:u w:val="none" w:color="auto"/>
                <w:lang w:eastAsia="zh-CN"/>
              </w:rPr>
              <w:t>2%~4%</w:t>
            </w:r>
            <w:r>
              <w:rPr>
                <w:color w:val="auto"/>
                <w:sz w:val="24"/>
                <w:highlight w:val="none"/>
                <w:u w:val="none" w:color="auto"/>
              </w:rPr>
              <w:t>，本评价取中间值3%，则项目油烟产生量约为</w:t>
            </w:r>
            <w:r>
              <w:rPr>
                <w:rFonts w:hint="eastAsia"/>
                <w:color w:val="0000FF"/>
                <w:sz w:val="24"/>
                <w:highlight w:val="none"/>
                <w:u w:val="none" w:color="auto"/>
                <w:lang w:val="en-US" w:eastAsia="zh-CN"/>
              </w:rPr>
              <w:t>40.65</w:t>
            </w:r>
            <w:r>
              <w:rPr>
                <w:color w:val="0000FF"/>
                <w:sz w:val="24"/>
                <w:highlight w:val="none"/>
                <w:u w:val="none" w:color="auto"/>
              </w:rPr>
              <w:t>g/</w:t>
            </w:r>
            <w:r>
              <w:rPr>
                <w:rFonts w:hint="eastAsia"/>
                <w:color w:val="0000FF"/>
                <w:sz w:val="24"/>
                <w:highlight w:val="none"/>
                <w:u w:val="none" w:color="auto"/>
              </w:rPr>
              <w:t>h</w:t>
            </w:r>
            <w:r>
              <w:rPr>
                <w:color w:val="0000FF"/>
                <w:sz w:val="24"/>
                <w:highlight w:val="none"/>
                <w:u w:val="none" w:color="auto"/>
              </w:rPr>
              <w:t>（</w:t>
            </w:r>
            <w:r>
              <w:rPr>
                <w:rFonts w:hint="eastAsia"/>
                <w:color w:val="0000FF"/>
                <w:sz w:val="24"/>
                <w:highlight w:val="none"/>
                <w:u w:val="none" w:color="auto"/>
                <w:lang w:val="en-US" w:eastAsia="zh-CN"/>
              </w:rPr>
              <w:t>0.089</w:t>
            </w:r>
            <w:r>
              <w:rPr>
                <w:color w:val="0000FF"/>
                <w:sz w:val="24"/>
                <w:highlight w:val="none"/>
                <w:u w:val="none" w:color="auto"/>
              </w:rPr>
              <w:t>t/a）</w:t>
            </w:r>
            <w:r>
              <w:rPr>
                <w:color w:val="auto"/>
                <w:sz w:val="24"/>
                <w:highlight w:val="none"/>
                <w:u w:val="none" w:color="auto"/>
              </w:rPr>
              <w:t>，平均每个灶头的油烟产生量</w:t>
            </w:r>
            <w:r>
              <w:rPr>
                <w:rFonts w:hint="eastAsia"/>
                <w:color w:val="0000FF"/>
                <w:sz w:val="24"/>
                <w:highlight w:val="none"/>
                <w:u w:val="none" w:color="auto"/>
                <w:lang w:val="en-US" w:eastAsia="zh-CN"/>
              </w:rPr>
              <w:t>10.16</w:t>
            </w:r>
            <w:r>
              <w:rPr>
                <w:color w:val="0000FF"/>
                <w:sz w:val="24"/>
                <w:highlight w:val="none"/>
                <w:u w:val="none" w:color="auto"/>
              </w:rPr>
              <w:t>g/</w:t>
            </w:r>
            <w:r>
              <w:rPr>
                <w:rFonts w:hint="eastAsia"/>
                <w:color w:val="0000FF"/>
                <w:sz w:val="24"/>
                <w:highlight w:val="none"/>
                <w:u w:val="none" w:color="auto"/>
              </w:rPr>
              <w:t>h</w:t>
            </w:r>
            <w:r>
              <w:rPr>
                <w:color w:val="0000FF"/>
                <w:sz w:val="24"/>
                <w:highlight w:val="none"/>
                <w:u w:val="none" w:color="auto"/>
              </w:rPr>
              <w:t>（</w:t>
            </w:r>
            <w:r>
              <w:rPr>
                <w:rFonts w:hint="eastAsia"/>
                <w:color w:val="0000FF"/>
                <w:sz w:val="24"/>
                <w:highlight w:val="none"/>
                <w:u w:val="none" w:color="auto"/>
                <w:lang w:val="en-US" w:eastAsia="zh-CN"/>
              </w:rPr>
              <w:t>0.022</w:t>
            </w:r>
            <w:r>
              <w:rPr>
                <w:color w:val="0000FF"/>
                <w:sz w:val="24"/>
                <w:highlight w:val="none"/>
                <w:u w:val="none" w:color="auto"/>
              </w:rPr>
              <w:t>t/a）</w:t>
            </w:r>
            <w:r>
              <w:rPr>
                <w:color w:val="auto"/>
                <w:sz w:val="24"/>
                <w:highlight w:val="none"/>
                <w:u w:val="none" w:color="auto"/>
              </w:rPr>
              <w:t>。</w:t>
            </w:r>
            <w:r>
              <w:rPr>
                <w:color w:val="auto"/>
                <w:sz w:val="24"/>
                <w:u w:val="none" w:color="auto"/>
              </w:rPr>
              <w:t>项目拟在每个灶头上方安装集气罩</w:t>
            </w:r>
            <w:r>
              <w:rPr>
                <w:rFonts w:hint="eastAsia"/>
                <w:color w:val="auto"/>
                <w:sz w:val="24"/>
                <w:u w:val="none" w:color="auto"/>
              </w:rPr>
              <w:t>，风机</w:t>
            </w:r>
            <w:r>
              <w:rPr>
                <w:color w:val="auto"/>
                <w:sz w:val="24"/>
                <w:u w:val="none" w:color="auto"/>
              </w:rPr>
              <w:t>风量为</w:t>
            </w:r>
            <w:r>
              <w:rPr>
                <w:rFonts w:hint="eastAsia"/>
                <w:color w:val="auto"/>
                <w:sz w:val="24"/>
                <w:u w:val="none" w:color="auto"/>
              </w:rPr>
              <w:t>2</w:t>
            </w:r>
            <w:r>
              <w:rPr>
                <w:rFonts w:hint="eastAsia"/>
                <w:color w:val="auto"/>
                <w:sz w:val="24"/>
                <w:u w:val="none" w:color="auto"/>
                <w:lang w:val="en-US" w:eastAsia="zh-CN"/>
              </w:rPr>
              <w:t>5</w:t>
            </w:r>
            <w:r>
              <w:rPr>
                <w:color w:val="auto"/>
                <w:sz w:val="24"/>
                <w:u w:val="none" w:color="auto"/>
              </w:rPr>
              <w:t>00m</w:t>
            </w:r>
            <w:r>
              <w:rPr>
                <w:color w:val="auto"/>
                <w:sz w:val="24"/>
                <w:u w:val="none" w:color="auto"/>
                <w:vertAlign w:val="superscript"/>
              </w:rPr>
              <w:t>3</w:t>
            </w:r>
            <w:r>
              <w:rPr>
                <w:color w:val="auto"/>
                <w:sz w:val="24"/>
                <w:u w:val="none" w:color="auto"/>
              </w:rPr>
              <w:t>/h，将油烟收集后引至高效油烟净化装置净化，去除效率可达85%，经净化后的油烟</w:t>
            </w:r>
            <w:r>
              <w:rPr>
                <w:rFonts w:hint="eastAsia"/>
                <w:color w:val="auto"/>
                <w:sz w:val="24"/>
                <w:u w:val="none" w:color="auto"/>
              </w:rPr>
              <w:t>引至</w:t>
            </w:r>
            <w:r>
              <w:rPr>
                <w:rFonts w:hint="eastAsia"/>
                <w:color w:val="auto"/>
                <w:sz w:val="24"/>
                <w:u w:val="none" w:color="auto"/>
                <w:lang w:val="en-US" w:eastAsia="zh-CN"/>
              </w:rPr>
              <w:t>楼顶</w:t>
            </w:r>
            <w:r>
              <w:rPr>
                <w:color w:val="auto"/>
                <w:sz w:val="24"/>
                <w:u w:val="none" w:color="auto"/>
              </w:rPr>
              <w:t>排放，则项目食堂油烟排放量约为</w:t>
            </w:r>
            <w:r>
              <w:rPr>
                <w:rFonts w:hint="eastAsia"/>
                <w:color w:val="0000FF"/>
                <w:sz w:val="24"/>
                <w:u w:val="none" w:color="auto"/>
                <w:lang w:val="en-US" w:eastAsia="zh-CN"/>
              </w:rPr>
              <w:t>0.013</w:t>
            </w:r>
            <w:r>
              <w:rPr>
                <w:color w:val="0000FF"/>
                <w:sz w:val="24"/>
                <w:u w:val="none" w:color="auto"/>
              </w:rPr>
              <w:t>t/a</w:t>
            </w:r>
            <w:r>
              <w:rPr>
                <w:color w:val="auto"/>
                <w:sz w:val="24"/>
                <w:u w:val="none" w:color="auto"/>
              </w:rPr>
              <w:t>，排放浓度约为</w:t>
            </w:r>
            <w:r>
              <w:rPr>
                <w:rFonts w:hint="eastAsia"/>
                <w:color w:val="0000FF"/>
                <w:sz w:val="24"/>
                <w:u w:val="none" w:color="auto"/>
                <w:lang w:val="en-US" w:eastAsia="zh-CN"/>
              </w:rPr>
              <w:t>0.76</w:t>
            </w:r>
            <w:r>
              <w:rPr>
                <w:color w:val="auto"/>
                <w:sz w:val="24"/>
                <w:u w:val="none" w:color="auto"/>
              </w:rPr>
              <w:t>mg/m</w:t>
            </w:r>
            <w:r>
              <w:rPr>
                <w:color w:val="auto"/>
                <w:sz w:val="24"/>
                <w:u w:val="none" w:color="auto"/>
                <w:vertAlign w:val="superscript"/>
              </w:rPr>
              <w:t>3</w:t>
            </w:r>
            <w:r>
              <w:rPr>
                <w:color w:val="auto"/>
                <w:sz w:val="24"/>
                <w:u w:val="none" w:color="auto"/>
              </w:rPr>
              <w:t>，满足GB18483-2001《饮食业油烟排放标准（试行）》的要求（最高允许排放浓度2.0mg/m³）</w:t>
            </w:r>
            <w:r>
              <w:rPr>
                <w:rFonts w:hint="eastAsia"/>
                <w:color w:val="auto"/>
                <w:sz w:val="24"/>
                <w:u w:val="none" w:color="auto"/>
                <w:lang w:eastAsia="zh-CN"/>
              </w:rPr>
              <w:t>，</w:t>
            </w:r>
            <w:r>
              <w:rPr>
                <w:rFonts w:hint="eastAsia"/>
                <w:color w:val="auto"/>
                <w:sz w:val="24"/>
                <w:u w:val="none" w:color="auto"/>
                <w:lang w:val="en-US" w:eastAsia="zh-CN"/>
              </w:rPr>
              <w:t>对环境影响小</w:t>
            </w:r>
            <w:r>
              <w:rPr>
                <w:color w:val="auto"/>
                <w:sz w:val="24"/>
                <w:u w:val="none" w:color="auto"/>
              </w:rPr>
              <w:t>。</w:t>
            </w:r>
          </w:p>
          <w:p w14:paraId="6D3B9D97">
            <w:pPr>
              <w:pStyle w:val="36"/>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（5）煎药异味</w:t>
            </w:r>
          </w:p>
          <w:p w14:paraId="1A0CEC4C">
            <w:pPr>
              <w:pStyle w:val="36"/>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textAlignment w:val="auto"/>
              <w:rPr>
                <w:rFonts w:ascii="Times New Roman" w:hAnsi="Times New Roman" w:eastAsia="宋体" w:cs="Times New Roman"/>
                <w:color w:val="auto"/>
                <w:kern w:val="2"/>
                <w:sz w:val="24"/>
                <w:szCs w:val="24"/>
                <w:u w:val="none" w:color="auto"/>
                <w:lang w:val="en-US" w:eastAsia="zh-CN" w:bidi="ar-SA"/>
              </w:rPr>
            </w:pPr>
            <w:r>
              <w:rPr>
                <w:rFonts w:ascii="Times New Roman" w:hAnsi="Times New Roman" w:eastAsia="宋体" w:cs="Times New Roman"/>
                <w:color w:val="auto"/>
                <w:kern w:val="2"/>
                <w:sz w:val="24"/>
                <w:szCs w:val="24"/>
                <w:u w:val="none" w:color="auto"/>
                <w:lang w:val="en-US" w:eastAsia="zh-CN" w:bidi="ar-SA"/>
              </w:rPr>
              <w:t>本项目在一层</w:t>
            </w:r>
            <w:r>
              <w:rPr>
                <w:rFonts w:hint="eastAsia" w:ascii="Times New Roman" w:hAnsi="Times New Roman" w:eastAsia="宋体" w:cs="Times New Roman"/>
                <w:color w:val="auto"/>
                <w:kern w:val="2"/>
                <w:sz w:val="24"/>
                <w:szCs w:val="24"/>
                <w:u w:val="none" w:color="auto"/>
                <w:lang w:val="en-US" w:eastAsia="zh-CN" w:bidi="ar-SA"/>
              </w:rPr>
              <w:t>中部</w:t>
            </w:r>
            <w:r>
              <w:rPr>
                <w:rFonts w:ascii="Times New Roman" w:hAnsi="Times New Roman" w:eastAsia="宋体" w:cs="Times New Roman"/>
                <w:color w:val="auto"/>
                <w:kern w:val="2"/>
                <w:sz w:val="24"/>
                <w:szCs w:val="24"/>
                <w:u w:val="none" w:color="auto"/>
                <w:lang w:val="en-US" w:eastAsia="zh-CN" w:bidi="ar-SA"/>
              </w:rPr>
              <w:t>设置一间1</w:t>
            </w:r>
            <w:r>
              <w:rPr>
                <w:rFonts w:hint="eastAsia" w:ascii="Times New Roman" w:hAnsi="Times New Roman" w:eastAsia="宋体" w:cs="Times New Roman"/>
                <w:color w:val="auto"/>
                <w:kern w:val="2"/>
                <w:sz w:val="24"/>
                <w:szCs w:val="24"/>
                <w:u w:val="none" w:color="auto"/>
                <w:lang w:val="en-US" w:eastAsia="zh-CN" w:bidi="ar-SA"/>
              </w:rPr>
              <w:t>0</w:t>
            </w:r>
            <w:r>
              <w:rPr>
                <w:rFonts w:ascii="Times New Roman" w:hAnsi="Times New Roman" w:eastAsia="宋体" w:cs="Times New Roman"/>
                <w:color w:val="auto"/>
                <w:kern w:val="2"/>
                <w:sz w:val="24"/>
                <w:szCs w:val="24"/>
                <w:u w:val="none" w:color="auto"/>
                <w:lang w:val="en-US" w:eastAsia="zh-CN" w:bidi="ar-SA"/>
              </w:rPr>
              <w:t>m</w:t>
            </w:r>
            <w:r>
              <w:rPr>
                <w:rFonts w:ascii="Times New Roman" w:hAnsi="Times New Roman" w:eastAsia="宋体" w:cs="Times New Roman"/>
                <w:color w:val="auto"/>
                <w:kern w:val="2"/>
                <w:sz w:val="24"/>
                <w:szCs w:val="24"/>
                <w:u w:val="none" w:color="auto"/>
                <w:vertAlign w:val="superscript"/>
                <w:lang w:val="en-US" w:eastAsia="zh-CN" w:bidi="ar-SA"/>
              </w:rPr>
              <w:t>2</w:t>
            </w:r>
            <w:r>
              <w:rPr>
                <w:rFonts w:ascii="Times New Roman" w:hAnsi="Times New Roman" w:eastAsia="宋体" w:cs="Times New Roman"/>
                <w:color w:val="auto"/>
                <w:kern w:val="2"/>
                <w:sz w:val="24"/>
                <w:szCs w:val="24"/>
                <w:u w:val="none" w:color="auto"/>
                <w:lang w:val="en-US" w:eastAsia="zh-CN" w:bidi="ar-SA"/>
              </w:rPr>
              <w:t>的煎药间提供代煎药服务，采用电加热方式熬制。经查阅《排放源统计调查排污核算方法和系数手册》中-中成药生产系数中，中药饮片生产-蒸煮工艺中仅使用有机溶剂提取时涉及废气产生，本项目所用药材多为植物草药</w:t>
            </w:r>
            <w:r>
              <w:rPr>
                <w:rFonts w:hint="eastAsia" w:ascii="Times New Roman" w:hAnsi="Times New Roman" w:eastAsia="宋体" w:cs="Times New Roman"/>
                <w:color w:val="auto"/>
                <w:kern w:val="2"/>
                <w:sz w:val="24"/>
                <w:szCs w:val="24"/>
                <w:u w:val="none" w:color="auto"/>
                <w:lang w:val="en-US" w:eastAsia="zh-CN" w:bidi="ar-SA"/>
              </w:rPr>
              <w:t>，煎药过程</w:t>
            </w:r>
            <w:r>
              <w:rPr>
                <w:rFonts w:ascii="Times New Roman" w:hAnsi="Times New Roman" w:eastAsia="宋体" w:cs="Times New Roman"/>
                <w:color w:val="auto"/>
                <w:kern w:val="2"/>
                <w:sz w:val="24"/>
                <w:szCs w:val="24"/>
                <w:u w:val="none" w:color="auto"/>
                <w:lang w:val="en-US" w:eastAsia="zh-CN" w:bidi="ar-SA"/>
              </w:rPr>
              <w:t>仅为水提，</w:t>
            </w:r>
            <w:r>
              <w:rPr>
                <w:rFonts w:hint="eastAsia" w:ascii="Times New Roman" w:hAnsi="Times New Roman" w:eastAsia="宋体" w:cs="Times New Roman"/>
                <w:color w:val="auto"/>
                <w:kern w:val="2"/>
                <w:sz w:val="24"/>
                <w:szCs w:val="24"/>
                <w:u w:val="none" w:color="auto"/>
                <w:lang w:val="en-US" w:eastAsia="zh-CN" w:bidi="ar-SA"/>
              </w:rPr>
              <w:t>无有机废气产生，仅在煎药时产生少量异味，不具刺激性，本项目煎药量少，中药煎煮异味通过抽排气扇换气处理，并最终进入大气稀释扩散，对周边环境影响小</w:t>
            </w:r>
            <w:r>
              <w:rPr>
                <w:rFonts w:ascii="Times New Roman" w:hAnsi="Times New Roman" w:eastAsia="宋体" w:cs="Times New Roman"/>
                <w:color w:val="auto"/>
                <w:kern w:val="2"/>
                <w:sz w:val="24"/>
                <w:szCs w:val="24"/>
                <w:u w:val="none" w:color="auto"/>
                <w:lang w:val="en-US" w:eastAsia="zh-CN" w:bidi="ar-SA"/>
              </w:rPr>
              <w:t>。</w:t>
            </w:r>
          </w:p>
          <w:p w14:paraId="58BE0D2D">
            <w:pPr>
              <w:pStyle w:val="36"/>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textAlignment w:val="auto"/>
              <w:rPr>
                <w:color w:val="auto"/>
                <w:u w:val="none" w:color="auto"/>
              </w:rPr>
            </w:pPr>
            <w:r>
              <w:rPr>
                <w:rFonts w:hint="eastAsia"/>
                <w:color w:val="auto"/>
                <w:u w:val="none" w:color="auto"/>
                <w:lang w:eastAsia="zh-CN"/>
              </w:rPr>
              <w:t>（</w:t>
            </w:r>
            <w:r>
              <w:rPr>
                <w:rFonts w:hint="eastAsia"/>
                <w:color w:val="auto"/>
                <w:u w:val="none" w:color="auto"/>
                <w:lang w:val="en-US" w:eastAsia="zh-CN"/>
              </w:rPr>
              <w:t>二</w:t>
            </w:r>
            <w:r>
              <w:rPr>
                <w:rFonts w:hint="eastAsia"/>
                <w:color w:val="auto"/>
                <w:u w:val="none" w:color="auto"/>
                <w:lang w:eastAsia="zh-CN"/>
              </w:rPr>
              <w:t>）</w:t>
            </w:r>
            <w:r>
              <w:rPr>
                <w:color w:val="auto"/>
                <w:u w:val="none" w:color="auto"/>
              </w:rPr>
              <w:t>废气污染防治措施及可行性论证</w:t>
            </w:r>
          </w:p>
          <w:p w14:paraId="5486330A">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eastAsia"/>
                <w:color w:val="auto"/>
                <w:u w:val="none" w:color="auto"/>
              </w:rPr>
            </w:pPr>
            <w:r>
              <w:rPr>
                <w:rFonts w:hint="eastAsia"/>
                <w:color w:val="auto"/>
                <w:u w:val="none" w:color="auto"/>
              </w:rPr>
              <w:t>项目拟在污水处理站设置</w:t>
            </w:r>
            <w:r>
              <w:rPr>
                <w:rFonts w:hint="eastAsia"/>
                <w:color w:val="auto"/>
                <w:u w:val="none" w:color="auto"/>
                <w:lang w:val="en-US" w:eastAsia="zh-CN"/>
              </w:rPr>
              <w:t>地埋式</w:t>
            </w:r>
            <w:r>
              <w:rPr>
                <w:rFonts w:hint="eastAsia"/>
                <w:color w:val="auto"/>
                <w:u w:val="none" w:color="auto"/>
              </w:rPr>
              <w:t>措施，周边设置绿化，并定时喷洒除臭剂去除污水处理站臭气。</w:t>
            </w:r>
          </w:p>
          <w:p w14:paraId="46B46460">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eastAsia"/>
                <w:color w:val="auto"/>
                <w:u w:val="none" w:color="auto"/>
              </w:rPr>
            </w:pPr>
            <w:r>
              <w:rPr>
                <w:rFonts w:hint="eastAsia"/>
                <w:color w:val="auto"/>
                <w:u w:val="none" w:color="auto"/>
              </w:rPr>
              <w:t>（1）处理工艺可行性分析</w:t>
            </w:r>
          </w:p>
          <w:p w14:paraId="016CE29B">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eastAsia"/>
                <w:color w:val="auto"/>
                <w:u w:val="none" w:color="auto"/>
              </w:rPr>
            </w:pPr>
            <w:r>
              <w:rPr>
                <w:rFonts w:hint="eastAsia"/>
                <w:color w:val="auto"/>
                <w:u w:val="none" w:color="auto"/>
              </w:rPr>
              <w:t>根据《排污许可证申请与核发技术规范医疗机构》（HJ 1105-2020）附录A 表A.1 医疗机构排污单位废气治理可行技术参照表可知，污水处理站的无组织排放废气可行技术为产生恶臭区域加罩或者加盖，投放除臭剂。本项目污水处理站采用地埋式，在周边进行绿化处理，定期喷洒除臭剂。</w:t>
            </w:r>
          </w:p>
          <w:p w14:paraId="11B44C17">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eastAsia" w:eastAsia="宋体"/>
                <w:color w:val="auto"/>
                <w:u w:val="none" w:color="auto"/>
                <w:lang w:val="en-US" w:eastAsia="zh-CN"/>
              </w:rPr>
            </w:pPr>
            <w:r>
              <w:rPr>
                <w:rFonts w:hint="eastAsia"/>
                <w:color w:val="auto"/>
                <w:u w:val="none" w:color="auto"/>
              </w:rPr>
              <w:t>因此，本项目的处理措施为可行技术</w:t>
            </w:r>
            <w:r>
              <w:rPr>
                <w:rFonts w:hint="eastAsia"/>
                <w:color w:val="auto"/>
                <w:u w:val="none" w:color="auto"/>
                <w:lang w:val="en-US" w:eastAsia="zh-CN"/>
              </w:rPr>
              <w:t>。</w:t>
            </w:r>
          </w:p>
          <w:p w14:paraId="6A4F5F30">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default"/>
                <w:color w:val="auto"/>
                <w:u w:val="none" w:color="auto"/>
                <w:lang w:val="en-US" w:eastAsia="zh-CN"/>
              </w:rPr>
            </w:pPr>
            <w:r>
              <w:rPr>
                <w:rFonts w:hint="eastAsia"/>
                <w:color w:val="auto"/>
                <w:u w:val="none" w:color="auto"/>
                <w:lang w:val="en-US" w:eastAsia="zh-CN"/>
              </w:rPr>
              <w:t>（2）同类型医院无组织排放废气监测结果</w:t>
            </w:r>
          </w:p>
          <w:p w14:paraId="57D365F2">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①污水处理站周边</w:t>
            </w:r>
          </w:p>
          <w:p w14:paraId="154C6E19">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kern w:val="0"/>
                <w:sz w:val="24"/>
                <w:szCs w:val="24"/>
                <w:u w:val="none" w:color="auto"/>
                <w:lang w:val="en-US" w:eastAsia="zh-CN" w:bidi="ar"/>
              </w:rPr>
              <w:t>本项目污水处理站废气采取无组织排放，</w:t>
            </w:r>
            <w:r>
              <w:rPr>
                <w:rFonts w:hint="eastAsia" w:ascii="Times New Roman" w:hAnsi="Times New Roman" w:eastAsia="宋体" w:cs="Times New Roman"/>
                <w:color w:val="auto"/>
                <w:kern w:val="0"/>
                <w:sz w:val="24"/>
                <w:szCs w:val="24"/>
                <w:u w:val="none" w:color="auto"/>
                <w:lang w:val="en-US" w:eastAsia="zh-CN" w:bidi="ar"/>
              </w:rPr>
              <w:t>本评价调查了同类型医院-</w:t>
            </w:r>
            <w:r>
              <w:rPr>
                <w:rFonts w:ascii="宋体" w:hAnsi="宋体" w:eastAsia="宋体" w:cs="宋体"/>
                <w:color w:val="auto"/>
                <w:sz w:val="24"/>
                <w:szCs w:val="24"/>
                <w:u w:val="none" w:color="auto"/>
              </w:rPr>
              <w:t>《益阳市赫山区精神病医院住院楼扩建项目竣工环境保护验收监测报告》</w:t>
            </w:r>
            <w:r>
              <w:rPr>
                <w:rFonts w:hint="default" w:ascii="Times New Roman" w:hAnsi="Times New Roman" w:eastAsia="宋体" w:cs="Times New Roman"/>
                <w:color w:val="auto"/>
                <w:kern w:val="0"/>
                <w:sz w:val="24"/>
                <w:szCs w:val="24"/>
                <w:u w:val="none" w:color="auto"/>
                <w:lang w:val="en-US" w:eastAsia="zh-CN" w:bidi="ar"/>
              </w:rPr>
              <w:t>，</w:t>
            </w:r>
            <w:r>
              <w:rPr>
                <w:rFonts w:hint="eastAsia" w:ascii="Times New Roman" w:hAnsi="Times New Roman" w:eastAsia="宋体" w:cs="Times New Roman"/>
                <w:color w:val="auto"/>
                <w:kern w:val="0"/>
                <w:sz w:val="24"/>
                <w:szCs w:val="24"/>
                <w:u w:val="none" w:color="auto"/>
                <w:lang w:val="en-US" w:eastAsia="zh-CN" w:bidi="ar"/>
              </w:rPr>
              <w:t>该医院为该医院设置病床200张床，</w:t>
            </w:r>
            <w:r>
              <w:rPr>
                <w:rFonts w:hint="eastAsia" w:ascii="宋体" w:hAnsi="宋体" w:eastAsia="宋体"/>
                <w:color w:val="auto"/>
                <w:sz w:val="24"/>
                <w:szCs w:val="24"/>
                <w:u w:val="none" w:color="auto"/>
              </w:rPr>
              <w:t>污水水质相差不大，污水处理站处理工艺相似，</w:t>
            </w:r>
            <w:r>
              <w:rPr>
                <w:rFonts w:hint="eastAsia" w:ascii="宋体" w:hAnsi="宋体"/>
                <w:color w:val="auto"/>
                <w:sz w:val="24"/>
                <w:szCs w:val="24"/>
                <w:u w:val="none" w:color="auto"/>
                <w:lang w:val="en-US" w:eastAsia="zh-CN"/>
              </w:rPr>
              <w:t>臭气污染防治措为封闭、投加除臭剂，防治措施与本项目一致</w:t>
            </w:r>
            <w:r>
              <w:rPr>
                <w:rFonts w:hint="eastAsia" w:ascii="Times New Roman" w:hAnsi="Times New Roman" w:eastAsia="宋体" w:cs="Times New Roman"/>
                <w:color w:val="auto"/>
                <w:kern w:val="0"/>
                <w:sz w:val="24"/>
                <w:szCs w:val="24"/>
                <w:u w:val="none" w:color="auto"/>
                <w:lang w:val="en-US" w:eastAsia="zh-CN" w:bidi="ar"/>
              </w:rPr>
              <w:t>，具有类比性</w:t>
            </w:r>
            <w:r>
              <w:rPr>
                <w:rFonts w:hint="default" w:ascii="Times New Roman" w:hAnsi="Times New Roman" w:eastAsia="宋体" w:cs="Times New Roman"/>
                <w:color w:val="auto"/>
                <w:kern w:val="0"/>
                <w:sz w:val="24"/>
                <w:szCs w:val="24"/>
                <w:u w:val="none" w:color="auto"/>
                <w:lang w:val="en-US" w:eastAsia="zh-CN" w:bidi="ar"/>
              </w:rPr>
              <w:t>。</w:t>
            </w:r>
            <w:r>
              <w:rPr>
                <w:rFonts w:hint="eastAsia" w:ascii="Times New Roman" w:hAnsi="Times New Roman" w:eastAsia="宋体" w:cs="Times New Roman"/>
                <w:color w:val="auto"/>
                <w:kern w:val="0"/>
                <w:sz w:val="24"/>
                <w:szCs w:val="24"/>
                <w:u w:val="none" w:color="auto"/>
                <w:lang w:val="en-US" w:eastAsia="zh-CN" w:bidi="ar"/>
              </w:rPr>
              <w:t>竣工验收</w:t>
            </w:r>
            <w:r>
              <w:rPr>
                <w:rFonts w:hint="default" w:ascii="Times New Roman" w:hAnsi="Times New Roman" w:eastAsia="宋体" w:cs="Times New Roman"/>
                <w:color w:val="auto"/>
                <w:kern w:val="0"/>
                <w:sz w:val="24"/>
                <w:szCs w:val="24"/>
                <w:u w:val="none" w:color="auto"/>
                <w:lang w:val="en-US" w:eastAsia="zh-CN" w:bidi="ar"/>
              </w:rPr>
              <w:t>监测期间污水处理站周边无组织废气排放浓度为氨浓度为</w:t>
            </w:r>
            <w:r>
              <w:rPr>
                <w:rFonts w:hint="eastAsia" w:ascii="Times New Roman" w:hAnsi="Times New Roman" w:eastAsia="宋体" w:cs="Times New Roman"/>
                <w:color w:val="auto"/>
                <w:kern w:val="0"/>
                <w:sz w:val="24"/>
                <w:szCs w:val="24"/>
                <w:u w:val="none" w:color="auto"/>
                <w:lang w:val="en-US" w:eastAsia="zh-CN" w:bidi="ar"/>
              </w:rPr>
              <w:t>0.05~0.16</w:t>
            </w:r>
            <w:r>
              <w:rPr>
                <w:rFonts w:hint="default" w:ascii="Times New Roman" w:hAnsi="Times New Roman" w:eastAsia="宋体" w:cs="Times New Roman"/>
                <w:color w:val="auto"/>
                <w:kern w:val="0"/>
                <w:sz w:val="24"/>
                <w:szCs w:val="24"/>
                <w:u w:val="none" w:color="auto"/>
                <w:lang w:val="en-US" w:eastAsia="zh-CN" w:bidi="ar"/>
              </w:rPr>
              <w:t>mg/m</w:t>
            </w:r>
            <w:r>
              <w:rPr>
                <w:rFonts w:hint="default" w:ascii="Times New Roman" w:hAnsi="Times New Roman" w:eastAsia="宋体" w:cs="Times New Roman"/>
                <w:color w:val="auto"/>
                <w:kern w:val="0"/>
                <w:sz w:val="24"/>
                <w:szCs w:val="24"/>
                <w:u w:val="none" w:color="auto"/>
                <w:vertAlign w:val="superscript"/>
                <w:lang w:val="en-US" w:eastAsia="zh-CN" w:bidi="ar"/>
              </w:rPr>
              <w:t>3</w:t>
            </w:r>
            <w:r>
              <w:rPr>
                <w:rFonts w:hint="default" w:ascii="Times New Roman" w:hAnsi="Times New Roman" w:eastAsia="宋体" w:cs="Times New Roman"/>
                <w:color w:val="auto"/>
                <w:kern w:val="0"/>
                <w:sz w:val="24"/>
                <w:szCs w:val="24"/>
                <w:u w:val="none" w:color="auto"/>
                <w:lang w:val="en-US" w:eastAsia="zh-CN" w:bidi="ar"/>
              </w:rPr>
              <w:t xml:space="preserve">，硫化氢浓度为 </w:t>
            </w:r>
            <w:r>
              <w:rPr>
                <w:rFonts w:hint="eastAsia" w:ascii="Times New Roman" w:hAnsi="Times New Roman" w:eastAsia="宋体" w:cs="Times New Roman"/>
                <w:color w:val="auto"/>
                <w:kern w:val="0"/>
                <w:sz w:val="24"/>
                <w:szCs w:val="24"/>
                <w:u w:val="none" w:color="auto"/>
                <w:lang w:val="en-US" w:eastAsia="zh-CN" w:bidi="ar"/>
              </w:rPr>
              <w:t>0.002~0.007</w:t>
            </w:r>
            <w:r>
              <w:rPr>
                <w:rFonts w:hint="default" w:ascii="Times New Roman" w:hAnsi="Times New Roman" w:eastAsia="宋体" w:cs="Times New Roman"/>
                <w:color w:val="auto"/>
                <w:kern w:val="0"/>
                <w:sz w:val="24"/>
                <w:szCs w:val="24"/>
                <w:u w:val="none" w:color="auto"/>
                <w:lang w:val="en-US" w:eastAsia="zh-CN" w:bidi="ar"/>
              </w:rPr>
              <w:t>mg/m</w:t>
            </w:r>
            <w:r>
              <w:rPr>
                <w:rFonts w:hint="default" w:ascii="Times New Roman" w:hAnsi="Times New Roman" w:eastAsia="宋体" w:cs="Times New Roman"/>
                <w:color w:val="auto"/>
                <w:kern w:val="0"/>
                <w:sz w:val="24"/>
                <w:szCs w:val="24"/>
                <w:u w:val="none" w:color="auto"/>
                <w:vertAlign w:val="superscript"/>
                <w:lang w:val="en-US" w:eastAsia="zh-CN" w:bidi="ar"/>
              </w:rPr>
              <w:t>3</w:t>
            </w:r>
            <w:r>
              <w:rPr>
                <w:rFonts w:hint="default" w:ascii="Times New Roman" w:hAnsi="Times New Roman" w:eastAsia="宋体" w:cs="Times New Roman"/>
                <w:color w:val="auto"/>
                <w:kern w:val="0"/>
                <w:sz w:val="24"/>
                <w:szCs w:val="24"/>
                <w:u w:val="none" w:color="auto"/>
                <w:lang w:val="en-US" w:eastAsia="zh-CN" w:bidi="ar"/>
              </w:rPr>
              <w:t>，甲烷浓度为</w:t>
            </w:r>
            <w:r>
              <w:rPr>
                <w:rFonts w:hint="default" w:ascii="Times New Roman" w:hAnsi="Times New Roman" w:eastAsia="宋体" w:cs="Times New Roman"/>
                <w:color w:val="auto"/>
                <w:sz w:val="24"/>
                <w:szCs w:val="24"/>
                <w:u w:val="none" w:color="auto"/>
                <w:lang w:val="en-US" w:eastAsia="zh-CN"/>
              </w:rPr>
              <w:t>（3.4×10</w:t>
            </w:r>
            <w:r>
              <w:rPr>
                <w:rFonts w:hint="default" w:ascii="Times New Roman" w:hAnsi="Times New Roman" w:eastAsia="宋体" w:cs="Times New Roman"/>
                <w:color w:val="auto"/>
                <w:sz w:val="24"/>
                <w:szCs w:val="24"/>
                <w:u w:val="none" w:color="auto"/>
                <w:vertAlign w:val="superscript"/>
                <w:lang w:val="en-US" w:eastAsia="zh-CN"/>
              </w:rPr>
              <w:t>-4</w:t>
            </w:r>
            <w:r>
              <w:rPr>
                <w:rFonts w:hint="default" w:ascii="Times New Roman" w:hAnsi="Times New Roman" w:eastAsia="宋体" w:cs="Times New Roman"/>
                <w:color w:val="auto"/>
                <w:sz w:val="24"/>
                <w:szCs w:val="24"/>
                <w:u w:val="none" w:color="auto"/>
                <w:lang w:val="en-US" w:eastAsia="zh-CN"/>
              </w:rPr>
              <w:t>~3.9×10</w:t>
            </w:r>
            <w:r>
              <w:rPr>
                <w:rFonts w:hint="default" w:ascii="Times New Roman" w:hAnsi="Times New Roman" w:eastAsia="宋体" w:cs="Times New Roman"/>
                <w:color w:val="auto"/>
                <w:sz w:val="24"/>
                <w:szCs w:val="24"/>
                <w:u w:val="none" w:color="auto"/>
                <w:vertAlign w:val="superscript"/>
                <w:lang w:val="en-US" w:eastAsia="zh-CN"/>
              </w:rPr>
              <w:t>-4</w:t>
            </w:r>
            <w:r>
              <w:rPr>
                <w:rFonts w:hint="default" w:ascii="Times New Roman" w:hAnsi="Times New Roman" w:eastAsia="宋体" w:cs="Times New Roman"/>
                <w:color w:val="auto"/>
                <w:sz w:val="24"/>
                <w:szCs w:val="24"/>
                <w:u w:val="none" w:color="auto"/>
                <w:lang w:val="en-US" w:eastAsia="zh-CN"/>
              </w:rPr>
              <w:t>）%</w:t>
            </w:r>
            <w:r>
              <w:rPr>
                <w:rFonts w:hint="default" w:ascii="Times New Roman" w:hAnsi="Times New Roman" w:eastAsia="宋体" w:cs="Times New Roman"/>
                <w:color w:val="auto"/>
                <w:kern w:val="0"/>
                <w:sz w:val="24"/>
                <w:szCs w:val="24"/>
                <w:u w:val="none" w:color="auto"/>
                <w:lang w:val="en-US" w:eastAsia="zh-CN" w:bidi="ar"/>
              </w:rPr>
              <w:t>，臭气浓度为＜10</w:t>
            </w:r>
            <w:r>
              <w:rPr>
                <w:rFonts w:hint="eastAsia" w:ascii="Times New Roman" w:hAnsi="Times New Roman" w:eastAsia="宋体" w:cs="Times New Roman"/>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无量纲</w:t>
            </w:r>
            <w:r>
              <w:rPr>
                <w:rFonts w:hint="eastAsia" w:ascii="Times New Roman" w:hAnsi="Times New Roman" w:eastAsia="宋体" w:cs="Times New Roman"/>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，周边无组织恶臭污染物浓度满足《医疗机构水污染排放标准》（GB18466-2005）中污水处理站周边大气污染物允许浓度的要求。</w:t>
            </w:r>
          </w:p>
          <w:p w14:paraId="5D5C5063">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default"/>
                <w:color w:val="auto"/>
                <w:u w:val="none" w:color="auto"/>
                <w:lang w:val="en-US" w:eastAsia="zh-CN"/>
              </w:rPr>
            </w:pPr>
            <w:r>
              <w:rPr>
                <w:rFonts w:hint="eastAsia"/>
                <w:color w:val="auto"/>
                <w:u w:val="none" w:color="auto"/>
                <w:lang w:val="en-US" w:eastAsia="zh-CN"/>
              </w:rPr>
              <w:t>②场界无组织废气</w:t>
            </w:r>
          </w:p>
          <w:p w14:paraId="5EC07923">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eastAsia" w:ascii="宋体" w:hAnsi="宋体" w:eastAsia="宋体"/>
                <w:color w:val="auto"/>
                <w:sz w:val="24"/>
                <w:szCs w:val="24"/>
                <w:u w:val="none" w:color="auto"/>
                <w:lang w:val="en-US" w:eastAsia="zh-CN"/>
              </w:rPr>
            </w:pPr>
            <w:r>
              <w:rPr>
                <w:rFonts w:hint="eastAsia"/>
                <w:color w:val="auto"/>
                <w:u w:val="none" w:color="auto"/>
                <w:lang w:val="en-US" w:eastAsia="zh-CN"/>
              </w:rPr>
              <w:t>同类型企业的监测结果：</w:t>
            </w:r>
            <w:r>
              <w:rPr>
                <w:rFonts w:hint="eastAsia" w:ascii="宋体" w:hAnsi="宋体" w:eastAsia="宋体"/>
                <w:color w:val="auto"/>
                <w:sz w:val="24"/>
                <w:szCs w:val="24"/>
                <w:u w:val="none" w:color="auto"/>
              </w:rPr>
              <w:t>根据《</w:t>
            </w:r>
            <w:r>
              <w:rPr>
                <w:rFonts w:hint="eastAsia" w:ascii="宋体" w:hAnsi="宋体"/>
                <w:color w:val="auto"/>
                <w:sz w:val="24"/>
                <w:szCs w:val="24"/>
                <w:u w:val="none" w:color="auto"/>
                <w:lang w:val="en-US" w:eastAsia="zh-CN"/>
              </w:rPr>
              <w:t>修水安康精神病医院</w:t>
            </w:r>
            <w:r>
              <w:rPr>
                <w:rFonts w:hint="eastAsia" w:ascii="宋体" w:hAnsi="宋体" w:eastAsia="宋体"/>
                <w:color w:val="auto"/>
                <w:sz w:val="24"/>
                <w:szCs w:val="24"/>
                <w:u w:val="none" w:color="auto"/>
              </w:rPr>
              <w:t>建设项目竣工环境保护验收监测报告》（</w:t>
            </w:r>
            <w:r>
              <w:rPr>
                <w:rFonts w:hint="eastAsia" w:ascii="TimesNewRomanPSMT" w:hAnsi="TimesNewRomanPSMT" w:eastAsia="TimesNewRomanPSMT"/>
                <w:color w:val="auto"/>
                <w:sz w:val="24"/>
                <w:szCs w:val="24"/>
                <w:u w:val="none" w:color="auto"/>
              </w:rPr>
              <w:t xml:space="preserve">2021 </w:t>
            </w:r>
            <w:r>
              <w:rPr>
                <w:rFonts w:hint="eastAsia" w:ascii="宋体" w:hAnsi="宋体" w:eastAsia="宋体"/>
                <w:color w:val="auto"/>
                <w:sz w:val="24"/>
                <w:szCs w:val="24"/>
                <w:u w:val="none" w:color="auto"/>
              </w:rPr>
              <w:t>年</w:t>
            </w:r>
            <w:r>
              <w:rPr>
                <w:rFonts w:hint="eastAsia" w:ascii="TimesNewRomanPSMT" w:hAnsi="TimesNewRomanPSMT" w:eastAsia="宋体"/>
                <w:color w:val="auto"/>
                <w:sz w:val="24"/>
                <w:szCs w:val="24"/>
                <w:u w:val="none" w:color="auto"/>
                <w:lang w:val="en-US" w:eastAsia="zh-CN"/>
              </w:rPr>
              <w:t>7</w:t>
            </w:r>
            <w:r>
              <w:rPr>
                <w:rFonts w:hint="eastAsia" w:ascii="宋体" w:hAnsi="宋体" w:eastAsia="宋体"/>
                <w:color w:val="auto"/>
                <w:sz w:val="24"/>
                <w:szCs w:val="24"/>
                <w:u w:val="none" w:color="auto"/>
              </w:rPr>
              <w:t>月），该项目</w:t>
            </w:r>
            <w:r>
              <w:rPr>
                <w:rFonts w:hint="eastAsia" w:ascii="宋体" w:hAnsi="宋体" w:eastAsia="宋体"/>
                <w:color w:val="auto"/>
                <w:sz w:val="24"/>
                <w:szCs w:val="24"/>
                <w:u w:val="none" w:color="auto"/>
                <w:lang w:val="en-US" w:eastAsia="zh-CN"/>
              </w:rPr>
              <w:t>收治病人类型与本项目</w:t>
            </w:r>
            <w:r>
              <w:rPr>
                <w:rFonts w:hint="eastAsia" w:ascii="宋体" w:hAnsi="宋体" w:eastAsia="宋体"/>
                <w:color w:val="auto"/>
                <w:sz w:val="24"/>
                <w:szCs w:val="24"/>
                <w:u w:val="none" w:color="auto"/>
              </w:rPr>
              <w:t>一致，</w:t>
            </w:r>
            <w:r>
              <w:rPr>
                <w:rFonts w:hint="eastAsia" w:ascii="宋体" w:hAnsi="宋体" w:eastAsia="宋体"/>
                <w:color w:val="auto"/>
                <w:sz w:val="24"/>
                <w:szCs w:val="24"/>
                <w:u w:val="none" w:color="auto"/>
                <w:lang w:val="en-US" w:eastAsia="zh-CN"/>
              </w:rPr>
              <w:t>床位数</w:t>
            </w:r>
            <w:r>
              <w:rPr>
                <w:rFonts w:hint="eastAsia" w:ascii="宋体" w:hAnsi="宋体"/>
                <w:color w:val="auto"/>
                <w:sz w:val="24"/>
                <w:szCs w:val="24"/>
                <w:u w:val="none" w:color="auto"/>
                <w:lang w:val="en-US" w:eastAsia="zh-CN"/>
              </w:rPr>
              <w:t>299张</w:t>
            </w:r>
            <w:r>
              <w:rPr>
                <w:rFonts w:hint="eastAsia" w:ascii="宋体" w:hAnsi="宋体" w:eastAsia="宋体"/>
                <w:color w:val="auto"/>
                <w:sz w:val="24"/>
                <w:szCs w:val="24"/>
                <w:u w:val="none" w:color="auto"/>
                <w:lang w:val="en-US" w:eastAsia="zh-CN"/>
              </w:rPr>
              <w:t>，</w:t>
            </w:r>
            <w:r>
              <w:rPr>
                <w:rFonts w:hint="eastAsia" w:ascii="宋体" w:hAnsi="宋体" w:eastAsia="宋体"/>
                <w:color w:val="auto"/>
                <w:sz w:val="24"/>
                <w:szCs w:val="24"/>
                <w:u w:val="none" w:color="auto"/>
              </w:rPr>
              <w:t>污水水质相差不大，污水处理站处理工艺相似，</w:t>
            </w:r>
            <w:r>
              <w:rPr>
                <w:rFonts w:hint="eastAsia" w:ascii="宋体" w:hAnsi="宋体"/>
                <w:color w:val="auto"/>
                <w:sz w:val="24"/>
                <w:szCs w:val="24"/>
                <w:u w:val="none" w:color="auto"/>
                <w:lang w:val="en-US" w:eastAsia="zh-CN"/>
              </w:rPr>
              <w:t>臭气污染防治措为封闭、投加除臭剂，防治措施与本项目一致，</w:t>
            </w:r>
            <w:r>
              <w:rPr>
                <w:rFonts w:hint="eastAsia" w:ascii="宋体" w:hAnsi="宋体" w:eastAsia="宋体"/>
                <w:color w:val="auto"/>
                <w:sz w:val="24"/>
                <w:szCs w:val="24"/>
                <w:u w:val="none" w:color="auto"/>
              </w:rPr>
              <w:t>参考其竣工验收监测具有</w:t>
            </w:r>
            <w:r>
              <w:rPr>
                <w:rFonts w:hint="eastAsia" w:ascii="宋体" w:hAnsi="宋体" w:eastAsia="宋体"/>
                <w:color w:val="auto"/>
                <w:sz w:val="24"/>
                <w:szCs w:val="24"/>
                <w:u w:val="none" w:color="auto"/>
                <w:lang w:val="en-US" w:eastAsia="zh-CN"/>
              </w:rPr>
              <w:t>可类比</w:t>
            </w:r>
            <w:r>
              <w:rPr>
                <w:rFonts w:hint="eastAsia" w:ascii="宋体" w:hAnsi="宋体" w:eastAsia="宋体"/>
                <w:color w:val="auto"/>
                <w:sz w:val="24"/>
                <w:szCs w:val="24"/>
                <w:u w:val="none" w:color="auto"/>
              </w:rPr>
              <w:t>性，该项目于</w:t>
            </w:r>
            <w:r>
              <w:rPr>
                <w:rFonts w:hint="eastAsia" w:ascii="宋体" w:hAnsi="宋体"/>
                <w:color w:val="auto"/>
                <w:sz w:val="24"/>
                <w:szCs w:val="24"/>
                <w:u w:val="none" w:color="auto"/>
                <w:lang w:val="en-US" w:eastAsia="zh-CN"/>
              </w:rPr>
              <w:t>医院场界设置了大气监测点</w:t>
            </w:r>
            <w:r>
              <w:rPr>
                <w:rFonts w:hint="eastAsia" w:ascii="宋体" w:hAnsi="宋体" w:eastAsia="宋体"/>
                <w:color w:val="auto"/>
                <w:sz w:val="24"/>
                <w:szCs w:val="24"/>
                <w:u w:val="none" w:color="auto"/>
              </w:rPr>
              <w:t>，竣工验收监测数据详见</w:t>
            </w:r>
            <w:r>
              <w:rPr>
                <w:rFonts w:hint="eastAsia" w:ascii="宋体" w:hAnsi="宋体" w:eastAsia="宋体"/>
                <w:color w:val="auto"/>
                <w:sz w:val="24"/>
                <w:szCs w:val="24"/>
                <w:u w:val="none" w:color="auto"/>
                <w:lang w:val="en-US" w:eastAsia="zh-CN"/>
              </w:rPr>
              <w:t>下表：</w:t>
            </w:r>
          </w:p>
          <w:p w14:paraId="5DE68587">
            <w:pPr>
              <w:pStyle w:val="10"/>
              <w:numPr>
                <w:ilvl w:val="0"/>
                <w:numId w:val="3"/>
              </w:numPr>
              <w:ind w:left="0" w:firstLine="0" w:firstLineChars="0"/>
              <w:jc w:val="center"/>
              <w:rPr>
                <w:rFonts w:hint="default" w:ascii="黑体" w:hAnsi="黑体" w:eastAsia="黑体"/>
                <w:b w:val="0"/>
                <w:color w:val="auto"/>
                <w:u w:val="none" w:color="auto"/>
                <w:lang w:val="en-US" w:eastAsia="zh-CN"/>
              </w:rPr>
            </w:pPr>
            <w:r>
              <w:rPr>
                <w:rFonts w:hint="eastAsia" w:ascii="黑体" w:hAnsi="黑体" w:eastAsia="黑体"/>
                <w:b w:val="0"/>
                <w:color w:val="auto"/>
                <w:u w:val="none" w:color="auto"/>
                <w:lang w:val="en-US" w:eastAsia="zh-CN"/>
              </w:rPr>
              <w:t>同类型企业氨、硫化氢、臭气浓度验收监测结果表</w:t>
            </w:r>
          </w:p>
          <w:tbl>
            <w:tblPr>
              <w:tblStyle w:val="22"/>
              <w:tblW w:w="85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82"/>
              <w:gridCol w:w="1759"/>
              <w:gridCol w:w="1759"/>
              <w:gridCol w:w="1759"/>
              <w:gridCol w:w="1759"/>
            </w:tblGrid>
            <w:tr w14:paraId="007EF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48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62F4E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auto"/>
                      <w:sz w:val="22"/>
                      <w:szCs w:val="22"/>
                      <w:u w:val="none" w:color="auto"/>
                    </w:rPr>
                  </w:pPr>
                  <w:r>
                    <w:rPr>
                      <w:rFonts w:hint="eastAsia" w:ascii="宋体" w:hAnsi="宋体" w:eastAsia="宋体" w:cs="宋体"/>
                      <w:i w:val="0"/>
                      <w:iCs w:val="0"/>
                      <w:color w:val="auto"/>
                      <w:kern w:val="0"/>
                      <w:sz w:val="22"/>
                      <w:szCs w:val="22"/>
                      <w:u w:val="none" w:color="auto"/>
                      <w:lang w:val="en-US" w:eastAsia="zh-CN" w:bidi="ar"/>
                    </w:rPr>
                    <w:t>序号</w:t>
                  </w:r>
                </w:p>
              </w:tc>
              <w:tc>
                <w:tcPr>
                  <w:tcW w:w="1759" w:type="dxa"/>
                  <w:tcBorders>
                    <w:top w:val="single" w:color="000000" w:sz="8" w:space="0"/>
                    <w:left w:val="nil"/>
                    <w:bottom w:val="single" w:color="000000" w:sz="8" w:space="0"/>
                    <w:right w:val="single" w:color="000000" w:sz="8" w:space="0"/>
                  </w:tcBorders>
                  <w:shd w:val="clear" w:color="auto" w:fill="auto"/>
                  <w:vAlign w:val="center"/>
                </w:tcPr>
                <w:p w14:paraId="2767891C">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项目</w:t>
                  </w:r>
                </w:p>
              </w:tc>
              <w:tc>
                <w:tcPr>
                  <w:tcW w:w="1759" w:type="dxa"/>
                  <w:tcBorders>
                    <w:top w:val="single" w:color="000000" w:sz="8" w:space="0"/>
                    <w:left w:val="nil"/>
                    <w:bottom w:val="single" w:color="000000" w:sz="8" w:space="0"/>
                    <w:right w:val="single" w:color="000000" w:sz="8" w:space="0"/>
                  </w:tcBorders>
                  <w:shd w:val="clear" w:color="auto" w:fill="auto"/>
                  <w:vAlign w:val="center"/>
                </w:tcPr>
                <w:p w14:paraId="077B9A49">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监测浓度范围</w:t>
                  </w:r>
                  <w:r>
                    <w:rPr>
                      <w:rFonts w:hint="eastAsia" w:ascii="宋体" w:hAnsi="宋体" w:cs="宋体"/>
                      <w:i w:val="0"/>
                      <w:iCs w:val="0"/>
                      <w:color w:val="auto"/>
                      <w:kern w:val="0"/>
                      <w:sz w:val="21"/>
                      <w:szCs w:val="21"/>
                      <w:u w:val="none" w:color="auto"/>
                      <w:lang w:val="en-US" w:eastAsia="zh-CN" w:bidi="ar"/>
                    </w:rPr>
                    <w:t>（</w:t>
                  </w:r>
                  <w:r>
                    <w:rPr>
                      <w:rFonts w:hint="default" w:ascii="Times New Roman" w:hAnsi="Times New Roman" w:eastAsia="宋体" w:cs="Times New Roman"/>
                      <w:i w:val="0"/>
                      <w:iCs w:val="0"/>
                      <w:color w:val="auto"/>
                      <w:kern w:val="0"/>
                      <w:sz w:val="21"/>
                      <w:szCs w:val="21"/>
                      <w:u w:val="none" w:color="auto"/>
                      <w:lang w:val="en-US" w:eastAsia="zh-CN" w:bidi="ar"/>
                    </w:rPr>
                    <w:t>mg/L)</w:t>
                  </w:r>
                </w:p>
              </w:tc>
              <w:tc>
                <w:tcPr>
                  <w:tcW w:w="1759" w:type="dxa"/>
                  <w:tcBorders>
                    <w:top w:val="single" w:color="000000" w:sz="8" w:space="0"/>
                    <w:left w:val="nil"/>
                    <w:bottom w:val="single" w:color="000000" w:sz="8" w:space="0"/>
                    <w:right w:val="single" w:color="000000" w:sz="8" w:space="0"/>
                  </w:tcBorders>
                  <w:shd w:val="clear" w:color="auto" w:fill="auto"/>
                  <w:vAlign w:val="center"/>
                </w:tcPr>
                <w:p w14:paraId="6D464D4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排放标准</w:t>
                  </w:r>
                  <w:r>
                    <w:rPr>
                      <w:rFonts w:hint="eastAsia" w:ascii="宋体" w:hAnsi="宋体" w:cs="宋体"/>
                      <w:i w:val="0"/>
                      <w:iCs w:val="0"/>
                      <w:color w:val="auto"/>
                      <w:kern w:val="0"/>
                      <w:sz w:val="21"/>
                      <w:szCs w:val="21"/>
                      <w:u w:val="none" w:color="auto"/>
                      <w:lang w:val="en-US" w:eastAsia="zh-CN" w:bidi="ar"/>
                    </w:rPr>
                    <w:t>（</w:t>
                  </w:r>
                  <w:r>
                    <w:rPr>
                      <w:rFonts w:hint="default" w:ascii="Times New Roman" w:hAnsi="Times New Roman" w:eastAsia="宋体" w:cs="Times New Roman"/>
                      <w:i w:val="0"/>
                      <w:iCs w:val="0"/>
                      <w:color w:val="auto"/>
                      <w:kern w:val="0"/>
                      <w:sz w:val="21"/>
                      <w:szCs w:val="21"/>
                      <w:u w:val="none" w:color="auto"/>
                      <w:lang w:val="en-US" w:eastAsia="zh-CN" w:bidi="ar"/>
                    </w:rPr>
                    <w:t>mg/L)</w:t>
                  </w:r>
                </w:p>
              </w:tc>
              <w:tc>
                <w:tcPr>
                  <w:tcW w:w="1759" w:type="dxa"/>
                  <w:tcBorders>
                    <w:top w:val="single" w:color="000000" w:sz="8" w:space="0"/>
                    <w:left w:val="nil"/>
                    <w:bottom w:val="single" w:color="000000" w:sz="8" w:space="0"/>
                    <w:right w:val="single" w:color="000000" w:sz="8" w:space="0"/>
                  </w:tcBorders>
                  <w:shd w:val="clear" w:color="auto" w:fill="auto"/>
                  <w:vAlign w:val="center"/>
                </w:tcPr>
                <w:p w14:paraId="6C7037C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是否达标</w:t>
                  </w:r>
                </w:p>
              </w:tc>
            </w:tr>
            <w:tr w14:paraId="18869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482" w:type="dxa"/>
                  <w:tcBorders>
                    <w:top w:val="nil"/>
                    <w:left w:val="single" w:color="000000" w:sz="8" w:space="0"/>
                    <w:bottom w:val="single" w:color="000000" w:sz="8" w:space="0"/>
                    <w:right w:val="single" w:color="000000" w:sz="8" w:space="0"/>
                  </w:tcBorders>
                  <w:shd w:val="clear" w:color="auto" w:fill="auto"/>
                  <w:vAlign w:val="center"/>
                </w:tcPr>
                <w:p w14:paraId="7D4ED24F">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color w:val="auto"/>
                      <w:kern w:val="0"/>
                      <w:sz w:val="22"/>
                      <w:szCs w:val="22"/>
                      <w:u w:val="none" w:color="auto"/>
                      <w:lang w:val="en-US" w:eastAsia="zh-CN" w:bidi="ar"/>
                    </w:rPr>
                    <w:t>1</w:t>
                  </w:r>
                </w:p>
              </w:tc>
              <w:tc>
                <w:tcPr>
                  <w:tcW w:w="1759" w:type="dxa"/>
                  <w:tcBorders>
                    <w:top w:val="nil"/>
                    <w:left w:val="nil"/>
                    <w:bottom w:val="single" w:color="000000" w:sz="8" w:space="0"/>
                    <w:right w:val="single" w:color="000000" w:sz="8" w:space="0"/>
                  </w:tcBorders>
                  <w:shd w:val="clear" w:color="auto" w:fill="auto"/>
                  <w:vAlign w:val="center"/>
                </w:tcPr>
                <w:p w14:paraId="55DE757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ascii="Times New Roman" w:hAnsi="Times New Roman" w:eastAsia="宋体" w:cs="Times New Roman"/>
                      <w:i w:val="0"/>
                      <w:iCs w:val="0"/>
                      <w:color w:val="auto"/>
                      <w:sz w:val="21"/>
                      <w:szCs w:val="21"/>
                      <w:u w:val="none" w:color="auto"/>
                      <w:lang w:val="en-US" w:eastAsia="zh-CN"/>
                    </w:rPr>
                    <w:t>氨（无量纲）</w:t>
                  </w:r>
                </w:p>
              </w:tc>
              <w:tc>
                <w:tcPr>
                  <w:tcW w:w="1759" w:type="dxa"/>
                  <w:tcBorders>
                    <w:top w:val="nil"/>
                    <w:left w:val="nil"/>
                    <w:bottom w:val="single" w:color="000000" w:sz="8" w:space="0"/>
                    <w:right w:val="single" w:color="000000" w:sz="8" w:space="0"/>
                  </w:tcBorders>
                  <w:shd w:val="clear" w:color="auto" w:fill="auto"/>
                  <w:vAlign w:val="center"/>
                </w:tcPr>
                <w:p w14:paraId="692A476F">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lang w:val="en-US"/>
                    </w:rPr>
                  </w:pPr>
                  <w:r>
                    <w:rPr>
                      <w:rFonts w:hint="eastAsia" w:ascii="Times New Roman" w:hAnsi="Times New Roman" w:eastAsia="宋体" w:cs="Times New Roman"/>
                      <w:i w:val="0"/>
                      <w:iCs w:val="0"/>
                      <w:color w:val="auto"/>
                      <w:kern w:val="0"/>
                      <w:sz w:val="21"/>
                      <w:szCs w:val="21"/>
                      <w:u w:val="none" w:color="auto"/>
                      <w:lang w:val="en-US" w:eastAsia="zh-CN" w:bidi="ar"/>
                    </w:rPr>
                    <w:t>0.02~0.03</w:t>
                  </w:r>
                </w:p>
              </w:tc>
              <w:tc>
                <w:tcPr>
                  <w:tcW w:w="1759" w:type="dxa"/>
                  <w:tcBorders>
                    <w:top w:val="nil"/>
                    <w:left w:val="nil"/>
                    <w:bottom w:val="single" w:color="000000" w:sz="8" w:space="0"/>
                    <w:right w:val="single" w:color="000000" w:sz="8" w:space="0"/>
                  </w:tcBorders>
                  <w:shd w:val="clear" w:color="auto" w:fill="auto"/>
                  <w:vAlign w:val="center"/>
                </w:tcPr>
                <w:p w14:paraId="3CCDBD8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lang w:val="en-US"/>
                    </w:rPr>
                  </w:pPr>
                  <w:r>
                    <w:rPr>
                      <w:rFonts w:hint="eastAsia" w:ascii="Times New Roman" w:hAnsi="Times New Roman" w:eastAsia="宋体" w:cs="Times New Roman"/>
                      <w:i w:val="0"/>
                      <w:iCs w:val="0"/>
                      <w:color w:val="auto"/>
                      <w:kern w:val="0"/>
                      <w:sz w:val="21"/>
                      <w:szCs w:val="21"/>
                      <w:u w:val="none" w:color="auto"/>
                      <w:lang w:val="en-US" w:eastAsia="zh-CN" w:bidi="ar"/>
                    </w:rPr>
                    <w:t>1.0</w:t>
                  </w:r>
                </w:p>
              </w:tc>
              <w:tc>
                <w:tcPr>
                  <w:tcW w:w="1759" w:type="dxa"/>
                  <w:tcBorders>
                    <w:top w:val="nil"/>
                    <w:left w:val="nil"/>
                    <w:bottom w:val="single" w:color="000000" w:sz="8" w:space="0"/>
                    <w:right w:val="single" w:color="000000" w:sz="8" w:space="0"/>
                  </w:tcBorders>
                  <w:shd w:val="clear" w:color="auto" w:fill="auto"/>
                  <w:vAlign w:val="center"/>
                </w:tcPr>
                <w:p w14:paraId="66B4187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达标</w:t>
                  </w:r>
                </w:p>
              </w:tc>
            </w:tr>
            <w:tr w14:paraId="4AC08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jc w:val="center"/>
              </w:trPr>
              <w:tc>
                <w:tcPr>
                  <w:tcW w:w="1482" w:type="dxa"/>
                  <w:tcBorders>
                    <w:top w:val="nil"/>
                    <w:left w:val="single" w:color="000000" w:sz="8" w:space="0"/>
                    <w:bottom w:val="single" w:color="000000" w:sz="8" w:space="0"/>
                    <w:right w:val="single" w:color="000000" w:sz="8" w:space="0"/>
                  </w:tcBorders>
                  <w:shd w:val="clear" w:color="auto" w:fill="auto"/>
                  <w:vAlign w:val="center"/>
                </w:tcPr>
                <w:p w14:paraId="2CE7389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color w:val="auto"/>
                      <w:kern w:val="0"/>
                      <w:sz w:val="22"/>
                      <w:szCs w:val="22"/>
                      <w:u w:val="none" w:color="auto"/>
                      <w:lang w:val="en-US" w:eastAsia="zh-CN" w:bidi="ar"/>
                    </w:rPr>
                    <w:t>2</w:t>
                  </w:r>
                </w:p>
              </w:tc>
              <w:tc>
                <w:tcPr>
                  <w:tcW w:w="1759" w:type="dxa"/>
                  <w:tcBorders>
                    <w:top w:val="nil"/>
                    <w:left w:val="nil"/>
                    <w:bottom w:val="single" w:color="000000" w:sz="8" w:space="0"/>
                    <w:right w:val="single" w:color="000000" w:sz="8" w:space="0"/>
                  </w:tcBorders>
                  <w:shd w:val="clear" w:color="auto" w:fill="auto"/>
                  <w:vAlign w:val="center"/>
                </w:tcPr>
                <w:p w14:paraId="60835DAD">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rPr>
                  </w:pPr>
                  <w:r>
                    <w:rPr>
                      <w:rFonts w:hint="eastAsia" w:ascii="Times New Roman" w:hAnsi="Times New Roman" w:eastAsia="宋体" w:cs="Times New Roman"/>
                      <w:i w:val="0"/>
                      <w:iCs w:val="0"/>
                      <w:color w:val="auto"/>
                      <w:kern w:val="0"/>
                      <w:sz w:val="21"/>
                      <w:szCs w:val="21"/>
                      <w:u w:val="none" w:color="auto"/>
                      <w:lang w:val="en-US" w:eastAsia="zh-CN" w:bidi="ar"/>
                    </w:rPr>
                    <w:t>硫化氢</w:t>
                  </w:r>
                </w:p>
              </w:tc>
              <w:tc>
                <w:tcPr>
                  <w:tcW w:w="1759" w:type="dxa"/>
                  <w:tcBorders>
                    <w:top w:val="nil"/>
                    <w:left w:val="nil"/>
                    <w:bottom w:val="single" w:color="000000" w:sz="8" w:space="0"/>
                    <w:right w:val="single" w:color="000000" w:sz="8" w:space="0"/>
                  </w:tcBorders>
                  <w:shd w:val="clear" w:color="auto" w:fill="auto"/>
                  <w:vAlign w:val="center"/>
                </w:tcPr>
                <w:p w14:paraId="54CA2E67">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lang w:val="en-US"/>
                    </w:rPr>
                  </w:pPr>
                  <w:r>
                    <w:rPr>
                      <w:rFonts w:hint="eastAsia" w:ascii="Times New Roman" w:hAnsi="Times New Roman" w:eastAsia="宋体" w:cs="Times New Roman"/>
                      <w:i w:val="0"/>
                      <w:iCs w:val="0"/>
                      <w:color w:val="auto"/>
                      <w:kern w:val="0"/>
                      <w:sz w:val="21"/>
                      <w:szCs w:val="21"/>
                      <w:u w:val="none" w:color="auto"/>
                      <w:lang w:val="en-US" w:eastAsia="zh-CN" w:bidi="ar"/>
                    </w:rPr>
                    <w:t>ND~0.006</w:t>
                  </w:r>
                </w:p>
              </w:tc>
              <w:tc>
                <w:tcPr>
                  <w:tcW w:w="1759" w:type="dxa"/>
                  <w:tcBorders>
                    <w:top w:val="nil"/>
                    <w:left w:val="nil"/>
                    <w:bottom w:val="single" w:color="000000" w:sz="8" w:space="0"/>
                    <w:right w:val="single" w:color="000000" w:sz="8" w:space="0"/>
                  </w:tcBorders>
                  <w:shd w:val="clear" w:color="auto" w:fill="auto"/>
                  <w:vAlign w:val="center"/>
                </w:tcPr>
                <w:p w14:paraId="06A620C3">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0.03</w:t>
                  </w:r>
                </w:p>
              </w:tc>
              <w:tc>
                <w:tcPr>
                  <w:tcW w:w="1759" w:type="dxa"/>
                  <w:tcBorders>
                    <w:top w:val="nil"/>
                    <w:left w:val="nil"/>
                    <w:bottom w:val="single" w:color="000000" w:sz="8" w:space="0"/>
                    <w:right w:val="single" w:color="000000" w:sz="8" w:space="0"/>
                  </w:tcBorders>
                  <w:shd w:val="clear" w:color="auto" w:fill="auto"/>
                  <w:vAlign w:val="center"/>
                </w:tcPr>
                <w:p w14:paraId="598221E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达标</w:t>
                  </w:r>
                </w:p>
              </w:tc>
            </w:tr>
            <w:tr w14:paraId="48D4A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jc w:val="center"/>
              </w:trPr>
              <w:tc>
                <w:tcPr>
                  <w:tcW w:w="1482" w:type="dxa"/>
                  <w:tcBorders>
                    <w:top w:val="nil"/>
                    <w:left w:val="single" w:color="000000" w:sz="8" w:space="0"/>
                    <w:bottom w:val="single" w:color="000000" w:sz="8" w:space="0"/>
                    <w:right w:val="single" w:color="000000" w:sz="8" w:space="0"/>
                  </w:tcBorders>
                  <w:shd w:val="clear" w:color="auto" w:fill="auto"/>
                  <w:vAlign w:val="center"/>
                </w:tcPr>
                <w:p w14:paraId="02316EAC">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color w:val="auto"/>
                      <w:kern w:val="0"/>
                      <w:sz w:val="22"/>
                      <w:szCs w:val="22"/>
                      <w:u w:val="none" w:color="auto"/>
                      <w:lang w:val="en-US" w:eastAsia="zh-CN" w:bidi="ar"/>
                    </w:rPr>
                    <w:t>3</w:t>
                  </w:r>
                </w:p>
              </w:tc>
              <w:tc>
                <w:tcPr>
                  <w:tcW w:w="1759" w:type="dxa"/>
                  <w:tcBorders>
                    <w:top w:val="nil"/>
                    <w:left w:val="nil"/>
                    <w:bottom w:val="single" w:color="000000" w:sz="8" w:space="0"/>
                    <w:right w:val="single" w:color="000000" w:sz="8" w:space="0"/>
                  </w:tcBorders>
                  <w:shd w:val="clear" w:color="auto" w:fill="auto"/>
                  <w:vAlign w:val="center"/>
                </w:tcPr>
                <w:p w14:paraId="5DD5480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lang w:val="en-US"/>
                    </w:rPr>
                  </w:pPr>
                  <w:r>
                    <w:rPr>
                      <w:rFonts w:hint="eastAsia" w:ascii="Times New Roman" w:hAnsi="Times New Roman" w:eastAsia="宋体" w:cs="Times New Roman"/>
                      <w:i w:val="0"/>
                      <w:iCs w:val="0"/>
                      <w:color w:val="auto"/>
                      <w:kern w:val="0"/>
                      <w:sz w:val="21"/>
                      <w:szCs w:val="21"/>
                      <w:u w:val="none" w:color="auto"/>
                      <w:lang w:val="en-US" w:eastAsia="zh-CN" w:bidi="ar"/>
                    </w:rPr>
                    <w:t>臭气浓度</w:t>
                  </w:r>
                </w:p>
              </w:tc>
              <w:tc>
                <w:tcPr>
                  <w:tcW w:w="1759" w:type="dxa"/>
                  <w:tcBorders>
                    <w:top w:val="nil"/>
                    <w:left w:val="nil"/>
                    <w:bottom w:val="single" w:color="000000" w:sz="8" w:space="0"/>
                    <w:right w:val="single" w:color="000000" w:sz="8" w:space="0"/>
                  </w:tcBorders>
                  <w:shd w:val="clear" w:color="auto" w:fill="auto"/>
                  <w:vAlign w:val="center"/>
                </w:tcPr>
                <w:p w14:paraId="470FD6C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lang w:val="en-US"/>
                    </w:rPr>
                  </w:pPr>
                  <w:r>
                    <w:rPr>
                      <w:rFonts w:hint="eastAsia" w:ascii="Times New Roman" w:hAnsi="Times New Roman" w:eastAsia="宋体" w:cs="Times New Roman"/>
                      <w:i w:val="0"/>
                      <w:iCs w:val="0"/>
                      <w:color w:val="auto"/>
                      <w:kern w:val="0"/>
                      <w:sz w:val="21"/>
                      <w:szCs w:val="21"/>
                      <w:u w:val="none" w:color="auto"/>
                      <w:lang w:val="en-US" w:eastAsia="zh-CN" w:bidi="ar"/>
                    </w:rPr>
                    <w:t>＜10</w:t>
                  </w:r>
                  <w:r>
                    <w:rPr>
                      <w:rFonts w:hint="eastAsia" w:cs="Times New Roman"/>
                      <w:i w:val="0"/>
                      <w:iCs w:val="0"/>
                      <w:color w:val="auto"/>
                      <w:kern w:val="0"/>
                      <w:sz w:val="21"/>
                      <w:szCs w:val="21"/>
                      <w:u w:val="none" w:color="auto"/>
                      <w:lang w:val="en-US" w:eastAsia="zh-CN" w:bidi="ar"/>
                    </w:rPr>
                    <w:t>（无量纲）</w:t>
                  </w:r>
                </w:p>
              </w:tc>
              <w:tc>
                <w:tcPr>
                  <w:tcW w:w="1759" w:type="dxa"/>
                  <w:tcBorders>
                    <w:top w:val="nil"/>
                    <w:left w:val="nil"/>
                    <w:bottom w:val="single" w:color="000000" w:sz="8" w:space="0"/>
                    <w:right w:val="single" w:color="000000" w:sz="8" w:space="0"/>
                  </w:tcBorders>
                  <w:shd w:val="clear" w:color="auto" w:fill="auto"/>
                  <w:vAlign w:val="center"/>
                </w:tcPr>
                <w:p w14:paraId="7DB8DABF">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color="auto"/>
                      <w:lang w:val="en-US"/>
                    </w:rPr>
                  </w:pPr>
                  <w:r>
                    <w:rPr>
                      <w:rFonts w:hint="eastAsia" w:ascii="Times New Roman" w:hAnsi="Times New Roman" w:eastAsia="宋体" w:cs="Times New Roman"/>
                      <w:i w:val="0"/>
                      <w:iCs w:val="0"/>
                      <w:color w:val="auto"/>
                      <w:kern w:val="0"/>
                      <w:sz w:val="21"/>
                      <w:szCs w:val="21"/>
                      <w:u w:val="none" w:color="auto"/>
                      <w:lang w:val="en-US" w:eastAsia="zh-CN" w:bidi="ar"/>
                    </w:rPr>
                    <w:t>10</w:t>
                  </w:r>
                  <w:r>
                    <w:rPr>
                      <w:rFonts w:hint="eastAsia" w:cs="Times New Roman"/>
                      <w:i w:val="0"/>
                      <w:iCs w:val="0"/>
                      <w:color w:val="auto"/>
                      <w:kern w:val="0"/>
                      <w:sz w:val="21"/>
                      <w:szCs w:val="21"/>
                      <w:u w:val="none" w:color="auto"/>
                      <w:lang w:val="en-US" w:eastAsia="zh-CN" w:bidi="ar"/>
                    </w:rPr>
                    <w:t>（无量纲）</w:t>
                  </w:r>
                </w:p>
              </w:tc>
              <w:tc>
                <w:tcPr>
                  <w:tcW w:w="1759" w:type="dxa"/>
                  <w:tcBorders>
                    <w:top w:val="nil"/>
                    <w:left w:val="nil"/>
                    <w:bottom w:val="single" w:color="000000" w:sz="8" w:space="0"/>
                    <w:right w:val="single" w:color="000000" w:sz="8" w:space="0"/>
                  </w:tcBorders>
                  <w:shd w:val="clear" w:color="auto" w:fill="auto"/>
                  <w:vAlign w:val="center"/>
                </w:tcPr>
                <w:p w14:paraId="5715520F">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达标</w:t>
                  </w:r>
                </w:p>
              </w:tc>
            </w:tr>
          </w:tbl>
          <w:p w14:paraId="235AF718">
            <w:pPr>
              <w:spacing w:beforeLines="0" w:afterLines="0"/>
              <w:jc w:val="left"/>
              <w:rPr>
                <w:rFonts w:hint="eastAsia" w:ascii="宋体" w:hAnsi="宋体" w:eastAsia="宋体"/>
                <w:color w:val="auto"/>
                <w:sz w:val="24"/>
                <w:szCs w:val="24"/>
                <w:u w:val="none" w:color="auto"/>
              </w:rPr>
            </w:pPr>
            <w:r>
              <w:rPr>
                <w:rFonts w:hint="eastAsia" w:ascii="宋体" w:hAnsi="宋体"/>
                <w:color w:val="auto"/>
                <w:sz w:val="24"/>
                <w:szCs w:val="24"/>
                <w:u w:val="none" w:color="auto"/>
                <w:lang w:val="en-US" w:eastAsia="zh-CN"/>
              </w:rPr>
              <w:t>修水安康精神病医院场界</w:t>
            </w:r>
            <w:r>
              <w:rPr>
                <w:rFonts w:hint="eastAsia" w:ascii="宋体" w:hAnsi="宋体" w:eastAsia="宋体"/>
                <w:color w:val="auto"/>
                <w:sz w:val="24"/>
                <w:szCs w:val="24"/>
                <w:u w:val="none" w:color="auto"/>
              </w:rPr>
              <w:t>无组织氨</w:t>
            </w:r>
            <w:r>
              <w:rPr>
                <w:rFonts w:hint="eastAsia" w:ascii="宋体" w:hAnsi="宋体" w:eastAsia="宋体"/>
                <w:color w:val="auto"/>
                <w:sz w:val="24"/>
                <w:szCs w:val="24"/>
                <w:u w:val="none" w:color="auto"/>
                <w:lang w:eastAsia="zh-CN"/>
              </w:rPr>
              <w:t>、</w:t>
            </w:r>
            <w:r>
              <w:rPr>
                <w:rFonts w:hint="eastAsia" w:ascii="宋体" w:hAnsi="宋体" w:eastAsia="宋体"/>
                <w:color w:val="auto"/>
                <w:sz w:val="24"/>
                <w:szCs w:val="24"/>
                <w:u w:val="none" w:color="auto"/>
              </w:rPr>
              <w:t>硫化氢</w:t>
            </w:r>
            <w:r>
              <w:rPr>
                <w:rFonts w:hint="eastAsia" w:ascii="宋体" w:hAnsi="宋体" w:eastAsia="宋体"/>
                <w:color w:val="auto"/>
                <w:sz w:val="24"/>
                <w:szCs w:val="24"/>
                <w:u w:val="none" w:color="auto"/>
                <w:lang w:eastAsia="zh-CN"/>
              </w:rPr>
              <w:t>、</w:t>
            </w:r>
            <w:r>
              <w:rPr>
                <w:rFonts w:hint="eastAsia" w:ascii="宋体" w:hAnsi="宋体" w:eastAsia="宋体"/>
                <w:color w:val="auto"/>
                <w:sz w:val="24"/>
                <w:szCs w:val="24"/>
                <w:u w:val="none" w:color="auto"/>
                <w:lang w:val="en-US" w:eastAsia="zh-CN"/>
              </w:rPr>
              <w:t>臭气浓度</w:t>
            </w:r>
            <w:r>
              <w:rPr>
                <w:rFonts w:hint="eastAsia" w:ascii="宋体" w:hAnsi="宋体" w:eastAsia="宋体"/>
                <w:color w:val="auto"/>
                <w:sz w:val="24"/>
                <w:szCs w:val="24"/>
                <w:u w:val="none" w:color="auto"/>
              </w:rPr>
              <w:t>的监测数据满足</w:t>
            </w:r>
            <w:r>
              <w:rPr>
                <w:rFonts w:hint="eastAsia" w:ascii="Times New Roman" w:hAnsi="Times New Roman" w:eastAsia="宋体" w:cs="Times New Roman"/>
                <w:color w:val="auto"/>
                <w:u w:val="none" w:color="auto"/>
              </w:rPr>
              <w:t>《恶臭污染物排放标准》</w:t>
            </w:r>
            <w:r>
              <w:rPr>
                <w:rFonts w:hint="eastAsia" w:ascii="Times New Roman" w:hAnsi="Times New Roman" w:eastAsia="宋体" w:cs="Times New Roman"/>
                <w:color w:val="auto"/>
                <w:u w:val="none" w:color="auto"/>
                <w:lang w:eastAsia="zh-CN"/>
              </w:rPr>
              <w:t>（</w:t>
            </w:r>
            <w:r>
              <w:rPr>
                <w:rFonts w:hint="eastAsia" w:ascii="Times New Roman" w:hAnsi="Times New Roman" w:eastAsia="宋体" w:cs="Times New Roman"/>
                <w:color w:val="auto"/>
                <w:u w:val="none" w:color="auto"/>
              </w:rPr>
              <w:t>GB14554-93</w:t>
            </w:r>
            <w:r>
              <w:rPr>
                <w:rFonts w:hint="eastAsia" w:ascii="Times New Roman" w:hAnsi="Times New Roman" w:eastAsia="宋体" w:cs="Times New Roman"/>
                <w:color w:val="auto"/>
                <w:u w:val="none" w:color="auto"/>
                <w:lang w:eastAsia="zh-CN"/>
              </w:rPr>
              <w:t>）</w:t>
            </w:r>
            <w:r>
              <w:rPr>
                <w:rFonts w:hint="eastAsia" w:ascii="Times New Roman" w:hAnsi="Times New Roman" w:eastAsia="宋体" w:cs="Times New Roman"/>
                <w:color w:val="auto"/>
                <w:u w:val="none" w:color="auto"/>
                <w:lang w:val="en-US" w:eastAsia="zh-CN"/>
              </w:rPr>
              <w:t>表1</w:t>
            </w:r>
            <w:r>
              <w:rPr>
                <w:rFonts w:hint="eastAsia" w:cs="Times New Roman"/>
                <w:color w:val="auto"/>
                <w:u w:val="none" w:color="auto"/>
                <w:lang w:val="en-US" w:eastAsia="zh-CN"/>
              </w:rPr>
              <w:t>一级</w:t>
            </w:r>
            <w:r>
              <w:rPr>
                <w:rFonts w:hint="eastAsia" w:ascii="Times New Roman" w:hAnsi="Times New Roman" w:eastAsia="宋体" w:cs="Times New Roman"/>
                <w:color w:val="auto"/>
                <w:u w:val="none" w:color="auto"/>
                <w:lang w:val="en-US" w:eastAsia="zh-CN"/>
              </w:rPr>
              <w:t>标准限值</w:t>
            </w:r>
            <w:r>
              <w:rPr>
                <w:rFonts w:hint="eastAsia" w:ascii="宋体" w:hAnsi="宋体" w:eastAsia="宋体"/>
                <w:color w:val="auto"/>
                <w:sz w:val="24"/>
                <w:szCs w:val="24"/>
                <w:u w:val="none" w:color="auto"/>
              </w:rPr>
              <w:t>。</w:t>
            </w:r>
          </w:p>
          <w:p w14:paraId="1266B235">
            <w:pPr>
              <w:spacing w:beforeLines="0" w:afterLines="0"/>
              <w:jc w:val="left"/>
              <w:rPr>
                <w:rFonts w:hint="default" w:ascii="宋体" w:hAnsi="宋体" w:eastAsia="宋体"/>
                <w:color w:val="auto"/>
                <w:sz w:val="24"/>
                <w:szCs w:val="24"/>
                <w:u w:val="none" w:color="auto"/>
                <w:lang w:val="en-US" w:eastAsia="zh-CN"/>
              </w:rPr>
            </w:pPr>
            <w:r>
              <w:rPr>
                <w:rFonts w:hint="eastAsia" w:ascii="宋体" w:hAnsi="宋体"/>
                <w:color w:val="auto"/>
                <w:sz w:val="24"/>
                <w:szCs w:val="24"/>
                <w:u w:val="none" w:color="auto"/>
                <w:lang w:val="en-US" w:eastAsia="zh-CN"/>
              </w:rPr>
              <w:t>由上述分析可知，</w:t>
            </w:r>
            <w:r>
              <w:rPr>
                <w:rFonts w:hint="eastAsia" w:ascii="宋体" w:hAnsi="宋体" w:eastAsia="宋体"/>
                <w:color w:val="auto"/>
                <w:sz w:val="24"/>
                <w:szCs w:val="24"/>
                <w:u w:val="none" w:color="auto"/>
              </w:rPr>
              <w:t>本项目污水处理站采取封闭的除臭措施可行，对周边环境影响不大。</w:t>
            </w:r>
          </w:p>
          <w:p w14:paraId="0CCC6F9C">
            <w:pPr>
              <w:pStyle w:val="36"/>
              <w:numPr>
                <w:ilvl w:val="0"/>
                <w:numId w:val="0"/>
              </w:numPr>
              <w:ind w:left="480" w:leftChars="0"/>
              <w:rPr>
                <w:color w:val="auto"/>
                <w:u w:val="none" w:color="auto"/>
              </w:rPr>
            </w:pPr>
            <w:r>
              <w:rPr>
                <w:rFonts w:hint="eastAsia"/>
                <w:color w:val="auto"/>
                <w:u w:val="none" w:color="auto"/>
                <w:lang w:eastAsia="zh-CN"/>
              </w:rPr>
              <w:t>（</w:t>
            </w:r>
            <w:r>
              <w:rPr>
                <w:rFonts w:hint="eastAsia"/>
                <w:color w:val="auto"/>
                <w:u w:val="none" w:color="auto"/>
                <w:lang w:val="en-US" w:eastAsia="zh-CN"/>
              </w:rPr>
              <w:t>三</w:t>
            </w:r>
            <w:r>
              <w:rPr>
                <w:rFonts w:hint="eastAsia"/>
                <w:color w:val="auto"/>
                <w:u w:val="none" w:color="auto"/>
                <w:lang w:eastAsia="zh-CN"/>
              </w:rPr>
              <w:t>）</w:t>
            </w:r>
            <w:r>
              <w:rPr>
                <w:color w:val="auto"/>
                <w:u w:val="none" w:color="auto"/>
              </w:rPr>
              <w:t>监测计划</w:t>
            </w:r>
          </w:p>
          <w:p w14:paraId="7736A9F2">
            <w:pPr>
              <w:ind w:firstLine="480"/>
              <w:rPr>
                <w:rFonts w:hint="eastAsia" w:eastAsia="宋体"/>
                <w:color w:val="auto"/>
                <w:u w:val="none" w:color="auto"/>
                <w:lang w:eastAsia="zh-CN"/>
              </w:rPr>
            </w:pPr>
            <w:r>
              <w:rPr>
                <w:color w:val="auto"/>
                <w:u w:val="none" w:color="auto"/>
              </w:rPr>
              <w:t xml:space="preserve">根据《排污单位自行监测技术指南 总则》（HJ819-2017）、《排污许可证申请与核发技术规范 </w:t>
            </w:r>
            <w:r>
              <w:rPr>
                <w:rFonts w:hint="eastAsia"/>
                <w:color w:val="auto"/>
                <w:u w:val="none" w:color="auto"/>
                <w:lang w:val="en-US" w:eastAsia="zh-CN"/>
              </w:rPr>
              <w:t>医疗结构</w:t>
            </w:r>
            <w:r>
              <w:rPr>
                <w:color w:val="auto"/>
                <w:u w:val="none" w:color="auto"/>
              </w:rPr>
              <w:t>》（HJ1</w:t>
            </w:r>
            <w:r>
              <w:rPr>
                <w:rFonts w:hint="eastAsia"/>
                <w:color w:val="auto"/>
                <w:u w:val="none" w:color="auto"/>
                <w:lang w:val="en-US" w:eastAsia="zh-CN"/>
              </w:rPr>
              <w:t>105</w:t>
            </w:r>
            <w:r>
              <w:rPr>
                <w:color w:val="auto"/>
                <w:u w:val="none" w:color="auto"/>
              </w:rPr>
              <w:t>-</w:t>
            </w:r>
            <w:r>
              <w:rPr>
                <w:rFonts w:hint="eastAsia"/>
                <w:color w:val="auto"/>
                <w:u w:val="none" w:color="auto"/>
                <w:lang w:val="en-US" w:eastAsia="zh-CN"/>
              </w:rPr>
              <w:t>2020</w:t>
            </w:r>
            <w:r>
              <w:rPr>
                <w:color w:val="auto"/>
                <w:u w:val="none" w:color="auto"/>
              </w:rPr>
              <w:t>）要求，项目运营期间应对废气排放进行自行监测，监测计划见下表</w:t>
            </w:r>
            <w:r>
              <w:rPr>
                <w:rFonts w:hint="eastAsia"/>
                <w:color w:val="auto"/>
                <w:u w:val="none" w:color="auto"/>
                <w:lang w:eastAsia="zh-CN"/>
              </w:rPr>
              <w:t>：</w:t>
            </w:r>
          </w:p>
          <w:p w14:paraId="552DBBC4">
            <w:pPr>
              <w:pStyle w:val="10"/>
              <w:numPr>
                <w:ilvl w:val="0"/>
                <w:numId w:val="3"/>
              </w:numPr>
              <w:ind w:left="0" w:firstLine="0" w:firstLineChars="0"/>
              <w:jc w:val="center"/>
              <w:rPr>
                <w:rFonts w:ascii="黑体" w:hAnsi="黑体" w:eastAsia="黑体"/>
                <w:b w:val="0"/>
                <w:color w:val="auto"/>
                <w:u w:val="none" w:color="auto"/>
              </w:rPr>
            </w:pPr>
            <w:r>
              <w:rPr>
                <w:rFonts w:ascii="黑体" w:hAnsi="黑体" w:eastAsia="黑体"/>
                <w:b w:val="0"/>
                <w:color w:val="auto"/>
                <w:u w:val="none" w:color="auto"/>
              </w:rPr>
              <w:t>监测计划表</w:t>
            </w:r>
          </w:p>
          <w:tbl>
            <w:tblPr>
              <w:tblStyle w:val="23"/>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620"/>
              <w:gridCol w:w="1642"/>
              <w:gridCol w:w="1365"/>
              <w:gridCol w:w="2257"/>
            </w:tblGrid>
            <w:tr w14:paraId="30E11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0" w:type="dxa"/>
                  <w:vAlign w:val="center"/>
                </w:tcPr>
                <w:p w14:paraId="1EA90E87">
                  <w:pPr>
                    <w:pStyle w:val="35"/>
                    <w:jc w:val="center"/>
                    <w:rPr>
                      <w:b/>
                      <w:color w:val="auto"/>
                      <w:u w:val="none" w:color="auto"/>
                    </w:rPr>
                  </w:pPr>
                  <w:r>
                    <w:rPr>
                      <w:b/>
                      <w:color w:val="auto"/>
                      <w:u w:val="none" w:color="auto"/>
                    </w:rPr>
                    <w:t>监测内容</w:t>
                  </w:r>
                </w:p>
              </w:tc>
              <w:tc>
                <w:tcPr>
                  <w:tcW w:w="1620" w:type="dxa"/>
                  <w:vAlign w:val="center"/>
                </w:tcPr>
                <w:p w14:paraId="5CA9FF23">
                  <w:pPr>
                    <w:pStyle w:val="35"/>
                    <w:jc w:val="center"/>
                    <w:rPr>
                      <w:b/>
                      <w:color w:val="auto"/>
                      <w:u w:val="none" w:color="auto"/>
                    </w:rPr>
                  </w:pPr>
                  <w:r>
                    <w:rPr>
                      <w:b/>
                      <w:color w:val="auto"/>
                      <w:u w:val="none" w:color="auto"/>
                    </w:rPr>
                    <w:t>监测点位</w:t>
                  </w:r>
                </w:p>
              </w:tc>
              <w:tc>
                <w:tcPr>
                  <w:tcW w:w="1642" w:type="dxa"/>
                  <w:vAlign w:val="center"/>
                </w:tcPr>
                <w:p w14:paraId="74B42861">
                  <w:pPr>
                    <w:pStyle w:val="35"/>
                    <w:jc w:val="center"/>
                    <w:rPr>
                      <w:b/>
                      <w:color w:val="auto"/>
                      <w:u w:val="none" w:color="auto"/>
                    </w:rPr>
                  </w:pPr>
                  <w:r>
                    <w:rPr>
                      <w:b/>
                      <w:color w:val="auto"/>
                      <w:u w:val="none" w:color="auto"/>
                    </w:rPr>
                    <w:t>监测因子</w:t>
                  </w:r>
                </w:p>
              </w:tc>
              <w:tc>
                <w:tcPr>
                  <w:tcW w:w="1365" w:type="dxa"/>
                  <w:vAlign w:val="center"/>
                </w:tcPr>
                <w:p w14:paraId="77BBD96E">
                  <w:pPr>
                    <w:pStyle w:val="35"/>
                    <w:jc w:val="center"/>
                    <w:rPr>
                      <w:b/>
                      <w:color w:val="auto"/>
                      <w:u w:val="none" w:color="auto"/>
                    </w:rPr>
                  </w:pPr>
                  <w:r>
                    <w:rPr>
                      <w:b/>
                      <w:color w:val="auto"/>
                      <w:u w:val="none" w:color="auto"/>
                    </w:rPr>
                    <w:t>监测频次</w:t>
                  </w:r>
                </w:p>
              </w:tc>
              <w:tc>
                <w:tcPr>
                  <w:tcW w:w="2257" w:type="dxa"/>
                  <w:vAlign w:val="center"/>
                </w:tcPr>
                <w:p w14:paraId="65BE9671">
                  <w:pPr>
                    <w:pStyle w:val="35"/>
                    <w:jc w:val="center"/>
                    <w:rPr>
                      <w:b/>
                      <w:color w:val="auto"/>
                      <w:u w:val="none" w:color="auto"/>
                    </w:rPr>
                  </w:pPr>
                  <w:r>
                    <w:rPr>
                      <w:b/>
                      <w:color w:val="auto"/>
                      <w:u w:val="none" w:color="auto"/>
                    </w:rPr>
                    <w:t>执行标准</w:t>
                  </w:r>
                </w:p>
              </w:tc>
            </w:tr>
            <w:tr w14:paraId="2EC7C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0" w:type="dxa"/>
                  <w:vAlign w:val="center"/>
                </w:tcPr>
                <w:p w14:paraId="36205540">
                  <w:pPr>
                    <w:pStyle w:val="35"/>
                    <w:jc w:val="center"/>
                    <w:rPr>
                      <w:color w:val="auto"/>
                      <w:u w:val="none" w:color="auto"/>
                    </w:rPr>
                  </w:pPr>
                  <w:r>
                    <w:rPr>
                      <w:color w:val="auto"/>
                      <w:u w:val="none" w:color="auto"/>
                    </w:rPr>
                    <w:t>大气污染源</w:t>
                  </w:r>
                </w:p>
              </w:tc>
              <w:tc>
                <w:tcPr>
                  <w:tcW w:w="1620" w:type="dxa"/>
                  <w:vAlign w:val="center"/>
                </w:tcPr>
                <w:p w14:paraId="24A06C1F">
                  <w:pPr>
                    <w:pStyle w:val="35"/>
                    <w:jc w:val="center"/>
                    <w:rPr>
                      <w:rFonts w:hint="default" w:eastAsia="宋体"/>
                      <w:color w:val="auto"/>
                      <w:u w:val="none" w:color="auto"/>
                      <w:lang w:val="en-US" w:eastAsia="zh-CN"/>
                    </w:rPr>
                  </w:pPr>
                  <w:r>
                    <w:rPr>
                      <w:rFonts w:hint="eastAsia"/>
                      <w:color w:val="auto"/>
                      <w:u w:val="none" w:color="auto"/>
                      <w:lang w:val="en-US" w:eastAsia="zh-CN"/>
                    </w:rPr>
                    <w:t>污水处理站周界</w:t>
                  </w:r>
                </w:p>
              </w:tc>
              <w:tc>
                <w:tcPr>
                  <w:tcW w:w="1642" w:type="dxa"/>
                  <w:vAlign w:val="center"/>
                </w:tcPr>
                <w:p w14:paraId="6998A2FC">
                  <w:pPr>
                    <w:pStyle w:val="35"/>
                    <w:jc w:val="center"/>
                    <w:rPr>
                      <w:rFonts w:hint="eastAsia" w:eastAsia="宋体"/>
                      <w:color w:val="auto"/>
                      <w:u w:val="none" w:color="auto"/>
                      <w:lang w:val="en-US" w:eastAsia="zh-CN"/>
                    </w:rPr>
                  </w:pPr>
                  <w:r>
                    <w:rPr>
                      <w:rFonts w:hint="eastAsia" w:ascii="TimesNewRomanPSMT" w:hAnsi="TimesNewRomanPSMT" w:eastAsia="TimesNewRomanPSMT"/>
                      <w:color w:val="auto"/>
                      <w:sz w:val="21"/>
                      <w:szCs w:val="24"/>
                      <w:u w:val="none" w:color="auto"/>
                    </w:rPr>
                    <w:t>NH</w:t>
                  </w:r>
                  <w:r>
                    <w:rPr>
                      <w:rFonts w:hint="eastAsia" w:ascii="TimesNewRomanPSMT" w:hAnsi="TimesNewRomanPSMT" w:eastAsia="TimesNewRomanPSMT"/>
                      <w:color w:val="auto"/>
                      <w:sz w:val="14"/>
                      <w:szCs w:val="24"/>
                      <w:u w:val="none" w:color="auto"/>
                    </w:rPr>
                    <w:t>3</w:t>
                  </w:r>
                  <w:r>
                    <w:rPr>
                      <w:rFonts w:hint="eastAsia" w:ascii="宋体" w:hAnsi="宋体" w:eastAsia="宋体"/>
                      <w:color w:val="auto"/>
                      <w:sz w:val="21"/>
                      <w:szCs w:val="24"/>
                      <w:u w:val="none" w:color="auto"/>
                    </w:rPr>
                    <w:t>、</w:t>
                  </w:r>
                  <w:r>
                    <w:rPr>
                      <w:rFonts w:hint="eastAsia" w:ascii="TimesNewRomanPSMT" w:hAnsi="TimesNewRomanPSMT" w:eastAsia="TimesNewRomanPSMT"/>
                      <w:color w:val="auto"/>
                      <w:sz w:val="21"/>
                      <w:szCs w:val="24"/>
                      <w:u w:val="none" w:color="auto"/>
                    </w:rPr>
                    <w:t>H</w:t>
                  </w:r>
                  <w:r>
                    <w:rPr>
                      <w:rFonts w:hint="eastAsia" w:ascii="TimesNewRomanPSMT" w:hAnsi="TimesNewRomanPSMT" w:eastAsia="TimesNewRomanPSMT"/>
                      <w:color w:val="auto"/>
                      <w:sz w:val="14"/>
                      <w:szCs w:val="24"/>
                      <w:u w:val="none" w:color="auto"/>
                    </w:rPr>
                    <w:t>2</w:t>
                  </w:r>
                  <w:r>
                    <w:rPr>
                      <w:rFonts w:hint="eastAsia" w:ascii="TimesNewRomanPSMT" w:hAnsi="TimesNewRomanPSMT" w:eastAsia="TimesNewRomanPSMT"/>
                      <w:color w:val="auto"/>
                      <w:sz w:val="21"/>
                      <w:szCs w:val="24"/>
                      <w:u w:val="none" w:color="auto"/>
                    </w:rPr>
                    <w:t>S</w:t>
                  </w:r>
                  <w:r>
                    <w:rPr>
                      <w:rFonts w:hint="eastAsia" w:ascii="宋体" w:hAnsi="宋体" w:eastAsia="宋体"/>
                      <w:color w:val="auto"/>
                      <w:sz w:val="21"/>
                      <w:szCs w:val="24"/>
                      <w:u w:val="none" w:color="auto"/>
                    </w:rPr>
                    <w:t>、臭气浓</w:t>
                  </w:r>
                  <w:r>
                    <w:rPr>
                      <w:rFonts w:hint="eastAsia" w:ascii="宋体" w:hAnsi="宋体" w:eastAsia="宋体"/>
                      <w:color w:val="auto"/>
                      <w:sz w:val="21"/>
                      <w:szCs w:val="24"/>
                      <w:u w:val="none" w:color="auto"/>
                      <w:lang w:val="en-US" w:eastAsia="zh-CN"/>
                    </w:rPr>
                    <w:t>度、</w:t>
                  </w:r>
                  <w:r>
                    <w:rPr>
                      <w:rFonts w:hint="eastAsia" w:ascii="宋体" w:hAnsi="宋体" w:eastAsia="宋体"/>
                      <w:color w:val="auto"/>
                      <w:sz w:val="21"/>
                      <w:szCs w:val="24"/>
                      <w:u w:val="none" w:color="auto"/>
                    </w:rPr>
                    <w:t>甲烷</w:t>
                  </w:r>
                </w:p>
              </w:tc>
              <w:tc>
                <w:tcPr>
                  <w:tcW w:w="1365" w:type="dxa"/>
                  <w:vAlign w:val="center"/>
                </w:tcPr>
                <w:p w14:paraId="17A934CE">
                  <w:pPr>
                    <w:pStyle w:val="35"/>
                    <w:jc w:val="center"/>
                    <w:rPr>
                      <w:rFonts w:hint="eastAsia" w:eastAsia="宋体"/>
                      <w:color w:val="auto"/>
                      <w:u w:val="none" w:color="auto"/>
                      <w:lang w:eastAsia="zh-CN"/>
                    </w:rPr>
                  </w:pPr>
                  <w:r>
                    <w:rPr>
                      <w:rFonts w:hint="eastAsia"/>
                      <w:color w:val="auto"/>
                      <w:u w:val="none" w:color="auto"/>
                      <w:lang w:val="en-US" w:eastAsia="zh-CN"/>
                    </w:rPr>
                    <w:t>1</w:t>
                  </w:r>
                  <w:r>
                    <w:rPr>
                      <w:color w:val="auto"/>
                      <w:u w:val="none" w:color="auto"/>
                    </w:rPr>
                    <w:t>次</w:t>
                  </w:r>
                  <w:r>
                    <w:rPr>
                      <w:rFonts w:hint="eastAsia"/>
                      <w:color w:val="auto"/>
                      <w:u w:val="none" w:color="auto"/>
                      <w:lang w:val="en-US" w:eastAsia="zh-CN"/>
                    </w:rPr>
                    <w:t>/季度</w:t>
                  </w:r>
                </w:p>
              </w:tc>
              <w:tc>
                <w:tcPr>
                  <w:tcW w:w="2257" w:type="dxa"/>
                  <w:vAlign w:val="center"/>
                </w:tcPr>
                <w:p w14:paraId="02B96877">
                  <w:pPr>
                    <w:pStyle w:val="35"/>
                    <w:jc w:val="center"/>
                    <w:rPr>
                      <w:color w:val="auto"/>
                      <w:u w:val="none" w:color="auto"/>
                    </w:rPr>
                  </w:pPr>
                  <w:r>
                    <w:rPr>
                      <w:rFonts w:hint="eastAsia"/>
                      <w:color w:val="auto"/>
                      <w:u w:val="none" w:color="auto"/>
                    </w:rPr>
                    <w:t>《医疗机构水污染物排放标准》（GB18466-2005）</w:t>
                  </w:r>
                </w:p>
              </w:tc>
            </w:tr>
          </w:tbl>
          <w:p w14:paraId="734DD7A5">
            <w:pPr>
              <w:pStyle w:val="36"/>
              <w:numPr>
                <w:ilvl w:val="0"/>
                <w:numId w:val="0"/>
              </w:numPr>
              <w:ind w:left="480" w:leftChars="0"/>
              <w:rPr>
                <w:b/>
                <w:color w:val="auto"/>
                <w:u w:val="none" w:color="auto"/>
              </w:rPr>
            </w:pPr>
            <w:r>
              <w:rPr>
                <w:rFonts w:hint="eastAsia"/>
                <w:b/>
                <w:color w:val="auto"/>
                <w:u w:val="none" w:color="auto"/>
                <w:lang w:val="en-US" w:eastAsia="zh-CN"/>
              </w:rPr>
              <w:t>三、</w:t>
            </w:r>
            <w:r>
              <w:rPr>
                <w:b/>
                <w:color w:val="auto"/>
                <w:u w:val="none" w:color="auto"/>
              </w:rPr>
              <w:t>噪声</w:t>
            </w:r>
          </w:p>
          <w:p w14:paraId="20FB097F">
            <w:pPr>
              <w:pStyle w:val="36"/>
              <w:numPr>
                <w:ilvl w:val="0"/>
                <w:numId w:val="0"/>
              </w:numPr>
              <w:ind w:left="480" w:leftChars="0"/>
              <w:rPr>
                <w:color w:val="auto"/>
                <w:u w:val="none" w:color="auto"/>
              </w:rPr>
            </w:pPr>
            <w:r>
              <w:rPr>
                <w:rFonts w:hint="eastAsia"/>
                <w:color w:val="auto"/>
                <w:u w:val="none" w:color="auto"/>
                <w:lang w:eastAsia="zh-CN"/>
              </w:rPr>
              <w:t>（</w:t>
            </w:r>
            <w:r>
              <w:rPr>
                <w:rFonts w:hint="eastAsia"/>
                <w:color w:val="auto"/>
                <w:u w:val="none" w:color="auto"/>
                <w:lang w:val="en-US" w:eastAsia="zh-CN"/>
              </w:rPr>
              <w:t>一</w:t>
            </w:r>
            <w:r>
              <w:rPr>
                <w:rFonts w:hint="eastAsia"/>
                <w:color w:val="auto"/>
                <w:u w:val="none" w:color="auto"/>
                <w:lang w:eastAsia="zh-CN"/>
              </w:rPr>
              <w:t>）</w:t>
            </w:r>
            <w:r>
              <w:rPr>
                <w:color w:val="auto"/>
                <w:u w:val="none" w:color="auto"/>
              </w:rPr>
              <w:t>噪声源强及降噪措施</w:t>
            </w:r>
          </w:p>
          <w:p w14:paraId="3FBA27AA">
            <w:pPr>
              <w:ind w:firstLine="480"/>
              <w:rPr>
                <w:color w:val="auto"/>
                <w:u w:val="none" w:color="auto"/>
              </w:rPr>
            </w:pPr>
            <w:r>
              <w:rPr>
                <w:color w:val="auto"/>
                <w:u w:val="none" w:color="auto"/>
              </w:rPr>
              <w:t>本项目运营期噪声源主要为</w:t>
            </w:r>
            <w:r>
              <w:rPr>
                <w:rFonts w:hint="eastAsia"/>
                <w:color w:val="auto"/>
                <w:u w:val="none" w:color="auto"/>
                <w:lang w:val="en-US" w:eastAsia="zh-CN"/>
              </w:rPr>
              <w:t>鼓风机、污水泵、分体式空调</w:t>
            </w:r>
            <w:r>
              <w:rPr>
                <w:color w:val="auto"/>
                <w:u w:val="none" w:color="auto"/>
              </w:rPr>
              <w:t>等设备运行时产生的噪声，设备噪声值在</w:t>
            </w:r>
            <w:r>
              <w:rPr>
                <w:rFonts w:hint="eastAsia"/>
                <w:color w:val="auto"/>
                <w:u w:val="none" w:color="auto"/>
                <w:lang w:val="en-US" w:eastAsia="zh-CN"/>
              </w:rPr>
              <w:t>60</w:t>
            </w:r>
            <w:r>
              <w:rPr>
                <w:color w:val="auto"/>
                <w:u w:val="none" w:color="auto"/>
              </w:rPr>
              <w:t>～</w:t>
            </w:r>
            <w:r>
              <w:rPr>
                <w:rFonts w:hint="eastAsia"/>
                <w:color w:val="auto"/>
                <w:u w:val="none" w:color="auto"/>
                <w:lang w:val="en-US" w:eastAsia="zh-CN"/>
              </w:rPr>
              <w:t>80</w:t>
            </w:r>
            <w:r>
              <w:rPr>
                <w:color w:val="auto"/>
                <w:u w:val="none" w:color="auto"/>
              </w:rPr>
              <w:t>dB(A</w:t>
            </w:r>
            <w:r>
              <w:rPr>
                <w:rFonts w:hint="eastAsia"/>
                <w:color w:val="auto"/>
                <w:u w:val="none" w:color="auto"/>
                <w:lang w:eastAsia="zh-CN"/>
              </w:rPr>
              <w:t>）</w:t>
            </w:r>
            <w:r>
              <w:rPr>
                <w:color w:val="auto"/>
                <w:u w:val="none" w:color="auto"/>
              </w:rPr>
              <w:t>之间。</w:t>
            </w:r>
          </w:p>
          <w:p w14:paraId="5E5C6568">
            <w:pPr>
              <w:pStyle w:val="10"/>
              <w:numPr>
                <w:ilvl w:val="0"/>
                <w:numId w:val="3"/>
              </w:numPr>
              <w:ind w:left="0" w:firstLine="0" w:firstLineChars="0"/>
              <w:jc w:val="center"/>
              <w:rPr>
                <w:rFonts w:ascii="黑体" w:hAnsi="黑体" w:eastAsia="黑体"/>
                <w:b w:val="0"/>
                <w:color w:val="auto"/>
                <w:u w:val="none" w:color="auto"/>
              </w:rPr>
            </w:pPr>
            <w:r>
              <w:rPr>
                <w:rFonts w:hint="eastAsia" w:ascii="黑体" w:hAnsi="黑体" w:eastAsia="黑体"/>
                <w:b w:val="0"/>
                <w:color w:val="auto"/>
                <w:u w:val="none" w:color="auto"/>
                <w:lang w:val="en-US" w:eastAsia="zh-CN"/>
              </w:rPr>
              <w:t>项目设备噪声源强表</w:t>
            </w:r>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425"/>
              <w:gridCol w:w="1926"/>
              <w:gridCol w:w="1150"/>
              <w:gridCol w:w="1562"/>
              <w:gridCol w:w="1643"/>
            </w:tblGrid>
            <w:tr w14:paraId="2E02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41" w:type="dxa"/>
                  <w:gridSpan w:val="2"/>
                  <w:vAlign w:val="center"/>
                </w:tcPr>
                <w:p w14:paraId="69B2D3A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主要噪声设备</w:t>
                  </w:r>
                </w:p>
              </w:tc>
              <w:tc>
                <w:tcPr>
                  <w:tcW w:w="1926" w:type="dxa"/>
                  <w:vAlign w:val="center"/>
                </w:tcPr>
                <w:p w14:paraId="00857FC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位置</w:t>
                  </w:r>
                </w:p>
              </w:tc>
              <w:tc>
                <w:tcPr>
                  <w:tcW w:w="1150" w:type="dxa"/>
                  <w:vAlign w:val="center"/>
                </w:tcPr>
                <w:p w14:paraId="3B70CC5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数量</w:t>
                  </w:r>
                  <w:r>
                    <w:rPr>
                      <w:rFonts w:hint="eastAsia"/>
                      <w:color w:val="auto"/>
                      <w:sz w:val="21"/>
                      <w:szCs w:val="21"/>
                      <w:u w:val="none" w:color="auto"/>
                      <w:lang w:eastAsia="zh-CN"/>
                    </w:rPr>
                    <w:t>（</w:t>
                  </w:r>
                  <w:r>
                    <w:rPr>
                      <w:color w:val="auto"/>
                      <w:sz w:val="21"/>
                      <w:szCs w:val="21"/>
                      <w:u w:val="none" w:color="auto"/>
                    </w:rPr>
                    <w:t>台</w:t>
                  </w:r>
                  <w:r>
                    <w:rPr>
                      <w:rFonts w:hint="eastAsia"/>
                      <w:color w:val="auto"/>
                      <w:sz w:val="21"/>
                      <w:szCs w:val="21"/>
                      <w:u w:val="none" w:color="auto"/>
                      <w:lang w:eastAsia="zh-CN"/>
                    </w:rPr>
                    <w:t>）</w:t>
                  </w:r>
                </w:p>
              </w:tc>
              <w:tc>
                <w:tcPr>
                  <w:tcW w:w="1562" w:type="dxa"/>
                  <w:vAlign w:val="center"/>
                </w:tcPr>
                <w:p w14:paraId="349AC58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声压级dB(A)</w:t>
                  </w:r>
                </w:p>
              </w:tc>
              <w:tc>
                <w:tcPr>
                  <w:tcW w:w="1643" w:type="dxa"/>
                  <w:vAlign w:val="center"/>
                </w:tcPr>
                <w:p w14:paraId="1FADF05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备注</w:t>
                  </w:r>
                </w:p>
              </w:tc>
            </w:tr>
            <w:tr w14:paraId="048E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6" w:type="dxa"/>
                  <w:vMerge w:val="restart"/>
                  <w:vAlign w:val="center"/>
                </w:tcPr>
                <w:p w14:paraId="5D378F2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污水处理</w:t>
                  </w:r>
                </w:p>
              </w:tc>
              <w:tc>
                <w:tcPr>
                  <w:tcW w:w="1425" w:type="dxa"/>
                  <w:vAlign w:val="center"/>
                </w:tcPr>
                <w:p w14:paraId="7E26D13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鼓风机</w:t>
                  </w:r>
                </w:p>
              </w:tc>
              <w:tc>
                <w:tcPr>
                  <w:tcW w:w="1926" w:type="dxa"/>
                  <w:vMerge w:val="restart"/>
                  <w:vAlign w:val="center"/>
                </w:tcPr>
                <w:p w14:paraId="094A658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污水处理站设备房</w:t>
                  </w:r>
                </w:p>
              </w:tc>
              <w:tc>
                <w:tcPr>
                  <w:tcW w:w="1150" w:type="dxa"/>
                  <w:vAlign w:val="center"/>
                </w:tcPr>
                <w:p w14:paraId="3EA8F96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1</w:t>
                  </w:r>
                </w:p>
              </w:tc>
              <w:tc>
                <w:tcPr>
                  <w:tcW w:w="1562" w:type="dxa"/>
                  <w:vAlign w:val="center"/>
                </w:tcPr>
                <w:p w14:paraId="55FAA91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olor w:val="auto"/>
                      <w:sz w:val="21"/>
                      <w:szCs w:val="21"/>
                      <w:u w:val="none" w:color="auto"/>
                    </w:rPr>
                  </w:pPr>
                  <w:r>
                    <w:rPr>
                      <w:rFonts w:hint="eastAsia"/>
                      <w:color w:val="auto"/>
                      <w:sz w:val="21"/>
                      <w:szCs w:val="21"/>
                      <w:u w:val="none" w:color="auto"/>
                    </w:rPr>
                    <w:t>80</w:t>
                  </w:r>
                </w:p>
              </w:tc>
              <w:tc>
                <w:tcPr>
                  <w:tcW w:w="1643" w:type="dxa"/>
                  <w:vMerge w:val="restart"/>
                  <w:vAlign w:val="center"/>
                </w:tcPr>
                <w:p w14:paraId="3AEC2AC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 xml:space="preserve">连续性 </w:t>
                  </w:r>
                </w:p>
              </w:tc>
            </w:tr>
            <w:tr w14:paraId="505C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6" w:type="dxa"/>
                  <w:vMerge w:val="continue"/>
                  <w:vAlign w:val="center"/>
                </w:tcPr>
                <w:p w14:paraId="7CE4FA4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p>
              </w:tc>
              <w:tc>
                <w:tcPr>
                  <w:tcW w:w="1425" w:type="dxa"/>
                  <w:vAlign w:val="center"/>
                </w:tcPr>
                <w:p w14:paraId="590D16B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污水泵</w:t>
                  </w:r>
                </w:p>
              </w:tc>
              <w:tc>
                <w:tcPr>
                  <w:tcW w:w="1926" w:type="dxa"/>
                  <w:vMerge w:val="continue"/>
                  <w:vAlign w:val="center"/>
                </w:tcPr>
                <w:p w14:paraId="53DC0F1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p>
              </w:tc>
              <w:tc>
                <w:tcPr>
                  <w:tcW w:w="1150" w:type="dxa"/>
                  <w:vAlign w:val="center"/>
                </w:tcPr>
                <w:p w14:paraId="1D4AD2D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1</w:t>
                  </w:r>
                </w:p>
              </w:tc>
              <w:tc>
                <w:tcPr>
                  <w:tcW w:w="1562" w:type="dxa"/>
                  <w:vAlign w:val="center"/>
                </w:tcPr>
                <w:p w14:paraId="3D717A3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rFonts w:hint="eastAsia"/>
                      <w:color w:val="auto"/>
                      <w:sz w:val="21"/>
                      <w:szCs w:val="21"/>
                      <w:u w:val="none" w:color="auto"/>
                    </w:rPr>
                    <w:t>75</w:t>
                  </w:r>
                </w:p>
              </w:tc>
              <w:tc>
                <w:tcPr>
                  <w:tcW w:w="1643" w:type="dxa"/>
                  <w:vMerge w:val="continue"/>
                  <w:vAlign w:val="center"/>
                </w:tcPr>
                <w:p w14:paraId="652F945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p>
              </w:tc>
            </w:tr>
            <w:tr w14:paraId="05D3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1" w:type="dxa"/>
                  <w:gridSpan w:val="2"/>
                  <w:vAlign w:val="center"/>
                </w:tcPr>
                <w:p w14:paraId="362B0CC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分体式空调</w:t>
                  </w:r>
                </w:p>
              </w:tc>
              <w:tc>
                <w:tcPr>
                  <w:tcW w:w="1926" w:type="dxa"/>
                  <w:vAlign w:val="center"/>
                </w:tcPr>
                <w:p w14:paraId="30372C8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rFonts w:hint="eastAsia"/>
                      <w:color w:val="auto"/>
                      <w:sz w:val="21"/>
                      <w:szCs w:val="21"/>
                      <w:u w:val="none" w:color="auto"/>
                      <w:lang w:val="en-US" w:eastAsia="zh-CN"/>
                    </w:rPr>
                    <w:t>各</w:t>
                  </w:r>
                  <w:r>
                    <w:rPr>
                      <w:color w:val="auto"/>
                      <w:sz w:val="21"/>
                      <w:szCs w:val="21"/>
                      <w:u w:val="none" w:color="auto"/>
                    </w:rPr>
                    <w:t>楼层</w:t>
                  </w:r>
                </w:p>
              </w:tc>
              <w:tc>
                <w:tcPr>
                  <w:tcW w:w="1150" w:type="dxa"/>
                  <w:vAlign w:val="center"/>
                </w:tcPr>
                <w:p w14:paraId="741A02D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若干</w:t>
                  </w:r>
                </w:p>
              </w:tc>
              <w:tc>
                <w:tcPr>
                  <w:tcW w:w="1562" w:type="dxa"/>
                  <w:vAlign w:val="center"/>
                </w:tcPr>
                <w:p w14:paraId="24BC115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rFonts w:hint="eastAsia"/>
                      <w:color w:val="auto"/>
                      <w:sz w:val="21"/>
                      <w:szCs w:val="21"/>
                      <w:u w:val="none" w:color="auto"/>
                    </w:rPr>
                    <w:t>60</w:t>
                  </w:r>
                </w:p>
              </w:tc>
              <w:tc>
                <w:tcPr>
                  <w:tcW w:w="1643" w:type="dxa"/>
                  <w:vAlign w:val="center"/>
                </w:tcPr>
                <w:p w14:paraId="24B8303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连续性</w:t>
                  </w:r>
                </w:p>
              </w:tc>
            </w:tr>
          </w:tbl>
          <w:p w14:paraId="402A668E">
            <w:pPr>
              <w:pStyle w:val="36"/>
              <w:numPr>
                <w:ilvl w:val="0"/>
                <w:numId w:val="0"/>
              </w:numPr>
              <w:adjustRightInd w:val="0"/>
              <w:snapToGrid w:val="0"/>
              <w:spacing w:line="480" w:lineRule="exact"/>
              <w:ind w:left="480" w:leftChars="0"/>
              <w:rPr>
                <w:color w:val="auto"/>
                <w:szCs w:val="22"/>
                <w:u w:val="none" w:color="auto"/>
              </w:rPr>
            </w:pPr>
            <w:r>
              <w:rPr>
                <w:rFonts w:hint="eastAsia"/>
                <w:color w:val="auto"/>
                <w:u w:val="none" w:color="auto"/>
                <w:lang w:eastAsia="zh-CN"/>
              </w:rPr>
              <w:t>（</w:t>
            </w:r>
            <w:r>
              <w:rPr>
                <w:rFonts w:hint="eastAsia"/>
                <w:color w:val="auto"/>
                <w:u w:val="none" w:color="auto"/>
                <w:lang w:val="en-US" w:eastAsia="zh-CN"/>
              </w:rPr>
              <w:t>二</w:t>
            </w:r>
            <w:r>
              <w:rPr>
                <w:rFonts w:hint="eastAsia"/>
                <w:color w:val="auto"/>
                <w:u w:val="none" w:color="auto"/>
                <w:lang w:eastAsia="zh-CN"/>
              </w:rPr>
              <w:t>）</w:t>
            </w:r>
            <w:r>
              <w:rPr>
                <w:color w:val="auto"/>
                <w:szCs w:val="22"/>
                <w:u w:val="none" w:color="auto"/>
              </w:rPr>
              <w:t>噪声预测结果</w:t>
            </w:r>
          </w:p>
          <w:p w14:paraId="4D0CCF61">
            <w:pPr>
              <w:pStyle w:val="36"/>
              <w:numPr>
                <w:ilvl w:val="0"/>
                <w:numId w:val="0"/>
              </w:numPr>
              <w:adjustRightInd w:val="0"/>
              <w:snapToGrid w:val="0"/>
              <w:spacing w:line="480" w:lineRule="exact"/>
              <w:ind w:left="480" w:leftChars="0"/>
              <w:rPr>
                <w:color w:val="auto"/>
                <w:szCs w:val="22"/>
                <w:u w:val="none" w:color="auto"/>
              </w:rPr>
            </w:pPr>
            <w:r>
              <w:rPr>
                <w:rFonts w:hint="eastAsia"/>
                <w:color w:val="auto"/>
                <w:szCs w:val="22"/>
                <w:u w:val="none" w:color="auto"/>
                <w:lang w:val="en-US" w:eastAsia="zh-CN"/>
              </w:rPr>
              <w:t>①</w:t>
            </w:r>
            <w:r>
              <w:rPr>
                <w:color w:val="auto"/>
                <w:szCs w:val="22"/>
                <w:u w:val="none" w:color="auto"/>
              </w:rPr>
              <w:t>噪声预测模式</w:t>
            </w:r>
          </w:p>
          <w:p w14:paraId="16A1A793">
            <w:pPr>
              <w:adjustRightInd w:val="0"/>
              <w:snapToGrid w:val="0"/>
              <w:spacing w:line="480" w:lineRule="exact"/>
              <w:ind w:firstLine="480"/>
              <w:rPr>
                <w:color w:val="auto"/>
                <w:szCs w:val="22"/>
                <w:u w:val="none" w:color="auto"/>
              </w:rPr>
            </w:pPr>
            <w:r>
              <w:rPr>
                <w:color w:val="auto"/>
                <w:szCs w:val="22"/>
                <w:u w:val="none" w:color="auto"/>
              </w:rPr>
              <w:t>以</w:t>
            </w:r>
            <w:r>
              <w:rPr>
                <w:rFonts w:hint="eastAsia"/>
                <w:color w:val="auto"/>
                <w:szCs w:val="22"/>
                <w:u w:val="none" w:color="auto"/>
                <w:lang w:val="en-US" w:eastAsia="zh-CN"/>
              </w:rPr>
              <w:t>场界</w:t>
            </w:r>
            <w:r>
              <w:rPr>
                <w:color w:val="auto"/>
                <w:szCs w:val="22"/>
                <w:u w:val="none" w:color="auto"/>
              </w:rPr>
              <w:t>内各主要高噪声设备为噪声点源，根据其距离四周厂界的距离情况，根据《环境影响评价技术导则 声环境》（HJ2.4-2021）噪声点源衰减公式和噪声叠加公式，选用预测模式进行声环境影响预测。</w:t>
            </w:r>
          </w:p>
          <w:p w14:paraId="4DEE3CEF">
            <w:pPr>
              <w:pStyle w:val="36"/>
              <w:numPr>
                <w:ilvl w:val="0"/>
                <w:numId w:val="14"/>
              </w:numPr>
              <w:adjustRightInd w:val="0"/>
              <w:snapToGrid w:val="0"/>
              <w:spacing w:line="480" w:lineRule="exact"/>
              <w:ind w:firstLineChars="0"/>
              <w:rPr>
                <w:color w:val="auto"/>
                <w:szCs w:val="22"/>
                <w:u w:val="none" w:color="auto"/>
              </w:rPr>
            </w:pPr>
            <w:r>
              <w:rPr>
                <w:color w:val="auto"/>
                <w:szCs w:val="22"/>
                <w:u w:val="none" w:color="auto"/>
              </w:rPr>
              <w:t>设备声级</w:t>
            </w:r>
          </w:p>
          <w:p w14:paraId="4A074824">
            <w:pPr>
              <w:adjustRightInd w:val="0"/>
              <w:snapToGrid w:val="0"/>
              <w:spacing w:line="240" w:lineRule="atLeast"/>
              <w:ind w:firstLine="480"/>
              <w:jc w:val="center"/>
              <w:rPr>
                <w:color w:val="auto"/>
                <w:szCs w:val="22"/>
                <w:u w:val="none" w:color="auto"/>
              </w:rPr>
            </w:pPr>
            <w:r>
              <w:rPr>
                <w:color w:val="auto"/>
                <w:szCs w:val="22"/>
                <w:u w:val="none" w:color="auto"/>
              </w:rPr>
              <w:drawing>
                <wp:inline distT="0" distB="0" distL="114300" distR="114300">
                  <wp:extent cx="1752600" cy="619125"/>
                  <wp:effectExtent l="0" t="0" r="0" b="9525"/>
                  <wp:docPr id="2" name="图片 2" descr="166332794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3327945808"/>
                          <pic:cNvPicPr>
                            <a:picLocks noChangeAspect="1"/>
                          </pic:cNvPicPr>
                        </pic:nvPicPr>
                        <pic:blipFill>
                          <a:blip r:embed="rId19"/>
                          <a:stretch>
                            <a:fillRect/>
                          </a:stretch>
                        </pic:blipFill>
                        <pic:spPr>
                          <a:xfrm>
                            <a:off x="0" y="0"/>
                            <a:ext cx="1752600" cy="619125"/>
                          </a:xfrm>
                          <a:prstGeom prst="rect">
                            <a:avLst/>
                          </a:prstGeom>
                        </pic:spPr>
                      </pic:pic>
                    </a:graphicData>
                  </a:graphic>
                </wp:inline>
              </w:drawing>
            </w:r>
          </w:p>
          <w:p w14:paraId="09409EF1">
            <w:pPr>
              <w:adjustRightInd w:val="0"/>
              <w:snapToGrid w:val="0"/>
              <w:spacing w:line="480" w:lineRule="exact"/>
              <w:ind w:firstLine="480"/>
              <w:rPr>
                <w:color w:val="auto"/>
                <w:szCs w:val="22"/>
                <w:u w:val="none" w:color="auto"/>
              </w:rPr>
            </w:pPr>
            <w:r>
              <w:rPr>
                <w:color w:val="auto"/>
                <w:szCs w:val="22"/>
                <w:u w:val="none" w:color="auto"/>
              </w:rPr>
              <w:t>式中：L</w:t>
            </w:r>
            <w:r>
              <w:rPr>
                <w:color w:val="auto"/>
                <w:szCs w:val="22"/>
                <w:u w:val="none" w:color="auto"/>
                <w:vertAlign w:val="subscript"/>
              </w:rPr>
              <w:t>Aeq,</w:t>
            </w:r>
            <w:r>
              <w:rPr>
                <w:color w:val="auto"/>
                <w:szCs w:val="22"/>
                <w:u w:val="none" w:color="auto"/>
              </w:rPr>
              <w:t xml:space="preserve">T——等效连续 A 声级，dB； </w:t>
            </w:r>
          </w:p>
          <w:p w14:paraId="11F9F86B">
            <w:pPr>
              <w:adjustRightInd w:val="0"/>
              <w:snapToGrid w:val="0"/>
              <w:spacing w:line="480" w:lineRule="exact"/>
              <w:ind w:firstLine="1200" w:firstLineChars="500"/>
              <w:rPr>
                <w:color w:val="auto"/>
                <w:szCs w:val="22"/>
                <w:u w:val="none" w:color="auto"/>
              </w:rPr>
            </w:pPr>
            <w:r>
              <w:rPr>
                <w:color w:val="auto"/>
                <w:szCs w:val="22"/>
                <w:u w:val="none" w:color="auto"/>
              </w:rPr>
              <w:t>L</w:t>
            </w:r>
            <w:r>
              <w:rPr>
                <w:color w:val="auto"/>
                <w:szCs w:val="22"/>
                <w:u w:val="none" w:color="auto"/>
                <w:vertAlign w:val="subscript"/>
              </w:rPr>
              <w:t>A</w:t>
            </w:r>
            <w:r>
              <w:rPr>
                <w:color w:val="auto"/>
                <w:szCs w:val="22"/>
                <w:u w:val="none" w:color="auto"/>
              </w:rPr>
              <w:t xml:space="preserve">——t 时刻的瞬时 A 声级，dB； </w:t>
            </w:r>
          </w:p>
          <w:p w14:paraId="54A53F26">
            <w:pPr>
              <w:adjustRightInd w:val="0"/>
              <w:snapToGrid w:val="0"/>
              <w:spacing w:line="480" w:lineRule="exact"/>
              <w:ind w:firstLine="1200" w:firstLineChars="500"/>
              <w:rPr>
                <w:color w:val="auto"/>
                <w:szCs w:val="22"/>
                <w:u w:val="none" w:color="auto"/>
              </w:rPr>
            </w:pPr>
            <w:r>
              <w:rPr>
                <w:color w:val="auto"/>
                <w:szCs w:val="22"/>
                <w:u w:val="none" w:color="auto"/>
              </w:rPr>
              <w:t xml:space="preserve">T——规定的测量时间段，s。 </w:t>
            </w:r>
          </w:p>
          <w:p w14:paraId="6778D30C">
            <w:pPr>
              <w:pStyle w:val="36"/>
              <w:numPr>
                <w:ilvl w:val="0"/>
                <w:numId w:val="14"/>
              </w:numPr>
              <w:adjustRightInd w:val="0"/>
              <w:snapToGrid w:val="0"/>
              <w:spacing w:line="480" w:lineRule="exact"/>
              <w:ind w:firstLineChars="0"/>
              <w:rPr>
                <w:color w:val="auto"/>
                <w:szCs w:val="22"/>
                <w:u w:val="none" w:color="auto"/>
              </w:rPr>
            </w:pPr>
            <w:r>
              <w:rPr>
                <w:color w:val="auto"/>
                <w:szCs w:val="22"/>
                <w:u w:val="none" w:color="auto"/>
              </w:rPr>
              <w:t>室外声源传播衰减</w:t>
            </w:r>
          </w:p>
          <w:p w14:paraId="40744107">
            <w:pPr>
              <w:adjustRightInd w:val="0"/>
              <w:snapToGrid w:val="0"/>
              <w:spacing w:line="480" w:lineRule="exact"/>
              <w:ind w:firstLine="480"/>
              <w:rPr>
                <w:color w:val="auto"/>
                <w:szCs w:val="22"/>
                <w:u w:val="none" w:color="auto"/>
              </w:rPr>
            </w:pPr>
            <w:r>
              <w:rPr>
                <w:color w:val="auto"/>
                <w:szCs w:val="22"/>
                <w:u w:val="none" w:color="auto"/>
              </w:rPr>
              <w:t>室外声源传播衰减公式为：</w:t>
            </w:r>
          </w:p>
          <w:p w14:paraId="593D8E00">
            <w:pPr>
              <w:adjustRightInd w:val="0"/>
              <w:snapToGrid w:val="0"/>
              <w:ind w:firstLine="480"/>
              <w:jc w:val="center"/>
              <w:rPr>
                <w:color w:val="auto"/>
                <w:szCs w:val="22"/>
                <w:u w:val="none" w:color="auto"/>
              </w:rPr>
            </w:pPr>
            <w:r>
              <w:rPr>
                <w:color w:val="auto"/>
                <w:szCs w:val="22"/>
                <w:u w:val="none" w:color="auto"/>
              </w:rPr>
              <w:drawing>
                <wp:inline distT="0" distB="0" distL="114300" distR="114300">
                  <wp:extent cx="1762125" cy="419100"/>
                  <wp:effectExtent l="0" t="0" r="9525" b="0"/>
                  <wp:docPr id="3" name="图片 3" descr="166332807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3328078567"/>
                          <pic:cNvPicPr>
                            <a:picLocks noChangeAspect="1"/>
                          </pic:cNvPicPr>
                        </pic:nvPicPr>
                        <pic:blipFill>
                          <a:blip r:embed="rId20"/>
                          <a:stretch>
                            <a:fillRect/>
                          </a:stretch>
                        </pic:blipFill>
                        <pic:spPr>
                          <a:xfrm>
                            <a:off x="0" y="0"/>
                            <a:ext cx="1762125" cy="419100"/>
                          </a:xfrm>
                          <a:prstGeom prst="rect">
                            <a:avLst/>
                          </a:prstGeom>
                        </pic:spPr>
                      </pic:pic>
                    </a:graphicData>
                  </a:graphic>
                </wp:inline>
              </w:drawing>
            </w:r>
          </w:p>
          <w:p w14:paraId="02F12DAB">
            <w:pPr>
              <w:widowControl/>
              <w:spacing w:line="480" w:lineRule="exact"/>
              <w:ind w:firstLine="480"/>
              <w:jc w:val="left"/>
              <w:rPr>
                <w:color w:val="auto"/>
                <w:szCs w:val="22"/>
                <w:u w:val="none" w:color="auto"/>
              </w:rPr>
            </w:pPr>
            <w:r>
              <w:rPr>
                <w:color w:val="auto"/>
                <w:kern w:val="0"/>
                <w:szCs w:val="22"/>
                <w:u w:val="none" w:color="auto"/>
                <w:lang w:bidi="ar"/>
              </w:rPr>
              <w:t>式中：L</w:t>
            </w:r>
            <w:r>
              <w:rPr>
                <w:color w:val="auto"/>
                <w:kern w:val="0"/>
                <w:szCs w:val="22"/>
                <w:u w:val="none" w:color="auto"/>
                <w:vertAlign w:val="subscript"/>
                <w:lang w:bidi="ar"/>
              </w:rPr>
              <w:t>p（r）</w:t>
            </w:r>
            <w:r>
              <w:rPr>
                <w:color w:val="auto"/>
                <w:kern w:val="0"/>
                <w:szCs w:val="22"/>
                <w:u w:val="none" w:color="auto"/>
                <w:lang w:bidi="ar"/>
              </w:rPr>
              <w:t xml:space="preserve">——预测点处声压级，dB； </w:t>
            </w:r>
          </w:p>
          <w:p w14:paraId="45CFF5E8">
            <w:pPr>
              <w:widowControl/>
              <w:spacing w:line="480" w:lineRule="exact"/>
              <w:ind w:firstLine="1200" w:firstLineChars="500"/>
              <w:jc w:val="left"/>
              <w:rPr>
                <w:color w:val="auto"/>
                <w:szCs w:val="22"/>
                <w:u w:val="none" w:color="auto"/>
              </w:rPr>
            </w:pPr>
            <w:r>
              <w:rPr>
                <w:color w:val="auto"/>
                <w:kern w:val="0"/>
                <w:szCs w:val="22"/>
                <w:u w:val="none" w:color="auto"/>
                <w:lang w:bidi="ar"/>
              </w:rPr>
              <w:t>L</w:t>
            </w:r>
            <w:r>
              <w:rPr>
                <w:color w:val="auto"/>
                <w:kern w:val="0"/>
                <w:szCs w:val="22"/>
                <w:u w:val="none" w:color="auto"/>
                <w:vertAlign w:val="subscript"/>
                <w:lang w:bidi="ar"/>
              </w:rPr>
              <w:t>p（r0）</w:t>
            </w:r>
            <w:r>
              <w:rPr>
                <w:color w:val="auto"/>
                <w:kern w:val="0"/>
                <w:szCs w:val="22"/>
                <w:u w:val="none" w:color="auto"/>
                <w:lang w:bidi="ar"/>
              </w:rPr>
              <w:t xml:space="preserve">——参考位置 r0 处的声压级，dB； </w:t>
            </w:r>
          </w:p>
          <w:p w14:paraId="29DAA512">
            <w:pPr>
              <w:widowControl/>
              <w:spacing w:line="480" w:lineRule="exact"/>
              <w:ind w:firstLine="1200" w:firstLineChars="500"/>
              <w:jc w:val="left"/>
              <w:rPr>
                <w:color w:val="auto"/>
                <w:szCs w:val="22"/>
                <w:u w:val="none" w:color="auto"/>
              </w:rPr>
            </w:pPr>
            <w:r>
              <w:rPr>
                <w:color w:val="auto"/>
                <w:kern w:val="0"/>
                <w:szCs w:val="22"/>
                <w:u w:val="none" w:color="auto"/>
                <w:lang w:bidi="ar"/>
              </w:rPr>
              <w:t xml:space="preserve">r——预测点距声源的距离； </w:t>
            </w:r>
          </w:p>
          <w:p w14:paraId="30D924C0">
            <w:pPr>
              <w:widowControl/>
              <w:spacing w:line="480" w:lineRule="exact"/>
              <w:ind w:firstLine="1200" w:firstLineChars="500"/>
              <w:jc w:val="left"/>
              <w:rPr>
                <w:color w:val="auto"/>
                <w:szCs w:val="22"/>
                <w:u w:val="none" w:color="auto"/>
              </w:rPr>
            </w:pPr>
            <w:r>
              <w:rPr>
                <w:color w:val="auto"/>
                <w:kern w:val="0"/>
                <w:szCs w:val="22"/>
                <w:u w:val="none" w:color="auto"/>
                <w:lang w:bidi="ar"/>
              </w:rPr>
              <w:t>r</w:t>
            </w:r>
            <w:r>
              <w:rPr>
                <w:color w:val="auto"/>
                <w:kern w:val="0"/>
                <w:szCs w:val="22"/>
                <w:u w:val="none" w:color="auto"/>
                <w:vertAlign w:val="subscript"/>
                <w:lang w:bidi="ar"/>
              </w:rPr>
              <w:t>0</w:t>
            </w:r>
            <w:r>
              <w:rPr>
                <w:color w:val="auto"/>
                <w:kern w:val="0"/>
                <w:szCs w:val="22"/>
                <w:u w:val="none" w:color="auto"/>
                <w:lang w:bidi="ar"/>
              </w:rPr>
              <w:t>——参考位置距声源的距离。</w:t>
            </w:r>
          </w:p>
          <w:p w14:paraId="2A0FF97C">
            <w:pPr>
              <w:pStyle w:val="36"/>
              <w:widowControl/>
              <w:numPr>
                <w:ilvl w:val="0"/>
                <w:numId w:val="14"/>
              </w:numPr>
              <w:spacing w:line="480" w:lineRule="exact"/>
              <w:ind w:firstLineChars="0"/>
              <w:jc w:val="left"/>
              <w:rPr>
                <w:color w:val="auto"/>
                <w:szCs w:val="22"/>
                <w:u w:val="none" w:color="auto"/>
              </w:rPr>
            </w:pPr>
            <w:r>
              <w:rPr>
                <w:color w:val="auto"/>
                <w:kern w:val="0"/>
                <w:szCs w:val="22"/>
                <w:u w:val="none" w:color="auto"/>
                <w:lang w:bidi="ar"/>
              </w:rPr>
              <w:t>声源叠加贡献值</w:t>
            </w:r>
          </w:p>
          <w:p w14:paraId="329D9506">
            <w:pPr>
              <w:adjustRightInd w:val="0"/>
              <w:snapToGrid w:val="0"/>
              <w:spacing w:line="240" w:lineRule="atLeast"/>
              <w:ind w:firstLine="480"/>
              <w:jc w:val="center"/>
              <w:rPr>
                <w:color w:val="auto"/>
                <w:szCs w:val="22"/>
                <w:u w:val="none" w:color="auto"/>
              </w:rPr>
            </w:pPr>
            <w:r>
              <w:rPr>
                <w:color w:val="auto"/>
                <w:szCs w:val="22"/>
                <w:u w:val="none" w:color="auto"/>
              </w:rPr>
              <w:drawing>
                <wp:inline distT="0" distB="0" distL="114300" distR="114300">
                  <wp:extent cx="1647825" cy="542925"/>
                  <wp:effectExtent l="0" t="0" r="9525" b="9525"/>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21"/>
                          <a:stretch>
                            <a:fillRect/>
                          </a:stretch>
                        </pic:blipFill>
                        <pic:spPr>
                          <a:xfrm>
                            <a:off x="0" y="0"/>
                            <a:ext cx="1647825" cy="542925"/>
                          </a:xfrm>
                          <a:prstGeom prst="rect">
                            <a:avLst/>
                          </a:prstGeom>
                          <a:noFill/>
                          <a:ln>
                            <a:noFill/>
                          </a:ln>
                        </pic:spPr>
                      </pic:pic>
                    </a:graphicData>
                  </a:graphic>
                </wp:inline>
              </w:drawing>
            </w:r>
          </w:p>
          <w:p w14:paraId="2728D18C">
            <w:pPr>
              <w:widowControl/>
              <w:spacing w:line="480" w:lineRule="exact"/>
              <w:ind w:firstLine="480"/>
              <w:jc w:val="left"/>
              <w:rPr>
                <w:color w:val="auto"/>
                <w:szCs w:val="22"/>
                <w:u w:val="none" w:color="auto"/>
              </w:rPr>
            </w:pPr>
            <w:r>
              <w:rPr>
                <w:color w:val="auto"/>
                <w:kern w:val="0"/>
                <w:szCs w:val="22"/>
                <w:u w:val="none" w:color="auto"/>
                <w:lang w:bidi="ar"/>
              </w:rPr>
              <w:t>式中：L</w:t>
            </w:r>
            <w:r>
              <w:rPr>
                <w:color w:val="auto"/>
                <w:kern w:val="0"/>
                <w:szCs w:val="22"/>
                <w:u w:val="none" w:color="auto"/>
                <w:vertAlign w:val="subscript"/>
                <w:lang w:bidi="ar"/>
              </w:rPr>
              <w:t>eqg</w:t>
            </w:r>
            <w:r>
              <w:rPr>
                <w:color w:val="auto"/>
                <w:kern w:val="0"/>
                <w:szCs w:val="22"/>
                <w:u w:val="none" w:color="auto"/>
                <w:lang w:bidi="ar"/>
              </w:rPr>
              <w:t>——噪声贡献值，dB；</w:t>
            </w:r>
          </w:p>
          <w:p w14:paraId="04983716">
            <w:pPr>
              <w:widowControl/>
              <w:spacing w:line="480" w:lineRule="exact"/>
              <w:ind w:firstLine="1200" w:firstLineChars="500"/>
              <w:jc w:val="left"/>
              <w:rPr>
                <w:color w:val="auto"/>
                <w:szCs w:val="22"/>
                <w:u w:val="none" w:color="auto"/>
              </w:rPr>
            </w:pPr>
            <w:r>
              <w:rPr>
                <w:color w:val="auto"/>
                <w:kern w:val="0"/>
                <w:szCs w:val="22"/>
                <w:u w:val="none" w:color="auto"/>
                <w:lang w:bidi="ar"/>
              </w:rPr>
              <w:t xml:space="preserve">T——预测计算的时间段，s； </w:t>
            </w:r>
          </w:p>
          <w:p w14:paraId="015721B9">
            <w:pPr>
              <w:widowControl/>
              <w:spacing w:line="480" w:lineRule="exact"/>
              <w:ind w:firstLine="1200" w:firstLineChars="500"/>
              <w:jc w:val="left"/>
              <w:rPr>
                <w:color w:val="auto"/>
                <w:szCs w:val="22"/>
                <w:u w:val="none" w:color="auto"/>
              </w:rPr>
            </w:pPr>
            <w:r>
              <w:rPr>
                <w:color w:val="auto"/>
                <w:kern w:val="0"/>
                <w:szCs w:val="22"/>
                <w:u w:val="none" w:color="auto"/>
                <w:lang w:bidi="ar"/>
              </w:rPr>
              <w:t>t</w:t>
            </w:r>
            <w:r>
              <w:rPr>
                <w:color w:val="auto"/>
                <w:kern w:val="0"/>
                <w:sz w:val="15"/>
                <w:szCs w:val="15"/>
                <w:u w:val="none" w:color="auto"/>
                <w:lang w:bidi="ar"/>
              </w:rPr>
              <w:t>i</w:t>
            </w:r>
            <w:r>
              <w:rPr>
                <w:color w:val="auto"/>
                <w:kern w:val="0"/>
                <w:szCs w:val="22"/>
                <w:u w:val="none" w:color="auto"/>
                <w:lang w:bidi="ar"/>
              </w:rPr>
              <w:t xml:space="preserve">——i 声源在 T 时段内的运行时间，s； </w:t>
            </w:r>
          </w:p>
          <w:p w14:paraId="5197A54A">
            <w:pPr>
              <w:widowControl/>
              <w:spacing w:line="480" w:lineRule="exact"/>
              <w:ind w:firstLine="1200" w:firstLineChars="500"/>
              <w:jc w:val="left"/>
              <w:rPr>
                <w:color w:val="auto"/>
                <w:szCs w:val="22"/>
                <w:u w:val="none" w:color="auto"/>
              </w:rPr>
            </w:pPr>
            <w:r>
              <w:rPr>
                <w:color w:val="auto"/>
                <w:kern w:val="0"/>
                <w:szCs w:val="22"/>
                <w:u w:val="none" w:color="auto"/>
                <w:lang w:bidi="ar"/>
              </w:rPr>
              <w:t>L</w:t>
            </w:r>
            <w:r>
              <w:rPr>
                <w:color w:val="auto"/>
                <w:kern w:val="0"/>
                <w:sz w:val="15"/>
                <w:szCs w:val="15"/>
                <w:u w:val="none" w:color="auto"/>
                <w:lang w:bidi="ar"/>
              </w:rPr>
              <w:t>Ai</w:t>
            </w:r>
            <w:r>
              <w:rPr>
                <w:color w:val="auto"/>
                <w:kern w:val="0"/>
                <w:szCs w:val="22"/>
                <w:u w:val="none" w:color="auto"/>
                <w:lang w:bidi="ar"/>
              </w:rPr>
              <w:t>——i 声源在预测点产生的等效连续 A 声级，dB。</w:t>
            </w:r>
          </w:p>
          <w:p w14:paraId="3B0BE9DB">
            <w:pPr>
              <w:ind w:firstLine="470" w:firstLineChars="196"/>
              <w:rPr>
                <w:color w:val="auto"/>
                <w:szCs w:val="22"/>
                <w:u w:val="none" w:color="auto"/>
              </w:rPr>
            </w:pPr>
          </w:p>
          <w:p w14:paraId="5059B675">
            <w:pPr>
              <w:pStyle w:val="36"/>
              <w:numPr>
                <w:ilvl w:val="0"/>
                <w:numId w:val="14"/>
              </w:numPr>
              <w:ind w:firstLineChars="0"/>
              <w:rPr>
                <w:color w:val="auto"/>
                <w:szCs w:val="22"/>
                <w:u w:val="none" w:color="auto"/>
                <w:lang w:val="zh-CN"/>
              </w:rPr>
            </w:pPr>
            <w:r>
              <w:rPr>
                <w:color w:val="auto"/>
                <w:szCs w:val="22"/>
                <w:u w:val="none" w:color="auto"/>
              </w:rPr>
              <w:t>声环境预测结果与评价</w:t>
            </w:r>
          </w:p>
          <w:p w14:paraId="2ADA763E">
            <w:pPr>
              <w:pStyle w:val="36"/>
              <w:numPr>
                <w:ilvl w:val="0"/>
                <w:numId w:val="0"/>
              </w:numPr>
              <w:ind w:left="480" w:leftChars="0"/>
              <w:rPr>
                <w:rFonts w:hint="eastAsia"/>
                <w:color w:val="auto"/>
                <w:szCs w:val="22"/>
                <w:u w:val="none" w:color="auto"/>
                <w:lang w:val="en-US" w:eastAsia="zh-CN"/>
              </w:rPr>
            </w:pPr>
            <w:r>
              <w:rPr>
                <w:rFonts w:hint="eastAsia"/>
                <w:color w:val="auto"/>
                <w:szCs w:val="22"/>
                <w:u w:val="none" w:color="auto"/>
                <w:lang w:val="en-US" w:eastAsia="zh-CN"/>
              </w:rPr>
              <w:t>厂界噪声预测结果如下：</w:t>
            </w:r>
          </w:p>
          <w:p w14:paraId="1BB0C6A4">
            <w:pPr>
              <w:pStyle w:val="10"/>
              <w:numPr>
                <w:ilvl w:val="0"/>
                <w:numId w:val="3"/>
              </w:numPr>
              <w:ind w:left="0" w:firstLine="0" w:firstLineChars="0"/>
              <w:jc w:val="center"/>
              <w:rPr>
                <w:rFonts w:ascii="黑体" w:hAnsi="黑体" w:eastAsia="黑体"/>
                <w:b w:val="0"/>
                <w:color w:val="auto"/>
                <w:u w:val="none" w:color="auto"/>
              </w:rPr>
            </w:pPr>
            <w:r>
              <w:rPr>
                <w:rFonts w:hint="eastAsia" w:ascii="黑体" w:hAnsi="黑体" w:eastAsia="黑体"/>
                <w:b w:val="0"/>
                <w:color w:val="auto"/>
                <w:u w:val="none" w:color="auto"/>
                <w:lang w:val="en-US" w:eastAsia="zh-CN"/>
              </w:rPr>
              <w:t>项目场界噪声</w:t>
            </w:r>
            <w:r>
              <w:rPr>
                <w:rFonts w:ascii="黑体" w:hAnsi="黑体" w:eastAsia="黑体"/>
                <w:b w:val="0"/>
                <w:color w:val="auto"/>
                <w:u w:val="none" w:color="auto"/>
                <w:lang w:val="zh-CN"/>
              </w:rPr>
              <w:t>预测</w:t>
            </w:r>
            <w:r>
              <w:rPr>
                <w:rFonts w:hint="eastAsia" w:ascii="黑体" w:hAnsi="黑体" w:eastAsia="黑体"/>
                <w:b w:val="0"/>
                <w:color w:val="auto"/>
                <w:u w:val="none" w:color="auto"/>
                <w:lang w:val="en-US" w:eastAsia="zh-CN"/>
              </w:rPr>
              <w:t>结果</w:t>
            </w:r>
            <w:r>
              <w:rPr>
                <w:rFonts w:ascii="黑体" w:hAnsi="黑体" w:eastAsia="黑体"/>
                <w:b w:val="0"/>
                <w:color w:val="auto"/>
                <w:u w:val="none" w:color="auto"/>
                <w:lang w:val="zh-CN"/>
              </w:rPr>
              <w:t xml:space="preserve">   </w:t>
            </w:r>
            <w:r>
              <w:rPr>
                <w:rFonts w:ascii="黑体" w:hAnsi="黑体" w:eastAsia="黑体"/>
                <w:b w:val="0"/>
                <w:color w:val="auto"/>
                <w:u w:val="none" w:color="auto"/>
              </w:rPr>
              <w:t xml:space="preserve">  </w:t>
            </w:r>
            <w:r>
              <w:rPr>
                <w:rFonts w:ascii="黑体" w:hAnsi="黑体" w:eastAsia="黑体"/>
                <w:b w:val="0"/>
                <w:color w:val="auto"/>
                <w:u w:val="none" w:color="auto"/>
                <w:lang w:val="zh-CN"/>
              </w:rPr>
              <w:t>单位：</w:t>
            </w:r>
            <w:r>
              <w:rPr>
                <w:rFonts w:ascii="黑体" w:hAnsi="黑体" w:eastAsia="黑体"/>
                <w:b w:val="0"/>
                <w:color w:val="auto"/>
                <w:u w:val="none" w:color="auto"/>
              </w:rPr>
              <w:t>dB（A）</w:t>
            </w:r>
          </w:p>
          <w:tbl>
            <w:tblPr>
              <w:tblStyle w:val="22"/>
              <w:tblW w:w="858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21"/>
              <w:gridCol w:w="3000"/>
              <w:gridCol w:w="1253"/>
              <w:gridCol w:w="1253"/>
              <w:gridCol w:w="1255"/>
            </w:tblGrid>
            <w:tr w14:paraId="1AA5D2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21" w:type="dxa"/>
                  <w:vAlign w:val="center"/>
                </w:tcPr>
                <w:p w14:paraId="23A4B4FC">
                  <w:pPr>
                    <w:adjustRightInd w:val="0"/>
                    <w:snapToGrid w:val="0"/>
                    <w:spacing w:before="32" w:after="32" w:line="240" w:lineRule="auto"/>
                    <w:ind w:firstLine="0" w:firstLineChars="0"/>
                    <w:jc w:val="right"/>
                    <w:rPr>
                      <w:color w:val="auto"/>
                      <w:sz w:val="21"/>
                      <w:szCs w:val="22"/>
                      <w:u w:val="none" w:color="auto"/>
                    </w:rPr>
                  </w:pPr>
                  <w:r>
                    <w:rPr>
                      <w:color w:val="auto"/>
                      <w:sz w:val="21"/>
                      <w:szCs w:val="22"/>
                      <w:u w:val="none" w:color="auto"/>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12700</wp:posOffset>
                            </wp:positionV>
                            <wp:extent cx="1148080" cy="409575"/>
                            <wp:effectExtent l="1905" t="4445" r="12065" b="5080"/>
                            <wp:wrapNone/>
                            <wp:docPr id="115" name="直接连接符 115"/>
                            <wp:cNvGraphicFramePr/>
                            <a:graphic xmlns:a="http://schemas.openxmlformats.org/drawingml/2006/main">
                              <a:graphicData uri="http://schemas.microsoft.com/office/word/2010/wordprocessingShape">
                                <wps:wsp>
                                  <wps:cNvCnPr/>
                                  <wps:spPr>
                                    <a:xfrm>
                                      <a:off x="0" y="0"/>
                                      <a:ext cx="1148080" cy="409575"/>
                                    </a:xfrm>
                                    <a:prstGeom prst="line">
                                      <a:avLst/>
                                    </a:prstGeom>
                                    <a:ln w="9525" cap="flat" cmpd="sng">
                                      <a:solidFill>
                                        <a:srgbClr val="000001"/>
                                      </a:solidFill>
                                      <a:prstDash val="solid"/>
                                      <a:headEnd type="none" w="med" len="med"/>
                                      <a:tailEnd type="none" w="med" len="med"/>
                                    </a:ln>
                                  </wps:spPr>
                                  <wps:bodyPr/>
                                </wps:wsp>
                              </a:graphicData>
                            </a:graphic>
                          </wp:anchor>
                        </w:drawing>
                      </mc:Choice>
                      <mc:Fallback>
                        <w:pict>
                          <v:line id="_x0000_s1026" o:spid="_x0000_s1026" o:spt="20" style="position:absolute;left:0pt;margin-left:5.4pt;margin-top:1pt;height:32.25pt;width:90.4pt;z-index:251660288;mso-width-relative:page;mso-height-relative:page;" filled="f" stroked="t" coordsize="21600,21600" o:gfxdata="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jKbl41AAAAAcBAAAPAAAAAAAAAAEAIAAAACIAAABkcnMvZG93bnJldi54bWxQSwECFAAU&#10;AAAACACHTuJAuM1lPfUBAADhAwAADgAAAAAAAAABACAAAAAjAQAAZHJzL2Uyb0RvYy54bWxQSwUG&#10;AAAAAAYABgBZAQAAigUAAAAA&#10;">
                            <v:fill on="f" focussize="0,0"/>
                            <v:stroke color="#000001" joinstyle="round"/>
                            <v:imagedata o:title=""/>
                            <o:lock v:ext="edit" aspectratio="f"/>
                          </v:line>
                        </w:pict>
                      </mc:Fallback>
                    </mc:AlternateContent>
                  </w:r>
                  <w:r>
                    <w:rPr>
                      <w:color w:val="auto"/>
                      <w:sz w:val="21"/>
                      <w:szCs w:val="22"/>
                      <w:u w:val="none" w:color="auto"/>
                    </w:rPr>
                    <w:t>预测点</w:t>
                  </w:r>
                </w:p>
                <w:p w14:paraId="6D64A24F">
                  <w:pPr>
                    <w:adjustRightInd w:val="0"/>
                    <w:snapToGrid w:val="0"/>
                    <w:spacing w:before="32" w:after="32" w:line="240" w:lineRule="auto"/>
                    <w:ind w:firstLine="420"/>
                    <w:jc w:val="left"/>
                    <w:rPr>
                      <w:color w:val="auto"/>
                      <w:sz w:val="21"/>
                      <w:szCs w:val="22"/>
                      <w:u w:val="none" w:color="auto"/>
                    </w:rPr>
                  </w:pPr>
                  <w:r>
                    <w:rPr>
                      <w:color w:val="auto"/>
                      <w:sz w:val="21"/>
                      <w:szCs w:val="22"/>
                      <w:u w:val="none" w:color="auto"/>
                    </w:rPr>
                    <w:t>项目</w:t>
                  </w:r>
                </w:p>
              </w:tc>
              <w:tc>
                <w:tcPr>
                  <w:tcW w:w="3000" w:type="dxa"/>
                  <w:vAlign w:val="center"/>
                </w:tcPr>
                <w:p w14:paraId="4A9496AB">
                  <w:pPr>
                    <w:adjustRightInd w:val="0"/>
                    <w:snapToGrid w:val="0"/>
                    <w:spacing w:before="32" w:after="32" w:line="240" w:lineRule="auto"/>
                    <w:ind w:firstLine="0" w:firstLineChars="0"/>
                    <w:jc w:val="center"/>
                    <w:rPr>
                      <w:color w:val="auto"/>
                      <w:sz w:val="21"/>
                      <w:szCs w:val="22"/>
                      <w:u w:val="none" w:color="auto"/>
                    </w:rPr>
                  </w:pPr>
                  <w:r>
                    <w:rPr>
                      <w:color w:val="auto"/>
                      <w:sz w:val="21"/>
                      <w:szCs w:val="22"/>
                      <w:u w:val="none" w:color="auto"/>
                    </w:rPr>
                    <w:t>东厂界</w:t>
                  </w:r>
                </w:p>
              </w:tc>
              <w:tc>
                <w:tcPr>
                  <w:tcW w:w="1253" w:type="dxa"/>
                  <w:vAlign w:val="center"/>
                </w:tcPr>
                <w:p w14:paraId="4927CB96">
                  <w:pPr>
                    <w:adjustRightInd w:val="0"/>
                    <w:snapToGrid w:val="0"/>
                    <w:spacing w:before="32" w:after="32" w:line="240" w:lineRule="auto"/>
                    <w:ind w:firstLine="0" w:firstLineChars="0"/>
                    <w:jc w:val="center"/>
                    <w:rPr>
                      <w:color w:val="auto"/>
                      <w:sz w:val="21"/>
                      <w:szCs w:val="22"/>
                      <w:u w:val="none" w:color="auto"/>
                    </w:rPr>
                  </w:pPr>
                  <w:r>
                    <w:rPr>
                      <w:color w:val="auto"/>
                      <w:sz w:val="21"/>
                      <w:szCs w:val="22"/>
                      <w:u w:val="none" w:color="auto"/>
                    </w:rPr>
                    <w:t>南厂界</w:t>
                  </w:r>
                </w:p>
              </w:tc>
              <w:tc>
                <w:tcPr>
                  <w:tcW w:w="1253" w:type="dxa"/>
                  <w:vAlign w:val="center"/>
                </w:tcPr>
                <w:p w14:paraId="0D88087D">
                  <w:pPr>
                    <w:adjustRightInd w:val="0"/>
                    <w:snapToGrid w:val="0"/>
                    <w:spacing w:before="32" w:after="32" w:line="240" w:lineRule="auto"/>
                    <w:ind w:firstLine="0" w:firstLineChars="0"/>
                    <w:jc w:val="center"/>
                    <w:rPr>
                      <w:color w:val="auto"/>
                      <w:sz w:val="21"/>
                      <w:szCs w:val="22"/>
                      <w:u w:val="none" w:color="auto"/>
                    </w:rPr>
                  </w:pPr>
                  <w:r>
                    <w:rPr>
                      <w:color w:val="auto"/>
                      <w:sz w:val="21"/>
                      <w:szCs w:val="22"/>
                      <w:u w:val="none" w:color="auto"/>
                    </w:rPr>
                    <w:t>西厂界</w:t>
                  </w:r>
                </w:p>
              </w:tc>
              <w:tc>
                <w:tcPr>
                  <w:tcW w:w="1255" w:type="dxa"/>
                  <w:vAlign w:val="center"/>
                </w:tcPr>
                <w:p w14:paraId="246F663E">
                  <w:pPr>
                    <w:adjustRightInd w:val="0"/>
                    <w:snapToGrid w:val="0"/>
                    <w:spacing w:before="32" w:after="32" w:line="240" w:lineRule="auto"/>
                    <w:ind w:firstLine="0" w:firstLineChars="0"/>
                    <w:jc w:val="center"/>
                    <w:rPr>
                      <w:color w:val="auto"/>
                      <w:sz w:val="21"/>
                      <w:szCs w:val="22"/>
                      <w:u w:val="none" w:color="auto"/>
                    </w:rPr>
                  </w:pPr>
                  <w:r>
                    <w:rPr>
                      <w:color w:val="auto"/>
                      <w:sz w:val="21"/>
                      <w:szCs w:val="22"/>
                      <w:u w:val="none" w:color="auto"/>
                    </w:rPr>
                    <w:t>北厂界</w:t>
                  </w:r>
                </w:p>
              </w:tc>
            </w:tr>
            <w:tr w14:paraId="2AD8B9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1821" w:type="dxa"/>
                  <w:vAlign w:val="center"/>
                </w:tcPr>
                <w:p w14:paraId="094B4C51">
                  <w:pPr>
                    <w:adjustRightInd w:val="0"/>
                    <w:snapToGrid w:val="0"/>
                    <w:spacing w:before="32" w:after="32" w:line="240" w:lineRule="auto"/>
                    <w:ind w:firstLine="0" w:firstLineChars="0"/>
                    <w:jc w:val="center"/>
                    <w:rPr>
                      <w:color w:val="auto"/>
                      <w:sz w:val="21"/>
                      <w:szCs w:val="22"/>
                      <w:u w:val="none" w:color="auto"/>
                    </w:rPr>
                  </w:pPr>
                  <w:r>
                    <w:rPr>
                      <w:color w:val="auto"/>
                      <w:sz w:val="21"/>
                      <w:szCs w:val="22"/>
                      <w:u w:val="none" w:color="auto"/>
                    </w:rPr>
                    <w:t>贡献值</w:t>
                  </w:r>
                </w:p>
              </w:tc>
              <w:tc>
                <w:tcPr>
                  <w:tcW w:w="3000" w:type="dxa"/>
                  <w:vAlign w:val="center"/>
                </w:tcPr>
                <w:p w14:paraId="3C2E8D3F">
                  <w:pPr>
                    <w:adjustRightInd w:val="0"/>
                    <w:snapToGrid w:val="0"/>
                    <w:spacing w:before="32" w:after="32" w:line="240" w:lineRule="auto"/>
                    <w:ind w:firstLine="0" w:firstLineChars="0"/>
                    <w:jc w:val="center"/>
                    <w:rPr>
                      <w:rFonts w:hint="default" w:eastAsia="宋体"/>
                      <w:color w:val="auto"/>
                      <w:sz w:val="21"/>
                      <w:szCs w:val="22"/>
                      <w:u w:val="none" w:color="auto"/>
                      <w:lang w:val="en-US" w:eastAsia="zh-CN"/>
                    </w:rPr>
                  </w:pPr>
                  <w:r>
                    <w:rPr>
                      <w:rFonts w:hint="eastAsia"/>
                      <w:color w:val="auto"/>
                      <w:sz w:val="21"/>
                      <w:szCs w:val="22"/>
                      <w:u w:val="none" w:color="auto"/>
                      <w:lang w:val="en-US" w:eastAsia="zh-CN"/>
                    </w:rPr>
                    <w:t>44.2</w:t>
                  </w:r>
                </w:p>
              </w:tc>
              <w:tc>
                <w:tcPr>
                  <w:tcW w:w="1253" w:type="dxa"/>
                  <w:vAlign w:val="center"/>
                </w:tcPr>
                <w:p w14:paraId="56EE775D">
                  <w:pPr>
                    <w:adjustRightInd w:val="0"/>
                    <w:snapToGrid w:val="0"/>
                    <w:spacing w:before="32" w:after="32" w:line="240" w:lineRule="auto"/>
                    <w:ind w:firstLine="0" w:firstLineChars="0"/>
                    <w:jc w:val="center"/>
                    <w:rPr>
                      <w:rFonts w:hint="default" w:eastAsia="宋体"/>
                      <w:color w:val="auto"/>
                      <w:sz w:val="21"/>
                      <w:szCs w:val="22"/>
                      <w:u w:val="none" w:color="auto"/>
                      <w:lang w:val="en-US" w:eastAsia="zh-CN"/>
                    </w:rPr>
                  </w:pPr>
                  <w:r>
                    <w:rPr>
                      <w:rFonts w:hint="eastAsia"/>
                      <w:color w:val="auto"/>
                      <w:sz w:val="21"/>
                      <w:szCs w:val="22"/>
                      <w:u w:val="none" w:color="auto"/>
                      <w:lang w:val="en-US" w:eastAsia="zh-CN"/>
                    </w:rPr>
                    <w:t>45.2</w:t>
                  </w:r>
                </w:p>
              </w:tc>
              <w:tc>
                <w:tcPr>
                  <w:tcW w:w="1253" w:type="dxa"/>
                  <w:vAlign w:val="center"/>
                </w:tcPr>
                <w:p w14:paraId="3E657CEA">
                  <w:pPr>
                    <w:adjustRightInd w:val="0"/>
                    <w:snapToGrid w:val="0"/>
                    <w:spacing w:before="32" w:after="32" w:line="240" w:lineRule="auto"/>
                    <w:ind w:firstLine="0" w:firstLineChars="0"/>
                    <w:jc w:val="center"/>
                    <w:rPr>
                      <w:rFonts w:hint="default"/>
                      <w:color w:val="auto"/>
                      <w:sz w:val="21"/>
                      <w:szCs w:val="22"/>
                      <w:u w:val="none" w:color="auto"/>
                      <w:lang w:val="en-US"/>
                    </w:rPr>
                  </w:pPr>
                  <w:r>
                    <w:rPr>
                      <w:rFonts w:hint="eastAsia"/>
                      <w:color w:val="auto"/>
                      <w:sz w:val="21"/>
                      <w:szCs w:val="22"/>
                      <w:u w:val="none" w:color="auto"/>
                      <w:lang w:val="en-US" w:eastAsia="zh-CN"/>
                    </w:rPr>
                    <w:t>44.0</w:t>
                  </w:r>
                </w:p>
              </w:tc>
              <w:tc>
                <w:tcPr>
                  <w:tcW w:w="1255" w:type="dxa"/>
                  <w:vAlign w:val="center"/>
                </w:tcPr>
                <w:p w14:paraId="32E47FD5">
                  <w:pPr>
                    <w:adjustRightInd w:val="0"/>
                    <w:snapToGrid w:val="0"/>
                    <w:spacing w:before="32" w:after="32" w:line="240" w:lineRule="auto"/>
                    <w:ind w:firstLine="0" w:firstLineChars="0"/>
                    <w:jc w:val="center"/>
                    <w:rPr>
                      <w:rFonts w:hint="default" w:eastAsia="宋体"/>
                      <w:color w:val="auto"/>
                      <w:sz w:val="21"/>
                      <w:szCs w:val="22"/>
                      <w:u w:val="none" w:color="auto"/>
                      <w:lang w:val="en-US" w:eastAsia="zh-CN"/>
                    </w:rPr>
                  </w:pPr>
                  <w:r>
                    <w:rPr>
                      <w:rFonts w:hint="eastAsia"/>
                      <w:color w:val="auto"/>
                      <w:sz w:val="21"/>
                      <w:szCs w:val="22"/>
                      <w:u w:val="none" w:color="auto"/>
                      <w:lang w:val="en-US" w:eastAsia="zh-CN"/>
                    </w:rPr>
                    <w:t>44.8</w:t>
                  </w:r>
                </w:p>
              </w:tc>
            </w:tr>
            <w:tr w14:paraId="201BAB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21" w:type="dxa"/>
                  <w:vAlign w:val="center"/>
                </w:tcPr>
                <w:p w14:paraId="66BC0C26">
                  <w:pPr>
                    <w:adjustRightInd w:val="0"/>
                    <w:snapToGrid w:val="0"/>
                    <w:spacing w:before="32" w:after="32" w:line="240" w:lineRule="auto"/>
                    <w:ind w:firstLine="0" w:firstLineChars="0"/>
                    <w:jc w:val="center"/>
                    <w:rPr>
                      <w:rFonts w:hint="default" w:eastAsia="宋体"/>
                      <w:color w:val="auto"/>
                      <w:sz w:val="21"/>
                      <w:szCs w:val="22"/>
                      <w:u w:val="none" w:color="auto"/>
                      <w:lang w:val="en-US" w:eastAsia="zh-CN"/>
                    </w:rPr>
                  </w:pPr>
                  <w:r>
                    <w:rPr>
                      <w:rFonts w:hint="eastAsia"/>
                      <w:color w:val="auto"/>
                      <w:sz w:val="21"/>
                      <w:szCs w:val="22"/>
                      <w:u w:val="none" w:color="auto"/>
                      <w:lang w:val="en-US" w:eastAsia="zh-CN"/>
                    </w:rPr>
                    <w:t>标准限值</w:t>
                  </w:r>
                </w:p>
              </w:tc>
              <w:tc>
                <w:tcPr>
                  <w:tcW w:w="3000" w:type="dxa"/>
                  <w:vAlign w:val="center"/>
                </w:tcPr>
                <w:p w14:paraId="7701FA59">
                  <w:pPr>
                    <w:adjustRightInd w:val="0"/>
                    <w:snapToGrid w:val="0"/>
                    <w:spacing w:before="32" w:after="32" w:line="240" w:lineRule="auto"/>
                    <w:ind w:firstLine="0" w:firstLineChars="0"/>
                    <w:jc w:val="center"/>
                    <w:rPr>
                      <w:color w:val="auto"/>
                      <w:sz w:val="21"/>
                      <w:szCs w:val="22"/>
                      <w:u w:val="none" w:color="auto"/>
                    </w:rPr>
                  </w:pPr>
                  <w:r>
                    <w:rPr>
                      <w:color w:val="auto"/>
                      <w:sz w:val="21"/>
                      <w:szCs w:val="22"/>
                      <w:u w:val="none" w:color="auto"/>
                    </w:rPr>
                    <w:t>昼间≤</w:t>
                  </w:r>
                  <w:r>
                    <w:rPr>
                      <w:rFonts w:hint="eastAsia"/>
                      <w:color w:val="auto"/>
                      <w:sz w:val="21"/>
                      <w:szCs w:val="22"/>
                      <w:u w:val="none" w:color="auto"/>
                      <w:lang w:val="en-US" w:eastAsia="zh-CN"/>
                    </w:rPr>
                    <w:t>70</w:t>
                  </w:r>
                  <w:r>
                    <w:rPr>
                      <w:color w:val="auto"/>
                      <w:sz w:val="21"/>
                      <w:szCs w:val="22"/>
                      <w:u w:val="none" w:color="auto"/>
                    </w:rPr>
                    <w:t>dB(A)，夜间≤</w:t>
                  </w:r>
                  <w:r>
                    <w:rPr>
                      <w:rFonts w:hint="eastAsia"/>
                      <w:color w:val="auto"/>
                      <w:sz w:val="21"/>
                      <w:szCs w:val="22"/>
                      <w:u w:val="none" w:color="auto"/>
                      <w:lang w:val="en-US" w:eastAsia="zh-CN"/>
                    </w:rPr>
                    <w:t>55</w:t>
                  </w:r>
                  <w:r>
                    <w:rPr>
                      <w:color w:val="auto"/>
                      <w:sz w:val="21"/>
                      <w:szCs w:val="22"/>
                      <w:u w:val="none" w:color="auto"/>
                    </w:rPr>
                    <w:t>dB(A)</w:t>
                  </w:r>
                </w:p>
              </w:tc>
              <w:tc>
                <w:tcPr>
                  <w:tcW w:w="3761" w:type="dxa"/>
                  <w:gridSpan w:val="3"/>
                  <w:vAlign w:val="center"/>
                </w:tcPr>
                <w:p w14:paraId="5D3EA0E1">
                  <w:pPr>
                    <w:adjustRightInd w:val="0"/>
                    <w:snapToGrid w:val="0"/>
                    <w:spacing w:before="32" w:after="32" w:line="240" w:lineRule="auto"/>
                    <w:ind w:firstLine="0" w:firstLineChars="0"/>
                    <w:jc w:val="center"/>
                    <w:rPr>
                      <w:color w:val="auto"/>
                      <w:sz w:val="21"/>
                      <w:szCs w:val="22"/>
                      <w:u w:val="none" w:color="auto"/>
                    </w:rPr>
                  </w:pPr>
                  <w:r>
                    <w:rPr>
                      <w:color w:val="auto"/>
                      <w:sz w:val="21"/>
                      <w:szCs w:val="22"/>
                      <w:u w:val="none" w:color="auto"/>
                    </w:rPr>
                    <w:t>昼间≤</w:t>
                  </w:r>
                  <w:r>
                    <w:rPr>
                      <w:rFonts w:hint="eastAsia"/>
                      <w:color w:val="auto"/>
                      <w:sz w:val="21"/>
                      <w:szCs w:val="22"/>
                      <w:u w:val="none" w:color="auto"/>
                      <w:lang w:val="en-US" w:eastAsia="zh-CN"/>
                    </w:rPr>
                    <w:t>60</w:t>
                  </w:r>
                  <w:r>
                    <w:rPr>
                      <w:color w:val="auto"/>
                      <w:sz w:val="21"/>
                      <w:szCs w:val="22"/>
                      <w:u w:val="none" w:color="auto"/>
                    </w:rPr>
                    <w:t>dB(A)，夜间≤5</w:t>
                  </w:r>
                  <w:r>
                    <w:rPr>
                      <w:rFonts w:hint="eastAsia"/>
                      <w:color w:val="auto"/>
                      <w:sz w:val="21"/>
                      <w:szCs w:val="22"/>
                      <w:u w:val="none" w:color="auto"/>
                      <w:lang w:val="en-US" w:eastAsia="zh-CN"/>
                    </w:rPr>
                    <w:t>0</w:t>
                  </w:r>
                  <w:r>
                    <w:rPr>
                      <w:color w:val="auto"/>
                      <w:sz w:val="21"/>
                      <w:szCs w:val="22"/>
                      <w:u w:val="none" w:color="auto"/>
                    </w:rPr>
                    <w:t>dB(A)</w:t>
                  </w:r>
                </w:p>
              </w:tc>
            </w:tr>
            <w:tr w14:paraId="021081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821" w:type="dxa"/>
                  <w:vAlign w:val="center"/>
                </w:tcPr>
                <w:p w14:paraId="3F257FC9">
                  <w:pPr>
                    <w:adjustRightInd w:val="0"/>
                    <w:snapToGrid w:val="0"/>
                    <w:spacing w:before="32" w:after="32" w:line="240" w:lineRule="auto"/>
                    <w:ind w:firstLine="0" w:firstLineChars="0"/>
                    <w:jc w:val="center"/>
                    <w:rPr>
                      <w:color w:val="auto"/>
                      <w:sz w:val="21"/>
                      <w:szCs w:val="22"/>
                      <w:u w:val="none" w:color="auto"/>
                    </w:rPr>
                  </w:pPr>
                  <w:r>
                    <w:rPr>
                      <w:color w:val="auto"/>
                      <w:sz w:val="21"/>
                      <w:szCs w:val="22"/>
                      <w:u w:val="none" w:color="auto"/>
                    </w:rPr>
                    <w:t>达标情况</w:t>
                  </w:r>
                </w:p>
              </w:tc>
              <w:tc>
                <w:tcPr>
                  <w:tcW w:w="3000" w:type="dxa"/>
                  <w:vAlign w:val="center"/>
                </w:tcPr>
                <w:p w14:paraId="503EED9F">
                  <w:pPr>
                    <w:adjustRightInd w:val="0"/>
                    <w:snapToGrid w:val="0"/>
                    <w:spacing w:before="32" w:after="32" w:line="240" w:lineRule="auto"/>
                    <w:ind w:firstLine="0" w:firstLineChars="0"/>
                    <w:jc w:val="center"/>
                    <w:rPr>
                      <w:color w:val="auto"/>
                      <w:sz w:val="21"/>
                      <w:szCs w:val="22"/>
                      <w:u w:val="none" w:color="auto"/>
                    </w:rPr>
                  </w:pPr>
                  <w:r>
                    <w:rPr>
                      <w:color w:val="auto"/>
                      <w:sz w:val="21"/>
                      <w:szCs w:val="22"/>
                      <w:u w:val="none" w:color="auto"/>
                    </w:rPr>
                    <w:t>达标</w:t>
                  </w:r>
                </w:p>
              </w:tc>
              <w:tc>
                <w:tcPr>
                  <w:tcW w:w="1253" w:type="dxa"/>
                  <w:vAlign w:val="center"/>
                </w:tcPr>
                <w:p w14:paraId="6830AC0A">
                  <w:pPr>
                    <w:adjustRightInd w:val="0"/>
                    <w:snapToGrid w:val="0"/>
                    <w:spacing w:before="32" w:after="32" w:line="240" w:lineRule="auto"/>
                    <w:ind w:firstLine="0" w:firstLineChars="0"/>
                    <w:jc w:val="center"/>
                    <w:rPr>
                      <w:color w:val="auto"/>
                      <w:sz w:val="21"/>
                      <w:szCs w:val="22"/>
                      <w:u w:val="none" w:color="auto"/>
                    </w:rPr>
                  </w:pPr>
                  <w:r>
                    <w:rPr>
                      <w:color w:val="auto"/>
                      <w:sz w:val="21"/>
                      <w:szCs w:val="22"/>
                      <w:u w:val="none" w:color="auto"/>
                    </w:rPr>
                    <w:t>达标</w:t>
                  </w:r>
                </w:p>
              </w:tc>
              <w:tc>
                <w:tcPr>
                  <w:tcW w:w="1253" w:type="dxa"/>
                  <w:vAlign w:val="center"/>
                </w:tcPr>
                <w:p w14:paraId="1C09102D">
                  <w:pPr>
                    <w:adjustRightInd w:val="0"/>
                    <w:snapToGrid w:val="0"/>
                    <w:spacing w:before="32" w:after="32" w:line="240" w:lineRule="auto"/>
                    <w:ind w:firstLine="0" w:firstLineChars="0"/>
                    <w:jc w:val="center"/>
                    <w:rPr>
                      <w:color w:val="auto"/>
                      <w:sz w:val="21"/>
                      <w:szCs w:val="22"/>
                      <w:u w:val="none" w:color="auto"/>
                    </w:rPr>
                  </w:pPr>
                  <w:r>
                    <w:rPr>
                      <w:color w:val="auto"/>
                      <w:sz w:val="21"/>
                      <w:szCs w:val="22"/>
                      <w:u w:val="none" w:color="auto"/>
                    </w:rPr>
                    <w:t>达标</w:t>
                  </w:r>
                </w:p>
              </w:tc>
              <w:tc>
                <w:tcPr>
                  <w:tcW w:w="1255" w:type="dxa"/>
                  <w:vAlign w:val="center"/>
                </w:tcPr>
                <w:p w14:paraId="342C76B8">
                  <w:pPr>
                    <w:adjustRightInd w:val="0"/>
                    <w:snapToGrid w:val="0"/>
                    <w:spacing w:before="32" w:after="32" w:line="240" w:lineRule="auto"/>
                    <w:ind w:firstLine="0" w:firstLineChars="0"/>
                    <w:jc w:val="center"/>
                    <w:rPr>
                      <w:color w:val="auto"/>
                      <w:sz w:val="21"/>
                      <w:szCs w:val="22"/>
                      <w:u w:val="none" w:color="auto"/>
                    </w:rPr>
                  </w:pPr>
                  <w:r>
                    <w:rPr>
                      <w:color w:val="auto"/>
                      <w:sz w:val="21"/>
                      <w:szCs w:val="22"/>
                      <w:u w:val="none" w:color="auto"/>
                    </w:rPr>
                    <w:t>达标</w:t>
                  </w:r>
                </w:p>
              </w:tc>
            </w:tr>
          </w:tbl>
          <w:p w14:paraId="386AE1E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对周边</w:t>
            </w:r>
            <w:r>
              <w:rPr>
                <w:rFonts w:hint="eastAsia" w:cs="Times New Roman"/>
                <w:color w:val="auto"/>
                <w:kern w:val="2"/>
                <w:sz w:val="24"/>
                <w:szCs w:val="24"/>
                <w:u w:val="none" w:color="auto"/>
                <w:lang w:val="en-US" w:eastAsia="zh-CN" w:bidi="ar-SA"/>
              </w:rPr>
              <w:t>50米范围内的声环境保护目标</w:t>
            </w:r>
            <w:r>
              <w:rPr>
                <w:rFonts w:hint="eastAsia" w:ascii="Times New Roman" w:hAnsi="Times New Roman" w:eastAsia="宋体" w:cs="Times New Roman"/>
                <w:color w:val="auto"/>
                <w:kern w:val="2"/>
                <w:sz w:val="24"/>
                <w:szCs w:val="24"/>
                <w:u w:val="none" w:color="auto"/>
                <w:lang w:val="en-US" w:eastAsia="zh-CN" w:bidi="ar-SA"/>
              </w:rPr>
              <w:t>预测结果如下：</w:t>
            </w:r>
          </w:p>
          <w:p w14:paraId="5CF8261E">
            <w:pPr>
              <w:pStyle w:val="10"/>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firstLine="480" w:firstLineChars="200"/>
              <w:jc w:val="center"/>
              <w:textAlignment w:val="auto"/>
              <w:rPr>
                <w:rFonts w:ascii="黑体" w:hAnsi="黑体" w:eastAsia="黑体"/>
                <w:b w:val="0"/>
                <w:color w:val="auto"/>
                <w:u w:val="none" w:color="auto"/>
              </w:rPr>
            </w:pPr>
            <w:r>
              <w:rPr>
                <w:rFonts w:hint="eastAsia" w:ascii="黑体" w:hAnsi="黑体" w:eastAsia="黑体"/>
                <w:b w:val="0"/>
                <w:color w:val="auto"/>
                <w:u w:val="none" w:color="auto"/>
                <w:lang w:val="en-US" w:eastAsia="zh-CN"/>
              </w:rPr>
              <w:t>项目声环境保护目标噪声</w:t>
            </w:r>
            <w:r>
              <w:rPr>
                <w:rFonts w:ascii="黑体" w:hAnsi="黑体" w:eastAsia="黑体"/>
                <w:b w:val="0"/>
                <w:color w:val="auto"/>
                <w:u w:val="none" w:color="auto"/>
                <w:lang w:val="zh-CN"/>
              </w:rPr>
              <w:t>预测</w:t>
            </w:r>
            <w:r>
              <w:rPr>
                <w:rFonts w:hint="eastAsia" w:ascii="黑体" w:hAnsi="黑体" w:eastAsia="黑体"/>
                <w:b w:val="0"/>
                <w:color w:val="auto"/>
                <w:u w:val="none" w:color="auto"/>
                <w:lang w:val="en-US" w:eastAsia="zh-CN"/>
              </w:rPr>
              <w:t>结果</w:t>
            </w:r>
            <w:r>
              <w:rPr>
                <w:rFonts w:ascii="黑体" w:hAnsi="黑体" w:eastAsia="黑体"/>
                <w:b w:val="0"/>
                <w:color w:val="auto"/>
                <w:u w:val="none" w:color="auto"/>
                <w:lang w:val="zh-CN"/>
              </w:rPr>
              <w:t xml:space="preserve">   单位：</w:t>
            </w:r>
            <w:r>
              <w:rPr>
                <w:rFonts w:ascii="黑体" w:hAnsi="黑体" w:eastAsia="黑体"/>
                <w:b w:val="0"/>
                <w:color w:val="auto"/>
                <w:u w:val="none" w:color="auto"/>
              </w:rPr>
              <w:t>dB（A）</w:t>
            </w:r>
          </w:p>
          <w:tbl>
            <w:tblPr>
              <w:tblStyle w:val="22"/>
              <w:tblW w:w="86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24"/>
              <w:gridCol w:w="952"/>
              <w:gridCol w:w="1083"/>
              <w:gridCol w:w="1083"/>
              <w:gridCol w:w="1083"/>
              <w:gridCol w:w="922"/>
              <w:gridCol w:w="1707"/>
            </w:tblGrid>
            <w:tr w14:paraId="1150B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824" w:type="dxa"/>
                  <w:vMerge w:val="restart"/>
                  <w:tcBorders>
                    <w:tl2br w:val="nil"/>
                    <w:tr2bl w:val="nil"/>
                  </w:tcBorders>
                  <w:vAlign w:val="center"/>
                </w:tcPr>
                <w:p w14:paraId="3D7754A3">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b/>
                      <w:color w:val="auto"/>
                      <w:kern w:val="0"/>
                      <w:sz w:val="21"/>
                      <w:szCs w:val="21"/>
                      <w:highlight w:val="none"/>
                      <w:u w:val="none" w:color="auto"/>
                      <w:lang w:val="zh-CN" w:bidi="en-US"/>
                    </w:rPr>
                  </w:pPr>
                  <w:r>
                    <w:rPr>
                      <w:rFonts w:hint="eastAsia" w:cs="Times New Roman"/>
                      <w:b/>
                      <w:color w:val="auto"/>
                      <w:kern w:val="0"/>
                      <w:sz w:val="21"/>
                      <w:szCs w:val="21"/>
                      <w:highlight w:val="none"/>
                      <w:u w:val="none" w:color="auto"/>
                      <w:lang w:val="en-US" w:eastAsia="zh-CN" w:bidi="en-US"/>
                    </w:rPr>
                    <w:t>保护</w:t>
                  </w:r>
                  <w:r>
                    <w:rPr>
                      <w:rFonts w:hint="default" w:ascii="Times New Roman" w:hAnsi="Times New Roman" w:eastAsia="宋体" w:cs="Times New Roman"/>
                      <w:b/>
                      <w:color w:val="auto"/>
                      <w:kern w:val="0"/>
                      <w:sz w:val="21"/>
                      <w:szCs w:val="21"/>
                      <w:highlight w:val="none"/>
                      <w:u w:val="none" w:color="auto"/>
                      <w:lang w:val="en-US" w:eastAsia="zh-CN" w:bidi="en-US"/>
                    </w:rPr>
                    <w:t>目标</w:t>
                  </w:r>
                  <w:r>
                    <w:rPr>
                      <w:rFonts w:hint="default" w:ascii="Times New Roman" w:hAnsi="Times New Roman" w:eastAsia="宋体" w:cs="Times New Roman"/>
                      <w:b/>
                      <w:color w:val="auto"/>
                      <w:kern w:val="0"/>
                      <w:sz w:val="21"/>
                      <w:szCs w:val="21"/>
                      <w:highlight w:val="none"/>
                      <w:u w:val="none" w:color="auto"/>
                      <w:lang w:val="zh-CN" w:bidi="en-US"/>
                    </w:rPr>
                    <w:t>名称</w:t>
                  </w:r>
                </w:p>
              </w:tc>
              <w:tc>
                <w:tcPr>
                  <w:tcW w:w="952" w:type="dxa"/>
                  <w:vMerge w:val="restart"/>
                  <w:tcBorders>
                    <w:tl2br w:val="nil"/>
                    <w:tr2bl w:val="nil"/>
                  </w:tcBorders>
                  <w:vAlign w:val="center"/>
                </w:tcPr>
                <w:p w14:paraId="6AFD4A18">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b/>
                      <w:color w:val="auto"/>
                      <w:kern w:val="0"/>
                      <w:sz w:val="21"/>
                      <w:szCs w:val="21"/>
                      <w:highlight w:val="none"/>
                      <w:u w:val="none" w:color="auto"/>
                      <w:lang w:val="en-US" w:eastAsia="zh-CN" w:bidi="en-US"/>
                    </w:rPr>
                  </w:pPr>
                  <w:r>
                    <w:rPr>
                      <w:rFonts w:hint="eastAsia" w:ascii="Times New Roman" w:hAnsi="Times New Roman" w:eastAsia="宋体" w:cs="Times New Roman"/>
                      <w:b/>
                      <w:color w:val="auto"/>
                      <w:kern w:val="0"/>
                      <w:sz w:val="21"/>
                      <w:szCs w:val="21"/>
                      <w:highlight w:val="none"/>
                      <w:u w:val="none" w:color="auto"/>
                      <w:lang w:val="en-US" w:eastAsia="zh-CN" w:bidi="en-US"/>
                    </w:rPr>
                    <w:t>贡献值</w:t>
                  </w:r>
                </w:p>
              </w:tc>
              <w:tc>
                <w:tcPr>
                  <w:tcW w:w="2166" w:type="dxa"/>
                  <w:gridSpan w:val="2"/>
                  <w:tcBorders>
                    <w:tl2br w:val="nil"/>
                    <w:tr2bl w:val="nil"/>
                  </w:tcBorders>
                  <w:vAlign w:val="center"/>
                </w:tcPr>
                <w:p w14:paraId="775D8BEB">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eastAsia" w:cs="Times New Roman"/>
                      <w:b/>
                      <w:color w:val="auto"/>
                      <w:kern w:val="0"/>
                      <w:sz w:val="21"/>
                      <w:szCs w:val="21"/>
                      <w:highlight w:val="none"/>
                      <w:u w:val="none" w:color="auto"/>
                      <w:lang w:val="en-US" w:eastAsia="zh-CN" w:bidi="en-US"/>
                    </w:rPr>
                  </w:pPr>
                  <w:r>
                    <w:rPr>
                      <w:rFonts w:hint="eastAsia" w:cs="Times New Roman"/>
                      <w:b/>
                      <w:color w:val="auto"/>
                      <w:kern w:val="0"/>
                      <w:sz w:val="21"/>
                      <w:szCs w:val="21"/>
                      <w:highlight w:val="none"/>
                      <w:u w:val="none" w:color="auto"/>
                      <w:lang w:val="en-US" w:eastAsia="zh-CN" w:bidi="en-US"/>
                    </w:rPr>
                    <w:t>背景值</w:t>
                  </w:r>
                </w:p>
              </w:tc>
              <w:tc>
                <w:tcPr>
                  <w:tcW w:w="2005" w:type="dxa"/>
                  <w:gridSpan w:val="2"/>
                  <w:tcBorders>
                    <w:tl2br w:val="nil"/>
                    <w:tr2bl w:val="nil"/>
                  </w:tcBorders>
                  <w:vAlign w:val="center"/>
                </w:tcPr>
                <w:p w14:paraId="26F62573">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b/>
                      <w:color w:val="auto"/>
                      <w:kern w:val="0"/>
                      <w:sz w:val="21"/>
                      <w:szCs w:val="21"/>
                      <w:highlight w:val="none"/>
                      <w:u w:val="none" w:color="auto"/>
                      <w:lang w:val="en-US" w:eastAsia="zh-CN" w:bidi="en-US"/>
                    </w:rPr>
                  </w:pPr>
                  <w:r>
                    <w:rPr>
                      <w:rFonts w:hint="eastAsia" w:cs="Times New Roman"/>
                      <w:b/>
                      <w:color w:val="auto"/>
                      <w:kern w:val="0"/>
                      <w:sz w:val="21"/>
                      <w:szCs w:val="21"/>
                      <w:highlight w:val="none"/>
                      <w:u w:val="none" w:color="auto"/>
                      <w:lang w:val="en-US" w:eastAsia="zh-CN" w:bidi="en-US"/>
                    </w:rPr>
                    <w:t>叠加值</w:t>
                  </w:r>
                </w:p>
              </w:tc>
              <w:tc>
                <w:tcPr>
                  <w:tcW w:w="1707" w:type="dxa"/>
                  <w:vMerge w:val="restart"/>
                  <w:tcBorders>
                    <w:tl2br w:val="nil"/>
                    <w:tr2bl w:val="nil"/>
                  </w:tcBorders>
                  <w:vAlign w:val="center"/>
                </w:tcPr>
                <w:p w14:paraId="08F39234">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b/>
                      <w:color w:val="auto"/>
                      <w:kern w:val="0"/>
                      <w:sz w:val="21"/>
                      <w:szCs w:val="21"/>
                      <w:highlight w:val="none"/>
                      <w:u w:val="none" w:color="auto"/>
                      <w:lang w:val="en-US" w:eastAsia="zh-CN" w:bidi="en-US"/>
                    </w:rPr>
                  </w:pPr>
                  <w:r>
                    <w:rPr>
                      <w:rFonts w:hint="eastAsia" w:ascii="Times New Roman" w:hAnsi="Times New Roman" w:eastAsia="宋体" w:cs="Times New Roman"/>
                      <w:b/>
                      <w:color w:val="auto"/>
                      <w:kern w:val="0"/>
                      <w:sz w:val="21"/>
                      <w:szCs w:val="21"/>
                      <w:highlight w:val="none"/>
                      <w:u w:val="none" w:color="auto"/>
                      <w:lang w:val="en-US" w:eastAsia="zh-CN" w:bidi="en-US"/>
                    </w:rPr>
                    <w:t>标准限值</w:t>
                  </w:r>
                </w:p>
              </w:tc>
            </w:tr>
            <w:tr w14:paraId="23F94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824" w:type="dxa"/>
                  <w:vMerge w:val="continue"/>
                  <w:tcBorders>
                    <w:tl2br w:val="nil"/>
                    <w:tr2bl w:val="nil"/>
                  </w:tcBorders>
                  <w:vAlign w:val="center"/>
                </w:tcPr>
                <w:p w14:paraId="1EADFA4E">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b/>
                      <w:color w:val="auto"/>
                      <w:kern w:val="0"/>
                      <w:sz w:val="21"/>
                      <w:szCs w:val="21"/>
                      <w:highlight w:val="none"/>
                      <w:u w:val="none" w:color="auto"/>
                      <w:lang w:val="en-US" w:eastAsia="zh-CN" w:bidi="en-US"/>
                    </w:rPr>
                  </w:pPr>
                </w:p>
              </w:tc>
              <w:tc>
                <w:tcPr>
                  <w:tcW w:w="952" w:type="dxa"/>
                  <w:vMerge w:val="continue"/>
                  <w:tcBorders>
                    <w:tl2br w:val="nil"/>
                    <w:tr2bl w:val="nil"/>
                  </w:tcBorders>
                  <w:vAlign w:val="center"/>
                </w:tcPr>
                <w:p w14:paraId="0416C02E">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eastAsia" w:ascii="Times New Roman" w:hAnsi="Times New Roman" w:eastAsia="宋体" w:cs="Times New Roman"/>
                      <w:b/>
                      <w:color w:val="auto"/>
                      <w:kern w:val="0"/>
                      <w:sz w:val="21"/>
                      <w:szCs w:val="21"/>
                      <w:highlight w:val="none"/>
                      <w:u w:val="none" w:color="auto"/>
                      <w:lang w:val="en-US" w:eastAsia="zh-CN" w:bidi="en-US"/>
                    </w:rPr>
                  </w:pPr>
                </w:p>
              </w:tc>
              <w:tc>
                <w:tcPr>
                  <w:tcW w:w="1083" w:type="dxa"/>
                  <w:tcBorders>
                    <w:tl2br w:val="nil"/>
                    <w:tr2bl w:val="nil"/>
                  </w:tcBorders>
                  <w:vAlign w:val="center"/>
                </w:tcPr>
                <w:p w14:paraId="21FB449E">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cs="Times New Roman"/>
                      <w:b/>
                      <w:color w:val="auto"/>
                      <w:kern w:val="0"/>
                      <w:sz w:val="21"/>
                      <w:szCs w:val="21"/>
                      <w:highlight w:val="none"/>
                      <w:u w:val="none" w:color="auto"/>
                      <w:lang w:val="en-US" w:eastAsia="zh-CN" w:bidi="en-US"/>
                    </w:rPr>
                  </w:pPr>
                  <w:r>
                    <w:rPr>
                      <w:rFonts w:hint="eastAsia" w:cs="Times New Roman"/>
                      <w:b/>
                      <w:color w:val="auto"/>
                      <w:kern w:val="0"/>
                      <w:sz w:val="21"/>
                      <w:szCs w:val="21"/>
                      <w:highlight w:val="none"/>
                      <w:u w:val="none" w:color="auto"/>
                      <w:lang w:val="en-US" w:eastAsia="zh-CN" w:bidi="en-US"/>
                    </w:rPr>
                    <w:t>昼间</w:t>
                  </w:r>
                </w:p>
              </w:tc>
              <w:tc>
                <w:tcPr>
                  <w:tcW w:w="1083" w:type="dxa"/>
                  <w:tcBorders>
                    <w:tl2br w:val="nil"/>
                    <w:tr2bl w:val="nil"/>
                  </w:tcBorders>
                  <w:vAlign w:val="center"/>
                </w:tcPr>
                <w:p w14:paraId="74528B39">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cs="Times New Roman"/>
                      <w:b/>
                      <w:color w:val="auto"/>
                      <w:kern w:val="0"/>
                      <w:sz w:val="21"/>
                      <w:szCs w:val="21"/>
                      <w:highlight w:val="none"/>
                      <w:u w:val="none" w:color="auto"/>
                      <w:lang w:val="en-US" w:eastAsia="zh-CN" w:bidi="en-US"/>
                    </w:rPr>
                  </w:pPr>
                  <w:r>
                    <w:rPr>
                      <w:rFonts w:hint="eastAsia" w:cs="Times New Roman"/>
                      <w:b/>
                      <w:color w:val="auto"/>
                      <w:kern w:val="0"/>
                      <w:sz w:val="21"/>
                      <w:szCs w:val="21"/>
                      <w:highlight w:val="none"/>
                      <w:u w:val="none" w:color="auto"/>
                      <w:lang w:val="en-US" w:eastAsia="zh-CN" w:bidi="en-US"/>
                    </w:rPr>
                    <w:t>夜间</w:t>
                  </w:r>
                </w:p>
              </w:tc>
              <w:tc>
                <w:tcPr>
                  <w:tcW w:w="1083" w:type="dxa"/>
                  <w:tcBorders>
                    <w:tl2br w:val="nil"/>
                    <w:tr2bl w:val="nil"/>
                  </w:tcBorders>
                  <w:vAlign w:val="center"/>
                </w:tcPr>
                <w:p w14:paraId="351C4DBF">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cs="Times New Roman"/>
                      <w:b/>
                      <w:color w:val="auto"/>
                      <w:kern w:val="0"/>
                      <w:sz w:val="21"/>
                      <w:szCs w:val="21"/>
                      <w:highlight w:val="none"/>
                      <w:u w:val="none" w:color="auto"/>
                      <w:lang w:val="en-US" w:eastAsia="zh-CN" w:bidi="en-US"/>
                    </w:rPr>
                  </w:pPr>
                  <w:r>
                    <w:rPr>
                      <w:rFonts w:hint="eastAsia" w:cs="Times New Roman"/>
                      <w:b/>
                      <w:color w:val="auto"/>
                      <w:kern w:val="0"/>
                      <w:sz w:val="21"/>
                      <w:szCs w:val="21"/>
                      <w:highlight w:val="none"/>
                      <w:u w:val="none" w:color="auto"/>
                      <w:lang w:val="en-US" w:eastAsia="zh-CN" w:bidi="en-US"/>
                    </w:rPr>
                    <w:t>昼间</w:t>
                  </w:r>
                </w:p>
              </w:tc>
              <w:tc>
                <w:tcPr>
                  <w:tcW w:w="922" w:type="dxa"/>
                  <w:tcBorders>
                    <w:tl2br w:val="nil"/>
                    <w:tr2bl w:val="nil"/>
                  </w:tcBorders>
                  <w:vAlign w:val="center"/>
                </w:tcPr>
                <w:p w14:paraId="502DF50F">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cs="Times New Roman"/>
                      <w:b/>
                      <w:color w:val="auto"/>
                      <w:kern w:val="0"/>
                      <w:sz w:val="21"/>
                      <w:szCs w:val="21"/>
                      <w:highlight w:val="none"/>
                      <w:u w:val="none" w:color="auto"/>
                      <w:lang w:val="en-US" w:eastAsia="zh-CN" w:bidi="en-US"/>
                    </w:rPr>
                  </w:pPr>
                  <w:r>
                    <w:rPr>
                      <w:rFonts w:hint="eastAsia" w:cs="Times New Roman"/>
                      <w:b/>
                      <w:color w:val="auto"/>
                      <w:kern w:val="0"/>
                      <w:sz w:val="21"/>
                      <w:szCs w:val="21"/>
                      <w:highlight w:val="none"/>
                      <w:u w:val="none" w:color="auto"/>
                      <w:lang w:val="en-US" w:eastAsia="zh-CN" w:bidi="en-US"/>
                    </w:rPr>
                    <w:t>夜间</w:t>
                  </w:r>
                </w:p>
              </w:tc>
              <w:tc>
                <w:tcPr>
                  <w:tcW w:w="1707" w:type="dxa"/>
                  <w:vMerge w:val="continue"/>
                  <w:tcBorders>
                    <w:tl2br w:val="nil"/>
                    <w:tr2bl w:val="nil"/>
                  </w:tcBorders>
                  <w:vAlign w:val="center"/>
                </w:tcPr>
                <w:p w14:paraId="57B7B771">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eastAsia" w:ascii="Times New Roman" w:hAnsi="Times New Roman" w:eastAsia="宋体" w:cs="Times New Roman"/>
                      <w:b/>
                      <w:color w:val="auto"/>
                      <w:kern w:val="0"/>
                      <w:sz w:val="21"/>
                      <w:szCs w:val="21"/>
                      <w:highlight w:val="none"/>
                      <w:u w:val="none" w:color="auto"/>
                      <w:lang w:val="en-US" w:eastAsia="zh-CN" w:bidi="en-US"/>
                    </w:rPr>
                  </w:pPr>
                </w:p>
              </w:tc>
            </w:tr>
            <w:tr w14:paraId="7BE93C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824" w:type="dxa"/>
                  <w:tcBorders>
                    <w:tl2br w:val="nil"/>
                    <w:tr2bl w:val="nil"/>
                  </w:tcBorders>
                  <w:vAlign w:val="center"/>
                </w:tcPr>
                <w:p w14:paraId="6C3F1242">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default" w:ascii="Times New Roman" w:hAnsi="Times New Roman" w:eastAsia="宋体" w:cs="Times New Roman"/>
                      <w:color w:val="auto"/>
                      <w:kern w:val="0"/>
                      <w:sz w:val="21"/>
                      <w:szCs w:val="21"/>
                      <w:highlight w:val="none"/>
                      <w:u w:val="none" w:color="auto"/>
                      <w:lang w:val="en-US" w:eastAsia="zh-CN" w:bidi="en-US"/>
                    </w:rPr>
                    <w:t>南宁三玖脑科医院</w:t>
                  </w:r>
                  <w:r>
                    <w:rPr>
                      <w:rFonts w:hint="eastAsia" w:cs="Times New Roman"/>
                      <w:color w:val="auto"/>
                      <w:kern w:val="0"/>
                      <w:sz w:val="21"/>
                      <w:szCs w:val="21"/>
                      <w:highlight w:val="none"/>
                      <w:u w:val="none" w:color="auto"/>
                      <w:lang w:val="en-US" w:eastAsia="zh-CN" w:bidi="en-US"/>
                    </w:rPr>
                    <w:t>（拟建）</w:t>
                  </w:r>
                </w:p>
              </w:tc>
              <w:tc>
                <w:tcPr>
                  <w:tcW w:w="952" w:type="dxa"/>
                  <w:tcBorders>
                    <w:tl2br w:val="nil"/>
                    <w:tr2bl w:val="nil"/>
                  </w:tcBorders>
                  <w:vAlign w:val="center"/>
                </w:tcPr>
                <w:p w14:paraId="1F5DC47A">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ascii="Times New Roman" w:hAnsi="Times New Roman" w:eastAsia="宋体" w:cs="Times New Roman"/>
                      <w:color w:val="auto"/>
                      <w:kern w:val="0"/>
                      <w:sz w:val="21"/>
                      <w:szCs w:val="21"/>
                      <w:highlight w:val="none"/>
                      <w:u w:val="none" w:color="auto"/>
                      <w:lang w:val="en-US" w:eastAsia="zh-CN" w:bidi="en-US"/>
                    </w:rPr>
                    <w:t>36.1</w:t>
                  </w:r>
                </w:p>
              </w:tc>
              <w:tc>
                <w:tcPr>
                  <w:tcW w:w="1083" w:type="dxa"/>
                  <w:tcBorders>
                    <w:tl2br w:val="nil"/>
                    <w:tr2bl w:val="nil"/>
                  </w:tcBorders>
                  <w:vAlign w:val="center"/>
                </w:tcPr>
                <w:p w14:paraId="71398079">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ascii="Times New Roman" w:hAnsi="Times New Roman" w:eastAsia="宋体" w:cs="Times New Roman"/>
                      <w:color w:val="auto"/>
                      <w:kern w:val="0"/>
                      <w:sz w:val="21"/>
                      <w:szCs w:val="21"/>
                      <w:highlight w:val="none"/>
                      <w:u w:val="none" w:color="auto"/>
                      <w:lang w:val="en-US" w:eastAsia="zh-CN" w:bidi="en-US"/>
                    </w:rPr>
                    <w:t>58.7</w:t>
                  </w:r>
                </w:p>
              </w:tc>
              <w:tc>
                <w:tcPr>
                  <w:tcW w:w="1083" w:type="dxa"/>
                  <w:tcBorders>
                    <w:tl2br w:val="nil"/>
                    <w:tr2bl w:val="nil"/>
                  </w:tcBorders>
                  <w:vAlign w:val="center"/>
                </w:tcPr>
                <w:p w14:paraId="1B7D084C">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ascii="Times New Roman" w:hAnsi="Times New Roman" w:eastAsia="宋体" w:cs="Times New Roman"/>
                      <w:color w:val="auto"/>
                      <w:kern w:val="0"/>
                      <w:sz w:val="21"/>
                      <w:szCs w:val="21"/>
                      <w:highlight w:val="none"/>
                      <w:u w:val="none" w:color="auto"/>
                      <w:lang w:val="en-US" w:eastAsia="zh-CN" w:bidi="en-US"/>
                    </w:rPr>
                    <w:t>42.7</w:t>
                  </w:r>
                </w:p>
              </w:tc>
              <w:tc>
                <w:tcPr>
                  <w:tcW w:w="1083" w:type="dxa"/>
                  <w:tcBorders>
                    <w:tl2br w:val="nil"/>
                    <w:tr2bl w:val="nil"/>
                  </w:tcBorders>
                  <w:vAlign w:val="center"/>
                </w:tcPr>
                <w:p w14:paraId="55AAB4BD">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eastAsia" w:ascii="Times New Roman" w:hAnsi="Times New Roman" w:eastAsia="宋体" w:cs="Times New Roman"/>
                      <w:color w:val="auto"/>
                      <w:kern w:val="0"/>
                      <w:sz w:val="21"/>
                      <w:szCs w:val="21"/>
                      <w:highlight w:val="none"/>
                      <w:u w:val="none" w:color="auto"/>
                      <w:lang w:val="en-US" w:eastAsia="zh-CN" w:bidi="en-US"/>
                    </w:rPr>
                  </w:pPr>
                  <w:r>
                    <w:rPr>
                      <w:rFonts w:hint="eastAsia" w:ascii="Times New Roman" w:hAnsi="Times New Roman" w:eastAsia="宋体" w:cs="Times New Roman"/>
                      <w:color w:val="auto"/>
                      <w:kern w:val="0"/>
                      <w:sz w:val="21"/>
                      <w:szCs w:val="21"/>
                      <w:highlight w:val="none"/>
                      <w:u w:val="none" w:color="auto"/>
                      <w:lang w:val="en-US" w:eastAsia="zh-CN" w:bidi="en-US"/>
                    </w:rPr>
                    <w:t>58.7</w:t>
                  </w:r>
                </w:p>
              </w:tc>
              <w:tc>
                <w:tcPr>
                  <w:tcW w:w="922" w:type="dxa"/>
                  <w:tcBorders>
                    <w:tl2br w:val="nil"/>
                    <w:tr2bl w:val="nil"/>
                  </w:tcBorders>
                  <w:vAlign w:val="center"/>
                </w:tcPr>
                <w:p w14:paraId="334BF3AA">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eastAsia" w:ascii="Times New Roman" w:hAnsi="Times New Roman" w:eastAsia="宋体" w:cs="Times New Roman"/>
                      <w:color w:val="auto"/>
                      <w:kern w:val="0"/>
                      <w:sz w:val="21"/>
                      <w:szCs w:val="21"/>
                      <w:highlight w:val="none"/>
                      <w:u w:val="none" w:color="auto"/>
                      <w:lang w:val="en-US" w:eastAsia="zh-CN" w:bidi="en-US"/>
                    </w:rPr>
                  </w:pPr>
                  <w:r>
                    <w:rPr>
                      <w:rFonts w:hint="eastAsia" w:ascii="Times New Roman" w:hAnsi="Times New Roman" w:eastAsia="宋体" w:cs="Times New Roman"/>
                      <w:color w:val="auto"/>
                      <w:kern w:val="0"/>
                      <w:sz w:val="21"/>
                      <w:szCs w:val="21"/>
                      <w:highlight w:val="none"/>
                      <w:u w:val="none" w:color="auto"/>
                      <w:lang w:val="en-US" w:eastAsia="zh-CN" w:bidi="en-US"/>
                    </w:rPr>
                    <w:t>43.6</w:t>
                  </w:r>
                </w:p>
              </w:tc>
              <w:tc>
                <w:tcPr>
                  <w:tcW w:w="1707" w:type="dxa"/>
                  <w:tcBorders>
                    <w:tl2br w:val="nil"/>
                    <w:tr2bl w:val="nil"/>
                  </w:tcBorders>
                  <w:vAlign w:val="center"/>
                </w:tcPr>
                <w:p w14:paraId="65F585B9">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zh-CN" w:bidi="en-US"/>
                    </w:rPr>
                  </w:pPr>
                  <w:r>
                    <w:rPr>
                      <w:color w:val="auto"/>
                      <w:sz w:val="21"/>
                      <w:szCs w:val="22"/>
                      <w:u w:val="none" w:color="auto"/>
                    </w:rPr>
                    <w:t>昼间≤</w:t>
                  </w:r>
                  <w:r>
                    <w:rPr>
                      <w:rFonts w:hint="eastAsia"/>
                      <w:color w:val="auto"/>
                      <w:sz w:val="21"/>
                      <w:szCs w:val="22"/>
                      <w:u w:val="none" w:color="auto"/>
                      <w:lang w:val="en-US" w:eastAsia="zh-CN"/>
                    </w:rPr>
                    <w:t>70</w:t>
                  </w:r>
                  <w:r>
                    <w:rPr>
                      <w:color w:val="auto"/>
                      <w:sz w:val="21"/>
                      <w:szCs w:val="22"/>
                      <w:u w:val="none" w:color="auto"/>
                    </w:rPr>
                    <w:t>dB(A)，夜间≤5</w:t>
                  </w:r>
                  <w:r>
                    <w:rPr>
                      <w:rFonts w:hint="eastAsia"/>
                      <w:color w:val="auto"/>
                      <w:sz w:val="21"/>
                      <w:szCs w:val="22"/>
                      <w:u w:val="none" w:color="auto"/>
                      <w:lang w:val="en-US" w:eastAsia="zh-CN"/>
                    </w:rPr>
                    <w:t>5</w:t>
                  </w:r>
                  <w:r>
                    <w:rPr>
                      <w:color w:val="auto"/>
                      <w:sz w:val="21"/>
                      <w:szCs w:val="22"/>
                      <w:u w:val="none" w:color="auto"/>
                    </w:rPr>
                    <w:t>dB(A)</w:t>
                  </w:r>
                </w:p>
              </w:tc>
            </w:tr>
            <w:tr w14:paraId="28AA9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824" w:type="dxa"/>
                  <w:tcBorders>
                    <w:tl2br w:val="nil"/>
                    <w:tr2bl w:val="nil"/>
                  </w:tcBorders>
                  <w:vAlign w:val="center"/>
                </w:tcPr>
                <w:p w14:paraId="37780A16">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default" w:ascii="Times New Roman" w:hAnsi="Times New Roman" w:eastAsia="宋体" w:cs="Times New Roman"/>
                      <w:color w:val="auto"/>
                      <w:kern w:val="0"/>
                      <w:sz w:val="21"/>
                      <w:szCs w:val="21"/>
                      <w:highlight w:val="none"/>
                      <w:u w:val="none" w:color="auto"/>
                      <w:lang w:val="en-US" w:eastAsia="zh-CN" w:bidi="en-US"/>
                    </w:rPr>
                    <w:t>九斗</w:t>
                  </w:r>
                  <w:r>
                    <w:rPr>
                      <w:rFonts w:hint="eastAsia" w:cs="Times New Roman"/>
                      <w:color w:val="auto"/>
                      <w:kern w:val="0"/>
                      <w:sz w:val="21"/>
                      <w:szCs w:val="21"/>
                      <w:highlight w:val="none"/>
                      <w:u w:val="none" w:color="auto"/>
                      <w:lang w:val="en-US" w:eastAsia="zh-CN" w:bidi="en-US"/>
                    </w:rPr>
                    <w:t>坡</w:t>
                  </w:r>
                </w:p>
              </w:tc>
              <w:tc>
                <w:tcPr>
                  <w:tcW w:w="952" w:type="dxa"/>
                  <w:tcBorders>
                    <w:tl2br w:val="nil"/>
                    <w:tr2bl w:val="nil"/>
                  </w:tcBorders>
                  <w:vAlign w:val="center"/>
                </w:tcPr>
                <w:p w14:paraId="6EFBDA45">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ascii="Times New Roman" w:hAnsi="Times New Roman" w:eastAsia="宋体" w:cs="Times New Roman"/>
                      <w:color w:val="auto"/>
                      <w:kern w:val="0"/>
                      <w:sz w:val="21"/>
                      <w:szCs w:val="21"/>
                      <w:highlight w:val="none"/>
                      <w:u w:val="none" w:color="auto"/>
                      <w:lang w:val="en-US" w:eastAsia="zh-CN" w:bidi="en-US"/>
                    </w:rPr>
                    <w:t>36.8</w:t>
                  </w:r>
                </w:p>
              </w:tc>
              <w:tc>
                <w:tcPr>
                  <w:tcW w:w="1083" w:type="dxa"/>
                  <w:tcBorders>
                    <w:tl2br w:val="nil"/>
                    <w:tr2bl w:val="nil"/>
                  </w:tcBorders>
                  <w:vAlign w:val="center"/>
                </w:tcPr>
                <w:p w14:paraId="6662F483">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ascii="Times New Roman" w:hAnsi="Times New Roman" w:eastAsia="宋体" w:cs="Times New Roman"/>
                      <w:color w:val="auto"/>
                      <w:kern w:val="0"/>
                      <w:sz w:val="21"/>
                      <w:szCs w:val="21"/>
                      <w:highlight w:val="none"/>
                      <w:u w:val="none" w:color="auto"/>
                      <w:lang w:val="en-US" w:eastAsia="zh-CN" w:bidi="en-US"/>
                    </w:rPr>
                    <w:t>46.2</w:t>
                  </w:r>
                </w:p>
              </w:tc>
              <w:tc>
                <w:tcPr>
                  <w:tcW w:w="1083" w:type="dxa"/>
                  <w:tcBorders>
                    <w:tl2br w:val="nil"/>
                    <w:tr2bl w:val="nil"/>
                  </w:tcBorders>
                  <w:vAlign w:val="center"/>
                </w:tcPr>
                <w:p w14:paraId="3F4A171A">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rFonts w:hint="eastAsia" w:ascii="Times New Roman" w:hAnsi="Times New Roman" w:eastAsia="宋体" w:cs="Times New Roman"/>
                      <w:color w:val="auto"/>
                      <w:kern w:val="0"/>
                      <w:sz w:val="21"/>
                      <w:szCs w:val="21"/>
                      <w:highlight w:val="none"/>
                      <w:u w:val="none" w:color="auto"/>
                      <w:lang w:val="en-US" w:eastAsia="zh-CN" w:bidi="en-US"/>
                    </w:rPr>
                    <w:t>40.8</w:t>
                  </w:r>
                </w:p>
              </w:tc>
              <w:tc>
                <w:tcPr>
                  <w:tcW w:w="1083" w:type="dxa"/>
                  <w:tcBorders>
                    <w:tl2br w:val="nil"/>
                    <w:tr2bl w:val="nil"/>
                  </w:tcBorders>
                  <w:vAlign w:val="center"/>
                </w:tcPr>
                <w:p w14:paraId="6E4489D9">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eastAsia" w:ascii="Times New Roman" w:hAnsi="Times New Roman" w:eastAsia="宋体" w:cs="Times New Roman"/>
                      <w:color w:val="auto"/>
                      <w:kern w:val="0"/>
                      <w:sz w:val="21"/>
                      <w:szCs w:val="21"/>
                      <w:highlight w:val="none"/>
                      <w:u w:val="none" w:color="auto"/>
                      <w:lang w:val="en-US" w:eastAsia="zh-CN" w:bidi="en-US"/>
                    </w:rPr>
                  </w:pPr>
                  <w:r>
                    <w:rPr>
                      <w:rFonts w:hint="eastAsia" w:ascii="Times New Roman" w:hAnsi="Times New Roman" w:eastAsia="宋体" w:cs="Times New Roman"/>
                      <w:color w:val="auto"/>
                      <w:kern w:val="0"/>
                      <w:sz w:val="21"/>
                      <w:szCs w:val="21"/>
                      <w:highlight w:val="none"/>
                      <w:u w:val="none" w:color="auto"/>
                      <w:lang w:val="en-US" w:eastAsia="zh-CN" w:bidi="en-US"/>
                    </w:rPr>
                    <w:t>46.7</w:t>
                  </w:r>
                </w:p>
              </w:tc>
              <w:tc>
                <w:tcPr>
                  <w:tcW w:w="922" w:type="dxa"/>
                  <w:tcBorders>
                    <w:tl2br w:val="nil"/>
                    <w:tr2bl w:val="nil"/>
                  </w:tcBorders>
                  <w:vAlign w:val="center"/>
                </w:tcPr>
                <w:p w14:paraId="215AC017">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eastAsia" w:ascii="Times New Roman" w:hAnsi="Times New Roman" w:eastAsia="宋体" w:cs="Times New Roman"/>
                      <w:color w:val="auto"/>
                      <w:kern w:val="0"/>
                      <w:sz w:val="21"/>
                      <w:szCs w:val="21"/>
                      <w:highlight w:val="none"/>
                      <w:u w:val="none" w:color="auto"/>
                      <w:lang w:val="en-US" w:eastAsia="zh-CN" w:bidi="en-US"/>
                    </w:rPr>
                  </w:pPr>
                  <w:r>
                    <w:rPr>
                      <w:rFonts w:hint="eastAsia" w:ascii="Times New Roman" w:hAnsi="Times New Roman" w:eastAsia="宋体" w:cs="Times New Roman"/>
                      <w:color w:val="auto"/>
                      <w:kern w:val="0"/>
                      <w:sz w:val="21"/>
                      <w:szCs w:val="21"/>
                      <w:highlight w:val="none"/>
                      <w:u w:val="none" w:color="auto"/>
                      <w:lang w:val="en-US" w:eastAsia="zh-CN" w:bidi="en-US"/>
                    </w:rPr>
                    <w:t>42.3</w:t>
                  </w:r>
                </w:p>
              </w:tc>
              <w:tc>
                <w:tcPr>
                  <w:tcW w:w="1707" w:type="dxa"/>
                  <w:tcBorders>
                    <w:tl2br w:val="nil"/>
                    <w:tr2bl w:val="nil"/>
                  </w:tcBorders>
                  <w:vAlign w:val="center"/>
                </w:tcPr>
                <w:p w14:paraId="1D13FE94">
                  <w:pPr>
                    <w:keepNext w:val="0"/>
                    <w:keepLines w:val="0"/>
                    <w:pageBreakBefore w:val="0"/>
                    <w:widowControl w:val="0"/>
                    <w:kinsoku/>
                    <w:wordWrap/>
                    <w:overflowPunct w:val="0"/>
                    <w:topLinePunct w:val="0"/>
                    <w:autoSpaceDE/>
                    <w:autoSpaceDN/>
                    <w:bidi w:val="0"/>
                    <w:adjustRightInd w:val="0"/>
                    <w:snapToGrid w:val="0"/>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val="en-US" w:eastAsia="zh-CN" w:bidi="en-US"/>
                    </w:rPr>
                  </w:pPr>
                  <w:r>
                    <w:rPr>
                      <w:color w:val="auto"/>
                      <w:sz w:val="21"/>
                      <w:szCs w:val="22"/>
                      <w:u w:val="none" w:color="auto"/>
                    </w:rPr>
                    <w:t>昼间≤60dB(A)，夜间≤50dB(A)</w:t>
                  </w:r>
                </w:p>
              </w:tc>
            </w:tr>
          </w:tbl>
          <w:p w14:paraId="54F82685">
            <w:pPr>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由上预测结果可知</w:t>
            </w:r>
            <w:r>
              <w:rPr>
                <w:rFonts w:ascii="Times New Roman" w:hAnsi="Times New Roman" w:eastAsia="宋体" w:cs="Times New Roman"/>
                <w:color w:val="auto"/>
                <w:kern w:val="2"/>
                <w:sz w:val="24"/>
                <w:szCs w:val="24"/>
                <w:u w:val="none" w:color="auto"/>
                <w:lang w:val="en-US" w:eastAsia="zh-CN" w:bidi="ar-SA"/>
              </w:rPr>
              <w:t>，项目</w:t>
            </w:r>
            <w:r>
              <w:rPr>
                <w:rFonts w:hint="eastAsia" w:ascii="Times New Roman" w:hAnsi="Times New Roman" w:eastAsia="宋体" w:cs="Times New Roman"/>
                <w:color w:val="auto"/>
                <w:kern w:val="2"/>
                <w:sz w:val="24"/>
                <w:szCs w:val="24"/>
                <w:u w:val="none" w:color="auto"/>
                <w:lang w:val="en-US" w:eastAsia="zh-CN" w:bidi="ar-SA"/>
              </w:rPr>
              <w:t>东、南、西</w:t>
            </w:r>
            <w:r>
              <w:rPr>
                <w:rFonts w:ascii="Times New Roman" w:hAnsi="Times New Roman" w:eastAsia="宋体" w:cs="Times New Roman"/>
                <w:color w:val="auto"/>
                <w:kern w:val="2"/>
                <w:sz w:val="24"/>
                <w:szCs w:val="24"/>
                <w:u w:val="none" w:color="auto"/>
                <w:lang w:val="en-US" w:eastAsia="zh-CN" w:bidi="ar-SA"/>
              </w:rPr>
              <w:t>界四周噪声预测值均能满足《工业企业厂界环境噪声排放标准》（GB12348-2008）2 类标准限值要求</w:t>
            </w:r>
            <w:r>
              <w:rPr>
                <w:rFonts w:hint="eastAsia" w:ascii="Times New Roman" w:hAnsi="Times New Roman" w:eastAsia="宋体" w:cs="Times New Roman"/>
                <w:color w:val="auto"/>
                <w:kern w:val="2"/>
                <w:sz w:val="24"/>
                <w:szCs w:val="24"/>
                <w:u w:val="none" w:color="auto"/>
                <w:lang w:val="en-US" w:eastAsia="zh-CN" w:bidi="ar-SA"/>
              </w:rPr>
              <w:t>，北场界满足4类标准限值要求；项目对周边声环境保护目标的噪声贡献值较小，</w:t>
            </w:r>
            <w:r>
              <w:rPr>
                <w:rFonts w:hint="eastAsia" w:cs="Times New Roman"/>
                <w:color w:val="auto"/>
                <w:kern w:val="2"/>
                <w:sz w:val="24"/>
                <w:szCs w:val="24"/>
                <w:u w:val="none" w:color="auto"/>
                <w:lang w:val="en-US" w:eastAsia="zh-CN" w:bidi="ar-SA"/>
              </w:rPr>
              <w:t>叠加后贡献值后九斗坡的声环境质量可满足</w:t>
            </w:r>
            <w:r>
              <w:rPr>
                <w:rFonts w:hint="default" w:ascii="Times New Roman" w:hAnsi="Times New Roman" w:eastAsia="宋体" w:cs="Times New Roman"/>
                <w:b w:val="0"/>
                <w:bCs w:val="0"/>
                <w:color w:val="auto"/>
                <w:sz w:val="24"/>
                <w:highlight w:val="none"/>
                <w:u w:val="none" w:color="auto"/>
              </w:rPr>
              <w:t>《声环境质量标准》（GB3096-2008）</w:t>
            </w:r>
            <w:r>
              <w:rPr>
                <w:rFonts w:hint="default" w:ascii="Times New Roman" w:hAnsi="Times New Roman" w:eastAsia="宋体" w:cs="Times New Roman"/>
                <w:b w:val="0"/>
                <w:bCs w:val="0"/>
                <w:color w:val="auto"/>
                <w:sz w:val="24"/>
                <w:highlight w:val="none"/>
                <w:u w:val="none" w:color="auto"/>
                <w:lang w:val="en-US" w:eastAsia="zh-CN"/>
              </w:rPr>
              <w:t>2</w:t>
            </w:r>
            <w:r>
              <w:rPr>
                <w:rFonts w:hint="default" w:ascii="Times New Roman" w:hAnsi="Times New Roman" w:eastAsia="宋体" w:cs="Times New Roman"/>
                <w:b w:val="0"/>
                <w:bCs w:val="0"/>
                <w:color w:val="auto"/>
                <w:sz w:val="24"/>
                <w:highlight w:val="none"/>
                <w:u w:val="none" w:color="auto"/>
              </w:rPr>
              <w:t>类标准</w:t>
            </w:r>
            <w:r>
              <w:rPr>
                <w:rFonts w:hint="eastAsia" w:ascii="Times New Roman" w:hAnsi="Times New Roman" w:eastAsia="宋体" w:cs="Times New Roman"/>
                <w:b w:val="0"/>
                <w:bCs w:val="0"/>
                <w:color w:val="auto"/>
                <w:sz w:val="24"/>
                <w:highlight w:val="none"/>
                <w:u w:val="none" w:color="auto"/>
                <w:lang w:eastAsia="zh-CN"/>
              </w:rPr>
              <w:t>、</w:t>
            </w:r>
            <w:r>
              <w:rPr>
                <w:rFonts w:hint="eastAsia" w:ascii="Times New Roman" w:hAnsi="Times New Roman" w:eastAsia="宋体" w:cs="Times New Roman"/>
                <w:b w:val="0"/>
                <w:bCs w:val="0"/>
                <w:color w:val="auto"/>
                <w:sz w:val="24"/>
                <w:highlight w:val="none"/>
                <w:u w:val="none" w:color="auto"/>
                <w:lang w:val="en-US" w:eastAsia="zh-CN"/>
              </w:rPr>
              <w:t>南宁三玖脑科医院（拟建）满足4a类标准限值</w:t>
            </w:r>
            <w:r>
              <w:rPr>
                <w:rFonts w:ascii="Times New Roman" w:hAnsi="Times New Roman" w:eastAsia="宋体" w:cs="Times New Roman"/>
                <w:color w:val="auto"/>
                <w:kern w:val="2"/>
                <w:sz w:val="24"/>
                <w:szCs w:val="24"/>
                <w:u w:val="none" w:color="auto"/>
                <w:lang w:val="en-US" w:eastAsia="zh-CN" w:bidi="ar-SA"/>
              </w:rPr>
              <w:t>。</w:t>
            </w:r>
          </w:p>
          <w:p w14:paraId="33EFA5E1">
            <w:pPr>
              <w:pStyle w:val="36"/>
              <w:numPr>
                <w:ilvl w:val="0"/>
                <w:numId w:val="0"/>
              </w:numPr>
              <w:ind w:left="480" w:leftChars="0"/>
              <w:rPr>
                <w:color w:val="auto"/>
                <w:u w:val="none" w:color="auto"/>
              </w:rPr>
            </w:pPr>
            <w:r>
              <w:rPr>
                <w:rFonts w:hint="eastAsia"/>
                <w:color w:val="auto"/>
                <w:u w:val="none" w:color="auto"/>
                <w:lang w:eastAsia="zh-CN"/>
              </w:rPr>
              <w:t>（</w:t>
            </w:r>
            <w:r>
              <w:rPr>
                <w:rFonts w:hint="eastAsia"/>
                <w:color w:val="auto"/>
                <w:u w:val="none" w:color="auto"/>
                <w:lang w:val="en-US" w:eastAsia="zh-CN"/>
              </w:rPr>
              <w:t>三</w:t>
            </w:r>
            <w:r>
              <w:rPr>
                <w:rFonts w:hint="eastAsia"/>
                <w:color w:val="auto"/>
                <w:u w:val="none" w:color="auto"/>
                <w:lang w:eastAsia="zh-CN"/>
              </w:rPr>
              <w:t>）</w:t>
            </w:r>
            <w:r>
              <w:rPr>
                <w:color w:val="auto"/>
                <w:u w:val="none" w:color="auto"/>
              </w:rPr>
              <w:t>监测计划</w:t>
            </w:r>
          </w:p>
          <w:p w14:paraId="40FAEF75">
            <w:pPr>
              <w:ind w:firstLine="480"/>
              <w:rPr>
                <w:rFonts w:hint="eastAsia" w:eastAsia="宋体"/>
                <w:color w:val="auto"/>
                <w:u w:val="none" w:color="auto"/>
                <w:lang w:eastAsia="zh-CN"/>
              </w:rPr>
            </w:pPr>
            <w:r>
              <w:rPr>
                <w:color w:val="auto"/>
                <w:u w:val="none" w:color="auto"/>
              </w:rPr>
              <w:t>根据《排污单位自行监测技术指南 总则》（HJ819-2017）、</w:t>
            </w:r>
            <w:r>
              <w:rPr>
                <w:rFonts w:hint="eastAsia"/>
                <w:color w:val="auto"/>
                <w:u w:val="none" w:color="auto"/>
              </w:rPr>
              <w:t>《排污许可证申请与核发技术规范</w:t>
            </w:r>
            <w:r>
              <w:rPr>
                <w:rFonts w:hint="eastAsia"/>
                <w:color w:val="auto"/>
                <w:u w:val="none" w:color="auto"/>
                <w:lang w:val="en-US" w:eastAsia="zh-CN"/>
              </w:rPr>
              <w:t xml:space="preserve">  </w:t>
            </w:r>
            <w:r>
              <w:rPr>
                <w:rFonts w:hint="eastAsia"/>
                <w:color w:val="auto"/>
                <w:u w:val="none" w:color="auto"/>
              </w:rPr>
              <w:t>医疗机构》（HJ 1105-2020）</w:t>
            </w:r>
            <w:r>
              <w:rPr>
                <w:color w:val="auto"/>
                <w:u w:val="none" w:color="auto"/>
              </w:rPr>
              <w:t>等技术规范制定如下表</w:t>
            </w:r>
            <w:r>
              <w:rPr>
                <w:rFonts w:hint="eastAsia"/>
                <w:color w:val="auto"/>
                <w:u w:val="none" w:color="auto"/>
                <w:lang w:eastAsia="zh-CN"/>
              </w:rPr>
              <w:t>：</w:t>
            </w:r>
          </w:p>
          <w:p w14:paraId="2C51DF2B">
            <w:pPr>
              <w:pStyle w:val="10"/>
              <w:numPr>
                <w:ilvl w:val="0"/>
                <w:numId w:val="3"/>
              </w:numPr>
              <w:ind w:left="0" w:firstLine="0" w:firstLineChars="0"/>
              <w:jc w:val="center"/>
              <w:rPr>
                <w:rFonts w:ascii="黑体" w:hAnsi="黑体" w:eastAsia="黑体"/>
                <w:b w:val="0"/>
                <w:color w:val="auto"/>
                <w:u w:val="none" w:color="auto"/>
              </w:rPr>
            </w:pPr>
            <w:r>
              <w:rPr>
                <w:rFonts w:ascii="黑体" w:hAnsi="黑体" w:eastAsia="黑体"/>
                <w:b w:val="0"/>
                <w:color w:val="auto"/>
                <w:u w:val="none" w:color="auto"/>
              </w:rPr>
              <w:t>噪声监测计划表</w:t>
            </w:r>
          </w:p>
          <w:tbl>
            <w:tblPr>
              <w:tblStyle w:val="23"/>
              <w:tblW w:w="8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1933"/>
              <w:gridCol w:w="1674"/>
              <w:gridCol w:w="1431"/>
              <w:gridCol w:w="2252"/>
            </w:tblGrid>
            <w:tr w14:paraId="77471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Align w:val="center"/>
                </w:tcPr>
                <w:p w14:paraId="412DB41E">
                  <w:pPr>
                    <w:pStyle w:val="35"/>
                    <w:jc w:val="center"/>
                    <w:rPr>
                      <w:b/>
                      <w:color w:val="auto"/>
                      <w:u w:val="none" w:color="auto"/>
                    </w:rPr>
                  </w:pPr>
                  <w:r>
                    <w:rPr>
                      <w:b/>
                      <w:color w:val="auto"/>
                      <w:u w:val="none" w:color="auto"/>
                    </w:rPr>
                    <w:t>监测点位</w:t>
                  </w:r>
                </w:p>
              </w:tc>
              <w:tc>
                <w:tcPr>
                  <w:tcW w:w="1933" w:type="dxa"/>
                  <w:vAlign w:val="center"/>
                </w:tcPr>
                <w:p w14:paraId="57F9F934">
                  <w:pPr>
                    <w:pStyle w:val="35"/>
                    <w:jc w:val="center"/>
                    <w:rPr>
                      <w:b/>
                      <w:color w:val="auto"/>
                      <w:u w:val="none" w:color="auto"/>
                    </w:rPr>
                  </w:pPr>
                  <w:r>
                    <w:rPr>
                      <w:b/>
                      <w:color w:val="auto"/>
                      <w:u w:val="none" w:color="auto"/>
                    </w:rPr>
                    <w:t>监测项目</w:t>
                  </w:r>
                </w:p>
              </w:tc>
              <w:tc>
                <w:tcPr>
                  <w:tcW w:w="1674" w:type="dxa"/>
                  <w:vAlign w:val="center"/>
                </w:tcPr>
                <w:p w14:paraId="25BDD489">
                  <w:pPr>
                    <w:pStyle w:val="35"/>
                    <w:jc w:val="center"/>
                    <w:rPr>
                      <w:b/>
                      <w:color w:val="auto"/>
                      <w:u w:val="none" w:color="auto"/>
                    </w:rPr>
                  </w:pPr>
                  <w:r>
                    <w:rPr>
                      <w:b/>
                      <w:color w:val="auto"/>
                      <w:u w:val="none" w:color="auto"/>
                    </w:rPr>
                    <w:t>监测频率</w:t>
                  </w:r>
                </w:p>
              </w:tc>
              <w:tc>
                <w:tcPr>
                  <w:tcW w:w="1431" w:type="dxa"/>
                  <w:vAlign w:val="center"/>
                </w:tcPr>
                <w:p w14:paraId="5A147062">
                  <w:pPr>
                    <w:pStyle w:val="35"/>
                    <w:jc w:val="center"/>
                    <w:rPr>
                      <w:b/>
                      <w:color w:val="auto"/>
                      <w:u w:val="none" w:color="auto"/>
                    </w:rPr>
                  </w:pPr>
                  <w:r>
                    <w:rPr>
                      <w:b/>
                      <w:color w:val="auto"/>
                      <w:u w:val="none" w:color="auto"/>
                    </w:rPr>
                    <w:t>监测时段</w:t>
                  </w:r>
                </w:p>
              </w:tc>
              <w:tc>
                <w:tcPr>
                  <w:tcW w:w="2252" w:type="dxa"/>
                  <w:vAlign w:val="center"/>
                </w:tcPr>
                <w:p w14:paraId="41363D17">
                  <w:pPr>
                    <w:pStyle w:val="35"/>
                    <w:jc w:val="center"/>
                    <w:rPr>
                      <w:b/>
                      <w:color w:val="auto"/>
                      <w:u w:val="none" w:color="auto"/>
                    </w:rPr>
                  </w:pPr>
                  <w:r>
                    <w:rPr>
                      <w:b/>
                      <w:color w:val="auto"/>
                      <w:u w:val="none" w:color="auto"/>
                    </w:rPr>
                    <w:t>执行标准</w:t>
                  </w:r>
                </w:p>
              </w:tc>
            </w:tr>
            <w:tr w14:paraId="3525D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Align w:val="center"/>
                </w:tcPr>
                <w:p w14:paraId="17E3CA5B">
                  <w:pPr>
                    <w:pStyle w:val="35"/>
                    <w:jc w:val="center"/>
                    <w:rPr>
                      <w:rFonts w:hint="eastAsia" w:eastAsia="宋体"/>
                      <w:color w:val="auto"/>
                      <w:u w:val="none" w:color="auto"/>
                      <w:lang w:eastAsia="zh-CN"/>
                    </w:rPr>
                  </w:pPr>
                  <w:r>
                    <w:rPr>
                      <w:color w:val="auto"/>
                      <w:u w:val="none" w:color="auto"/>
                    </w:rPr>
                    <w:t>四面</w:t>
                  </w:r>
                  <w:r>
                    <w:rPr>
                      <w:rFonts w:hint="eastAsia"/>
                      <w:color w:val="auto"/>
                      <w:u w:val="none" w:color="auto"/>
                      <w:lang w:val="en-US" w:eastAsia="zh-CN"/>
                    </w:rPr>
                    <w:t>场界</w:t>
                  </w:r>
                </w:p>
              </w:tc>
              <w:tc>
                <w:tcPr>
                  <w:tcW w:w="1933" w:type="dxa"/>
                  <w:vAlign w:val="center"/>
                </w:tcPr>
                <w:p w14:paraId="63ED81D0">
                  <w:pPr>
                    <w:pStyle w:val="35"/>
                    <w:jc w:val="center"/>
                    <w:rPr>
                      <w:color w:val="auto"/>
                      <w:u w:val="none" w:color="auto"/>
                    </w:rPr>
                  </w:pPr>
                  <w:r>
                    <w:rPr>
                      <w:color w:val="auto"/>
                      <w:u w:val="none" w:color="auto"/>
                    </w:rPr>
                    <w:t>等效连续 A 声级</w:t>
                  </w:r>
                </w:p>
              </w:tc>
              <w:tc>
                <w:tcPr>
                  <w:tcW w:w="1674" w:type="dxa"/>
                  <w:vAlign w:val="center"/>
                </w:tcPr>
                <w:p w14:paraId="1A2F7C58">
                  <w:pPr>
                    <w:pStyle w:val="35"/>
                    <w:jc w:val="center"/>
                    <w:rPr>
                      <w:rFonts w:hint="eastAsia" w:eastAsia="宋体"/>
                      <w:color w:val="auto"/>
                      <w:u w:val="none" w:color="auto"/>
                      <w:lang w:val="en-US" w:eastAsia="zh-CN"/>
                    </w:rPr>
                  </w:pPr>
                  <w:r>
                    <w:rPr>
                      <w:color w:val="auto"/>
                      <w:u w:val="none" w:color="auto"/>
                    </w:rPr>
                    <w:t>1 次/</w:t>
                  </w:r>
                  <w:r>
                    <w:rPr>
                      <w:rFonts w:hint="eastAsia"/>
                      <w:color w:val="auto"/>
                      <w:u w:val="none" w:color="auto"/>
                      <w:lang w:val="en-US" w:eastAsia="zh-CN"/>
                    </w:rPr>
                    <w:t>季度</w:t>
                  </w:r>
                </w:p>
              </w:tc>
              <w:tc>
                <w:tcPr>
                  <w:tcW w:w="1431" w:type="dxa"/>
                  <w:vAlign w:val="center"/>
                </w:tcPr>
                <w:p w14:paraId="7AB2D706">
                  <w:pPr>
                    <w:pStyle w:val="35"/>
                    <w:jc w:val="center"/>
                    <w:rPr>
                      <w:color w:val="auto"/>
                      <w:u w:val="none" w:color="auto"/>
                    </w:rPr>
                  </w:pPr>
                  <w:r>
                    <w:rPr>
                      <w:color w:val="auto"/>
                      <w:u w:val="none" w:color="auto"/>
                    </w:rPr>
                    <w:t>正常工况</w:t>
                  </w:r>
                </w:p>
              </w:tc>
              <w:tc>
                <w:tcPr>
                  <w:tcW w:w="2252" w:type="dxa"/>
                  <w:vAlign w:val="center"/>
                </w:tcPr>
                <w:p w14:paraId="585B5BE9">
                  <w:pPr>
                    <w:pStyle w:val="35"/>
                    <w:jc w:val="center"/>
                    <w:rPr>
                      <w:color w:val="auto"/>
                      <w:u w:val="none" w:color="auto"/>
                    </w:rPr>
                  </w:pPr>
                  <w:r>
                    <w:rPr>
                      <w:color w:val="auto"/>
                      <w:u w:val="none" w:color="auto"/>
                    </w:rPr>
                    <w:t>《工业企业厂界环境噪声排放标准》（GB12348-2008）</w:t>
                  </w:r>
                </w:p>
              </w:tc>
            </w:tr>
          </w:tbl>
          <w:p w14:paraId="6C98CD3B">
            <w:pPr>
              <w:pStyle w:val="36"/>
              <w:numPr>
                <w:ilvl w:val="0"/>
                <w:numId w:val="0"/>
              </w:numPr>
              <w:ind w:left="480" w:leftChars="0"/>
              <w:rPr>
                <w:b/>
                <w:color w:val="auto"/>
                <w:u w:val="none" w:color="auto"/>
              </w:rPr>
            </w:pPr>
            <w:r>
              <w:rPr>
                <w:rFonts w:hint="eastAsia"/>
                <w:b/>
                <w:color w:val="auto"/>
                <w:u w:val="none" w:color="auto"/>
                <w:lang w:val="en-US" w:eastAsia="zh-CN"/>
              </w:rPr>
              <w:t>四、</w:t>
            </w:r>
            <w:r>
              <w:rPr>
                <w:b/>
                <w:color w:val="auto"/>
                <w:u w:val="none" w:color="auto"/>
              </w:rPr>
              <w:t>固体废物</w:t>
            </w:r>
          </w:p>
          <w:p w14:paraId="2F286F76">
            <w:pPr>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hAnsi="宋体"/>
                <w:color w:val="auto"/>
                <w:sz w:val="24"/>
                <w:u w:val="none" w:color="auto"/>
              </w:rPr>
            </w:pPr>
            <w:r>
              <w:rPr>
                <w:rFonts w:hint="eastAsia" w:hAnsi="宋体"/>
                <w:color w:val="auto"/>
                <w:sz w:val="24"/>
                <w:u w:val="none" w:color="auto"/>
              </w:rPr>
              <w:t>（</w:t>
            </w:r>
            <w:r>
              <w:rPr>
                <w:rFonts w:hint="eastAsia" w:hAnsi="宋体"/>
                <w:color w:val="auto"/>
                <w:sz w:val="24"/>
                <w:u w:val="none" w:color="auto"/>
                <w:lang w:val="en-US" w:eastAsia="zh-CN"/>
              </w:rPr>
              <w:t>一</w:t>
            </w:r>
            <w:r>
              <w:rPr>
                <w:rFonts w:hint="eastAsia" w:hAnsi="宋体"/>
                <w:color w:val="auto"/>
                <w:sz w:val="24"/>
                <w:u w:val="none" w:color="auto"/>
              </w:rPr>
              <w:t>）危险废物</w:t>
            </w:r>
          </w:p>
          <w:p w14:paraId="2958DA4F">
            <w:pPr>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hAnsi="宋体"/>
                <w:color w:val="auto"/>
                <w:sz w:val="24"/>
                <w:u w:val="none" w:color="auto"/>
              </w:rPr>
            </w:pPr>
            <w:r>
              <w:rPr>
                <w:rFonts w:hAnsi="宋体"/>
                <w:color w:val="auto"/>
                <w:sz w:val="24"/>
                <w:u w:val="none" w:color="auto"/>
              </w:rPr>
              <w:t>本项目危险废物主要有医疗废物、污水处理站的栅渣和污泥</w:t>
            </w:r>
            <w:r>
              <w:rPr>
                <w:rFonts w:hint="eastAsia" w:hAnsi="宋体"/>
                <w:color w:val="auto"/>
                <w:sz w:val="24"/>
                <w:u w:val="none" w:color="auto"/>
                <w:lang w:eastAsia="zh-CN"/>
              </w:rPr>
              <w:t>、</w:t>
            </w:r>
            <w:r>
              <w:rPr>
                <w:rFonts w:hint="eastAsia" w:hAnsi="宋体"/>
                <w:color w:val="auto"/>
                <w:sz w:val="24"/>
                <w:u w:val="none" w:color="auto"/>
                <w:lang w:val="en-US" w:eastAsia="zh-CN"/>
              </w:rPr>
              <w:t>化粪池污泥、废紫外线灯管</w:t>
            </w:r>
            <w:r>
              <w:rPr>
                <w:rFonts w:hAnsi="宋体"/>
                <w:color w:val="auto"/>
                <w:sz w:val="24"/>
                <w:u w:val="none" w:color="auto"/>
              </w:rPr>
              <w:t>。</w:t>
            </w:r>
          </w:p>
          <w:p w14:paraId="6BF7CC1E">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color w:val="auto"/>
                <w:sz w:val="24"/>
                <w:u w:val="none" w:color="auto"/>
              </w:rPr>
            </w:pPr>
            <w:r>
              <w:rPr>
                <w:rFonts w:hint="eastAsia"/>
                <w:color w:val="auto"/>
                <w:sz w:val="24"/>
                <w:u w:val="none" w:color="auto"/>
              </w:rPr>
              <w:t>①医疗废物</w:t>
            </w:r>
          </w:p>
          <w:p w14:paraId="3217FA08">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auto"/>
                <w:kern w:val="0"/>
                <w:sz w:val="24"/>
                <w:szCs w:val="24"/>
                <w:u w:val="none" w:color="auto"/>
                <w:lang w:val="en-US" w:eastAsia="zh-CN" w:bidi="ar"/>
              </w:rPr>
            </w:pPr>
            <w:r>
              <w:rPr>
                <w:rFonts w:hint="eastAsia" w:ascii="宋体" w:hAnsi="宋体" w:eastAsia="宋体" w:cs="宋体"/>
                <w:color w:val="auto"/>
                <w:kern w:val="0"/>
                <w:sz w:val="24"/>
                <w:szCs w:val="24"/>
                <w:u w:val="none" w:color="auto"/>
                <w:lang w:val="en-US" w:eastAsia="zh-CN" w:bidi="ar"/>
              </w:rPr>
              <w:t>项目日常运营产生医疗废物。按照《医疗废物分类目录》（</w:t>
            </w:r>
            <w:r>
              <w:rPr>
                <w:rFonts w:hint="default" w:ascii="Times New Roman" w:hAnsi="Times New Roman" w:eastAsia="宋体" w:cs="Times New Roman"/>
                <w:color w:val="auto"/>
                <w:kern w:val="0"/>
                <w:sz w:val="24"/>
                <w:szCs w:val="24"/>
                <w:u w:val="none" w:color="auto"/>
                <w:lang w:val="en-US" w:eastAsia="zh-CN" w:bidi="ar"/>
              </w:rPr>
              <w:t xml:space="preserve">2021 </w:t>
            </w:r>
            <w:r>
              <w:rPr>
                <w:rFonts w:hint="eastAsia" w:ascii="宋体" w:hAnsi="宋体" w:eastAsia="宋体" w:cs="宋体"/>
                <w:color w:val="auto"/>
                <w:kern w:val="0"/>
                <w:sz w:val="24"/>
                <w:szCs w:val="24"/>
                <w:u w:val="none" w:color="auto"/>
                <w:lang w:val="en-US" w:eastAsia="zh-CN" w:bidi="ar"/>
              </w:rPr>
              <w:t>年版），医疗废物主要分为以下</w:t>
            </w:r>
            <w:r>
              <w:rPr>
                <w:rFonts w:hint="default" w:ascii="Times New Roman" w:hAnsi="Times New Roman" w:eastAsia="宋体" w:cs="Times New Roman"/>
                <w:color w:val="auto"/>
                <w:kern w:val="0"/>
                <w:sz w:val="24"/>
                <w:szCs w:val="24"/>
                <w:u w:val="none" w:color="auto"/>
                <w:lang w:val="en-US" w:eastAsia="zh-CN" w:bidi="ar"/>
              </w:rPr>
              <w:t>5</w:t>
            </w:r>
            <w:r>
              <w:rPr>
                <w:rFonts w:hint="eastAsia" w:ascii="宋体" w:hAnsi="宋体" w:eastAsia="宋体" w:cs="宋体"/>
                <w:color w:val="auto"/>
                <w:kern w:val="0"/>
                <w:sz w:val="24"/>
                <w:szCs w:val="24"/>
                <w:u w:val="none" w:color="auto"/>
                <w:lang w:val="en-US" w:eastAsia="zh-CN" w:bidi="ar"/>
              </w:rPr>
              <w:t>类：</w:t>
            </w:r>
          </w:p>
          <w:p w14:paraId="70713BEF">
            <w:pPr>
              <w:pStyle w:val="10"/>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firstLine="0" w:firstLineChars="0"/>
              <w:jc w:val="center"/>
              <w:textAlignment w:val="auto"/>
              <w:rPr>
                <w:rFonts w:hint="default" w:ascii="黑体" w:hAnsi="黑体" w:eastAsia="黑体"/>
                <w:b w:val="0"/>
                <w:color w:val="auto"/>
                <w:u w:val="none" w:color="auto"/>
                <w:lang w:val="en-US" w:eastAsia="zh-CN"/>
              </w:rPr>
            </w:pPr>
            <w:r>
              <w:rPr>
                <w:rFonts w:hint="eastAsia" w:ascii="黑体" w:hAnsi="黑体" w:eastAsia="黑体"/>
                <w:b w:val="0"/>
                <w:color w:val="auto"/>
                <w:u w:val="none" w:color="auto"/>
                <w:lang w:val="en-US" w:eastAsia="zh-CN"/>
              </w:rPr>
              <w:t>常见医疗废物分类</w:t>
            </w:r>
          </w:p>
          <w:tbl>
            <w:tblPr>
              <w:tblStyle w:val="23"/>
              <w:tblW w:w="9200" w:type="dxa"/>
              <w:tblInd w:w="-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350"/>
              <w:gridCol w:w="3750"/>
              <w:gridCol w:w="3405"/>
            </w:tblGrid>
            <w:tr w14:paraId="648E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695" w:type="dxa"/>
                  <w:vAlign w:val="center"/>
                </w:tcPr>
                <w:p w14:paraId="5BA0B2A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类别</w:t>
                  </w:r>
                </w:p>
              </w:tc>
              <w:tc>
                <w:tcPr>
                  <w:tcW w:w="1350" w:type="dxa"/>
                  <w:vAlign w:val="center"/>
                </w:tcPr>
                <w:p w14:paraId="4EF139C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特征</w:t>
                  </w:r>
                </w:p>
              </w:tc>
              <w:tc>
                <w:tcPr>
                  <w:tcW w:w="3750" w:type="dxa"/>
                  <w:vAlign w:val="center"/>
                </w:tcPr>
                <w:p w14:paraId="2F68C18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常见组分及废物名称</w:t>
                  </w:r>
                </w:p>
              </w:tc>
              <w:tc>
                <w:tcPr>
                  <w:tcW w:w="3405" w:type="dxa"/>
                  <w:vAlign w:val="center"/>
                </w:tcPr>
                <w:p w14:paraId="39282A6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收集方式</w:t>
                  </w:r>
                </w:p>
              </w:tc>
            </w:tr>
            <w:tr w14:paraId="34F58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23E9EFB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感染性废物</w:t>
                  </w:r>
                </w:p>
              </w:tc>
              <w:tc>
                <w:tcPr>
                  <w:tcW w:w="1350" w:type="dxa"/>
                </w:tcPr>
                <w:p w14:paraId="7296ADD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携带病原微生物具有引发感染性疾病传播危险的医疗废物。</w:t>
                  </w:r>
                </w:p>
              </w:tc>
              <w:tc>
                <w:tcPr>
                  <w:tcW w:w="3750" w:type="dxa"/>
                </w:tcPr>
                <w:p w14:paraId="542BC89A">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Times New Roman" w:hAnsi="Times New Roman" w:eastAsia="宋体" w:cs="Times New Roman"/>
                      <w:b/>
                      <w:bCs/>
                      <w:color w:val="auto"/>
                      <w:sz w:val="21"/>
                      <w:szCs w:val="21"/>
                      <w:u w:val="none" w:color="auto"/>
                      <w:vertAlign w:val="baseline"/>
                      <w:lang w:eastAsia="zh-CN"/>
                    </w:rPr>
                  </w:pPr>
                  <w:r>
                    <w:rPr>
                      <w:rFonts w:hint="default" w:ascii="Times New Roman" w:hAnsi="Times New Roman" w:eastAsia="宋体" w:cs="Times New Roman"/>
                      <w:b/>
                      <w:bCs/>
                      <w:color w:val="auto"/>
                      <w:sz w:val="21"/>
                      <w:szCs w:val="21"/>
                      <w:u w:val="none" w:color="auto"/>
                      <w:vertAlign w:val="baseline"/>
                    </w:rPr>
                    <w:t>1.被患者血液、体液、排泄物等污染的除锐器以外的废物</w:t>
                  </w:r>
                  <w:r>
                    <w:rPr>
                      <w:rFonts w:hint="eastAsia" w:ascii="Times New Roman" w:hAnsi="Times New Roman" w:eastAsia="宋体" w:cs="Times New Roman"/>
                      <w:b/>
                      <w:bCs/>
                      <w:color w:val="auto"/>
                      <w:sz w:val="21"/>
                      <w:szCs w:val="21"/>
                      <w:u w:val="none" w:color="auto"/>
                      <w:vertAlign w:val="baseline"/>
                      <w:lang w:eastAsia="zh-CN"/>
                    </w:rPr>
                    <w:t>；</w:t>
                  </w:r>
                </w:p>
                <w:p w14:paraId="51042687">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Times New Roman" w:hAnsi="Times New Roman" w:eastAsia="宋体" w:cs="Times New Roman"/>
                      <w:color w:val="auto"/>
                      <w:sz w:val="21"/>
                      <w:szCs w:val="21"/>
                      <w:u w:val="none" w:color="auto"/>
                      <w:vertAlign w:val="baseline"/>
                      <w:lang w:eastAsia="zh-CN"/>
                    </w:rPr>
                  </w:pPr>
                  <w:r>
                    <w:rPr>
                      <w:rFonts w:hint="default" w:ascii="Times New Roman" w:hAnsi="Times New Roman" w:eastAsia="宋体" w:cs="Times New Roman"/>
                      <w:b/>
                      <w:bCs/>
                      <w:color w:val="auto"/>
                      <w:sz w:val="21"/>
                      <w:szCs w:val="21"/>
                      <w:u w:val="none" w:color="auto"/>
                      <w:vertAlign w:val="baseline"/>
                    </w:rPr>
                    <w:t>2.使用后废弃的一次性使用医疗器械，如注射器、输液器</w:t>
                  </w:r>
                  <w:r>
                    <w:rPr>
                      <w:rFonts w:hint="default" w:ascii="Times New Roman" w:hAnsi="Times New Roman" w:eastAsia="宋体" w:cs="Times New Roman"/>
                      <w:color w:val="auto"/>
                      <w:sz w:val="21"/>
                      <w:szCs w:val="21"/>
                      <w:u w:val="none" w:color="auto"/>
                      <w:vertAlign w:val="baseline"/>
                    </w:rPr>
                    <w:t>、透析器等</w:t>
                  </w:r>
                  <w:r>
                    <w:rPr>
                      <w:rFonts w:hint="eastAsia" w:ascii="Times New Roman" w:hAnsi="Times New Roman" w:eastAsia="宋体" w:cs="Times New Roman"/>
                      <w:color w:val="auto"/>
                      <w:sz w:val="21"/>
                      <w:szCs w:val="21"/>
                      <w:u w:val="none" w:color="auto"/>
                      <w:vertAlign w:val="baseline"/>
                      <w:lang w:eastAsia="zh-CN"/>
                    </w:rPr>
                    <w:t>；</w:t>
                  </w:r>
                </w:p>
                <w:p w14:paraId="77009B86">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sz w:val="21"/>
                      <w:szCs w:val="21"/>
                      <w:u w:val="none" w:color="auto"/>
                      <w:vertAlign w:val="baseline"/>
                      <w:lang w:eastAsia="zh-CN"/>
                    </w:rPr>
                  </w:pPr>
                  <w:r>
                    <w:rPr>
                      <w:rFonts w:hint="default" w:ascii="Times New Roman" w:hAnsi="Times New Roman" w:eastAsia="宋体" w:cs="Times New Roman"/>
                      <w:color w:val="auto"/>
                      <w:sz w:val="21"/>
                      <w:szCs w:val="21"/>
                      <w:u w:val="none" w:color="auto"/>
                      <w:vertAlign w:val="baseline"/>
                    </w:rPr>
                    <w:t>3.病原微生物实验室废弃的病原体培养基、标本，菌种和毒种保存液及其容器</w:t>
                  </w:r>
                  <w:r>
                    <w:rPr>
                      <w:rFonts w:hint="eastAsia" w:ascii="Times New Roman" w:hAnsi="Times New Roman" w:eastAsia="宋体" w:cs="Times New Roman"/>
                      <w:color w:val="auto"/>
                      <w:sz w:val="21"/>
                      <w:szCs w:val="21"/>
                      <w:u w:val="none" w:color="auto"/>
                      <w:vertAlign w:val="baseline"/>
                      <w:lang w:eastAsia="zh-CN"/>
                    </w:rPr>
                    <w:t>；</w:t>
                  </w:r>
                  <w:r>
                    <w:rPr>
                      <w:rFonts w:hint="default" w:ascii="Times New Roman" w:hAnsi="Times New Roman" w:eastAsia="宋体" w:cs="Times New Roman"/>
                      <w:b/>
                      <w:bCs/>
                      <w:color w:val="auto"/>
                      <w:sz w:val="21"/>
                      <w:szCs w:val="21"/>
                      <w:u w:val="none" w:color="auto"/>
                      <w:vertAlign w:val="baseline"/>
                    </w:rPr>
                    <w:t>其他实验室及科室废弃的血液、血清、分泌物等标本和容器</w:t>
                  </w:r>
                  <w:r>
                    <w:rPr>
                      <w:rFonts w:hint="default" w:ascii="Times New Roman" w:hAnsi="Times New Roman" w:eastAsia="宋体" w:cs="Times New Roman"/>
                      <w:b/>
                      <w:bCs/>
                      <w:color w:val="auto"/>
                      <w:sz w:val="21"/>
                      <w:szCs w:val="21"/>
                      <w:u w:val="none" w:color="auto"/>
                      <w:vertAlign w:val="baseline"/>
                      <w:lang w:eastAsia="zh-CN"/>
                    </w:rPr>
                    <w:t>。</w:t>
                  </w:r>
                </w:p>
                <w:p w14:paraId="691BF46A">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4.隔离传染病患者或者疑似传染病患者产生的废弃物。</w:t>
                  </w:r>
                </w:p>
              </w:tc>
              <w:tc>
                <w:tcPr>
                  <w:tcW w:w="3405" w:type="dxa"/>
                </w:tcPr>
                <w:p w14:paraId="291007CD">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Times New Roman" w:hAnsi="Times New Roman" w:eastAsia="宋体" w:cs="Times New Roman"/>
                      <w:color w:val="auto"/>
                      <w:sz w:val="21"/>
                      <w:szCs w:val="21"/>
                      <w:u w:val="none" w:color="auto"/>
                      <w:vertAlign w:val="baseline"/>
                      <w:lang w:eastAsia="zh-CN"/>
                    </w:rPr>
                  </w:pPr>
                  <w:r>
                    <w:rPr>
                      <w:rFonts w:hint="default" w:ascii="Times New Roman" w:hAnsi="Times New Roman" w:eastAsia="宋体" w:cs="Times New Roman"/>
                      <w:color w:val="auto"/>
                      <w:sz w:val="21"/>
                      <w:szCs w:val="21"/>
                      <w:u w:val="none" w:color="auto"/>
                      <w:vertAlign w:val="baseline"/>
                    </w:rPr>
                    <w:t>1.收集于符合《医疗废物专用包装袋、容器和警示标志标准》(HJ421)的医疗废物包装袋中</w:t>
                  </w:r>
                  <w:r>
                    <w:rPr>
                      <w:rFonts w:hint="eastAsia" w:ascii="Times New Roman" w:hAnsi="Times New Roman" w:eastAsia="宋体" w:cs="Times New Roman"/>
                      <w:color w:val="auto"/>
                      <w:sz w:val="21"/>
                      <w:szCs w:val="21"/>
                      <w:u w:val="none" w:color="auto"/>
                      <w:vertAlign w:val="baseline"/>
                      <w:lang w:eastAsia="zh-CN"/>
                    </w:rPr>
                    <w:t>；</w:t>
                  </w:r>
                </w:p>
                <w:p w14:paraId="07885133">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Times New Roman" w:hAnsi="Times New Roman" w:eastAsia="宋体" w:cs="Times New Roman"/>
                      <w:color w:val="auto"/>
                      <w:sz w:val="21"/>
                      <w:szCs w:val="21"/>
                      <w:u w:val="none" w:color="auto"/>
                      <w:vertAlign w:val="baseline"/>
                      <w:lang w:eastAsia="zh-CN"/>
                    </w:rPr>
                  </w:pPr>
                  <w:r>
                    <w:rPr>
                      <w:rFonts w:hint="default" w:ascii="Times New Roman" w:hAnsi="Times New Roman" w:eastAsia="宋体" w:cs="Times New Roman"/>
                      <w:color w:val="auto"/>
                      <w:sz w:val="21"/>
                      <w:szCs w:val="21"/>
                      <w:u w:val="none" w:color="auto"/>
                      <w:vertAlign w:val="baseline"/>
                    </w:rPr>
                    <w:t>2.病原微生物实验室废弃的病原体培养基、标本，菌种和毒种保存液及其容器应在产生地点进行压力蒸汽</w:t>
                  </w:r>
                  <w:r>
                    <w:rPr>
                      <w:rFonts w:hint="default" w:ascii="Times New Roman" w:hAnsi="Times New Roman" w:eastAsia="宋体" w:cs="Times New Roman"/>
                      <w:color w:val="auto"/>
                      <w:sz w:val="21"/>
                      <w:szCs w:val="21"/>
                      <w:u w:val="none" w:color="auto"/>
                      <w:vertAlign w:val="baseline"/>
                      <w:lang w:eastAsia="zh-CN"/>
                    </w:rPr>
                    <w:t>灭菌</w:t>
                  </w:r>
                  <w:r>
                    <w:rPr>
                      <w:rFonts w:hint="default" w:ascii="Times New Roman" w:hAnsi="Times New Roman" w:eastAsia="宋体" w:cs="Times New Roman"/>
                      <w:color w:val="auto"/>
                      <w:sz w:val="21"/>
                      <w:szCs w:val="21"/>
                      <w:u w:val="none" w:color="auto"/>
                      <w:vertAlign w:val="baseline"/>
                    </w:rPr>
                    <w:t>或者使用其他方式消毒，然后按感染性废物收集处理</w:t>
                  </w:r>
                  <w:r>
                    <w:rPr>
                      <w:rFonts w:hint="eastAsia" w:ascii="Times New Roman" w:hAnsi="Times New Roman" w:eastAsia="宋体" w:cs="Times New Roman"/>
                      <w:color w:val="auto"/>
                      <w:sz w:val="21"/>
                      <w:szCs w:val="21"/>
                      <w:u w:val="none" w:color="auto"/>
                      <w:vertAlign w:val="baseline"/>
                      <w:lang w:eastAsia="zh-CN"/>
                    </w:rPr>
                    <w:t>；</w:t>
                  </w:r>
                </w:p>
                <w:p w14:paraId="1BC7D106">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3.隔离传染病患者或者疑似传染病患者产生的医疗废物应当使用双层医疗废物包装袋盛装。</w:t>
                  </w:r>
                </w:p>
              </w:tc>
            </w:tr>
            <w:tr w14:paraId="7234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47D454C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损伤性废物</w:t>
                  </w:r>
                </w:p>
              </w:tc>
              <w:tc>
                <w:tcPr>
                  <w:tcW w:w="1350" w:type="dxa"/>
                </w:tcPr>
                <w:p w14:paraId="05F158E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能够刺伤或者割伤人体的废弃的医用锐器。</w:t>
                  </w:r>
                </w:p>
              </w:tc>
              <w:tc>
                <w:tcPr>
                  <w:tcW w:w="3750" w:type="dxa"/>
                </w:tcPr>
                <w:p w14:paraId="4D3F298F">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Times New Roman" w:hAnsi="Times New Roman" w:eastAsia="宋体" w:cs="Times New Roman"/>
                      <w:color w:val="auto"/>
                      <w:sz w:val="21"/>
                      <w:szCs w:val="21"/>
                      <w:u w:val="none" w:color="auto"/>
                      <w:vertAlign w:val="baseline"/>
                      <w:lang w:eastAsia="zh-CN"/>
                    </w:rPr>
                  </w:pPr>
                  <w:r>
                    <w:rPr>
                      <w:rFonts w:hint="default" w:ascii="Times New Roman" w:hAnsi="Times New Roman" w:eastAsia="宋体" w:cs="Times New Roman"/>
                      <w:b/>
                      <w:bCs/>
                      <w:color w:val="auto"/>
                      <w:sz w:val="21"/>
                      <w:szCs w:val="21"/>
                      <w:u w:val="none" w:color="auto"/>
                      <w:vertAlign w:val="baseline"/>
                    </w:rPr>
                    <w:t>1.废弃的金属类锐器，</w:t>
                  </w:r>
                  <w:r>
                    <w:rPr>
                      <w:rFonts w:hint="default" w:ascii="Times New Roman" w:hAnsi="Times New Roman" w:eastAsia="宋体" w:cs="Times New Roman"/>
                      <w:color w:val="auto"/>
                      <w:sz w:val="21"/>
                      <w:szCs w:val="21"/>
                      <w:u w:val="none" w:color="auto"/>
                      <w:vertAlign w:val="baseline"/>
                    </w:rPr>
                    <w:t>如针头、缝合针、针灸针、探针、穿刺针、解剖刀、手术刀、手术锯、备皮刀、钢钉和导丝等</w:t>
                  </w:r>
                  <w:r>
                    <w:rPr>
                      <w:rFonts w:hint="eastAsia" w:ascii="Times New Roman" w:hAnsi="Times New Roman" w:eastAsia="宋体" w:cs="Times New Roman"/>
                      <w:color w:val="auto"/>
                      <w:sz w:val="21"/>
                      <w:szCs w:val="21"/>
                      <w:u w:val="none" w:color="auto"/>
                      <w:vertAlign w:val="baseline"/>
                      <w:lang w:eastAsia="zh-CN"/>
                    </w:rPr>
                    <w:t>；</w:t>
                  </w:r>
                </w:p>
                <w:p w14:paraId="5D3C5D56">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Times New Roman" w:hAnsi="Times New Roman" w:eastAsia="宋体" w:cs="Times New Roman"/>
                      <w:b/>
                      <w:bCs/>
                      <w:color w:val="auto"/>
                      <w:sz w:val="21"/>
                      <w:szCs w:val="21"/>
                      <w:u w:val="none" w:color="auto"/>
                      <w:vertAlign w:val="baseline"/>
                      <w:lang w:eastAsia="zh-CN"/>
                    </w:rPr>
                  </w:pPr>
                  <w:r>
                    <w:rPr>
                      <w:rFonts w:hint="default" w:ascii="Times New Roman" w:hAnsi="Times New Roman" w:eastAsia="宋体" w:cs="Times New Roman"/>
                      <w:b/>
                      <w:bCs/>
                      <w:color w:val="auto"/>
                      <w:sz w:val="21"/>
                      <w:szCs w:val="21"/>
                      <w:u w:val="none" w:color="auto"/>
                      <w:vertAlign w:val="baseline"/>
                    </w:rPr>
                    <w:t>2.废弃的玻璃类锐器，如盖玻片、载玻片、玻璃安瓿等</w:t>
                  </w:r>
                  <w:r>
                    <w:rPr>
                      <w:rFonts w:hint="eastAsia" w:ascii="Times New Roman" w:hAnsi="Times New Roman" w:eastAsia="宋体" w:cs="Times New Roman"/>
                      <w:b/>
                      <w:bCs/>
                      <w:color w:val="auto"/>
                      <w:sz w:val="21"/>
                      <w:szCs w:val="21"/>
                      <w:u w:val="none" w:color="auto"/>
                      <w:vertAlign w:val="baseline"/>
                      <w:lang w:eastAsia="zh-CN"/>
                    </w:rPr>
                    <w:t>；</w:t>
                  </w:r>
                </w:p>
                <w:p w14:paraId="33807652">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b/>
                      <w:bCs/>
                      <w:color w:val="auto"/>
                      <w:sz w:val="21"/>
                      <w:szCs w:val="21"/>
                      <w:u w:val="none" w:color="auto"/>
                      <w:vertAlign w:val="baseline"/>
                    </w:rPr>
                    <w:t>3.废弃的其他材质类锐器</w:t>
                  </w:r>
                </w:p>
              </w:tc>
              <w:tc>
                <w:tcPr>
                  <w:tcW w:w="3405" w:type="dxa"/>
                </w:tcPr>
                <w:p w14:paraId="5859EAC4">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Times New Roman" w:hAnsi="Times New Roman" w:eastAsia="宋体" w:cs="Times New Roman"/>
                      <w:color w:val="auto"/>
                      <w:sz w:val="21"/>
                      <w:szCs w:val="21"/>
                      <w:u w:val="none" w:color="auto"/>
                      <w:vertAlign w:val="baseline"/>
                      <w:lang w:eastAsia="zh-CN"/>
                    </w:rPr>
                  </w:pPr>
                  <w:r>
                    <w:rPr>
                      <w:rFonts w:hint="default" w:ascii="Times New Roman" w:hAnsi="Times New Roman" w:eastAsia="宋体" w:cs="Times New Roman"/>
                      <w:color w:val="auto"/>
                      <w:sz w:val="21"/>
                      <w:szCs w:val="21"/>
                      <w:u w:val="none" w:color="auto"/>
                      <w:vertAlign w:val="baseline"/>
                    </w:rPr>
                    <w:t>1.收集于符合《医疗废物专用包装袋、容器和警示标志标准》(HJ421)的利器盒中</w:t>
                  </w:r>
                  <w:r>
                    <w:rPr>
                      <w:rFonts w:hint="eastAsia" w:ascii="Times New Roman" w:hAnsi="Times New Roman" w:eastAsia="宋体" w:cs="Times New Roman"/>
                      <w:color w:val="auto"/>
                      <w:sz w:val="21"/>
                      <w:szCs w:val="21"/>
                      <w:u w:val="none" w:color="auto"/>
                      <w:vertAlign w:val="baseline"/>
                      <w:lang w:eastAsia="zh-CN"/>
                    </w:rPr>
                    <w:t>；</w:t>
                  </w:r>
                </w:p>
                <w:p w14:paraId="6ECD46BE">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2.利器盒达到3/4满时，应当封闭严密，按流程运送、贮存。</w:t>
                  </w:r>
                </w:p>
              </w:tc>
            </w:tr>
            <w:tr w14:paraId="32BF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4F70B21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病理性废物</w:t>
                  </w:r>
                </w:p>
              </w:tc>
              <w:tc>
                <w:tcPr>
                  <w:tcW w:w="1350" w:type="dxa"/>
                </w:tcPr>
                <w:p w14:paraId="57EEEA5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诊疗过程中产生的人体废弃物和医学实验动物尸体等</w:t>
                  </w:r>
                </w:p>
              </w:tc>
              <w:tc>
                <w:tcPr>
                  <w:tcW w:w="3750" w:type="dxa"/>
                </w:tcPr>
                <w:p w14:paraId="6DE1D2EB">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Times New Roman" w:hAnsi="Times New Roman" w:eastAsia="宋体" w:cs="Times New Roman"/>
                      <w:color w:val="auto"/>
                      <w:sz w:val="21"/>
                      <w:szCs w:val="21"/>
                      <w:u w:val="none" w:color="auto"/>
                      <w:vertAlign w:val="baseline"/>
                      <w:lang w:eastAsia="zh-CN"/>
                    </w:rPr>
                  </w:pPr>
                  <w:r>
                    <w:rPr>
                      <w:rFonts w:hint="default" w:ascii="Times New Roman" w:hAnsi="Times New Roman" w:eastAsia="宋体" w:cs="Times New Roman"/>
                      <w:color w:val="auto"/>
                      <w:sz w:val="21"/>
                      <w:szCs w:val="21"/>
                      <w:u w:val="none" w:color="auto"/>
                      <w:vertAlign w:val="baseline"/>
                    </w:rPr>
                    <w:t>1.手术及其他医学服务过程中产生的废弃的人体组织、器官</w:t>
                  </w:r>
                  <w:r>
                    <w:rPr>
                      <w:rFonts w:hint="eastAsia" w:ascii="Times New Roman" w:hAnsi="Times New Roman" w:eastAsia="宋体" w:cs="Times New Roman"/>
                      <w:color w:val="auto"/>
                      <w:sz w:val="21"/>
                      <w:szCs w:val="21"/>
                      <w:u w:val="none" w:color="auto"/>
                      <w:vertAlign w:val="baseline"/>
                      <w:lang w:eastAsia="zh-CN"/>
                    </w:rPr>
                    <w:t>；</w:t>
                  </w:r>
                </w:p>
                <w:p w14:paraId="55C4112C">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Times New Roman" w:hAnsi="Times New Roman" w:eastAsia="宋体" w:cs="Times New Roman"/>
                      <w:color w:val="auto"/>
                      <w:sz w:val="21"/>
                      <w:szCs w:val="21"/>
                      <w:u w:val="none" w:color="auto"/>
                      <w:vertAlign w:val="baseline"/>
                      <w:lang w:eastAsia="zh-CN"/>
                    </w:rPr>
                  </w:pPr>
                  <w:r>
                    <w:rPr>
                      <w:rFonts w:hint="default" w:ascii="Times New Roman" w:hAnsi="Times New Roman" w:eastAsia="宋体" w:cs="Times New Roman"/>
                      <w:color w:val="auto"/>
                      <w:sz w:val="21"/>
                      <w:szCs w:val="21"/>
                      <w:u w:val="none" w:color="auto"/>
                      <w:vertAlign w:val="baseline"/>
                    </w:rPr>
                    <w:t>2.病理切片后废弃的人体组织、病理蜡块</w:t>
                  </w:r>
                  <w:r>
                    <w:rPr>
                      <w:rFonts w:hint="eastAsia" w:ascii="Times New Roman" w:hAnsi="Times New Roman" w:eastAsia="宋体" w:cs="Times New Roman"/>
                      <w:color w:val="auto"/>
                      <w:sz w:val="21"/>
                      <w:szCs w:val="21"/>
                      <w:u w:val="none" w:color="auto"/>
                      <w:vertAlign w:val="baseline"/>
                      <w:lang w:eastAsia="zh-CN"/>
                    </w:rPr>
                    <w:t>；</w:t>
                  </w:r>
                </w:p>
                <w:p w14:paraId="48F31B29">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Times New Roman" w:hAnsi="Times New Roman" w:eastAsia="宋体" w:cs="Times New Roman"/>
                      <w:color w:val="auto"/>
                      <w:sz w:val="21"/>
                      <w:szCs w:val="21"/>
                      <w:u w:val="none" w:color="auto"/>
                      <w:vertAlign w:val="baseline"/>
                      <w:lang w:eastAsia="zh-CN"/>
                    </w:rPr>
                  </w:pPr>
                  <w:r>
                    <w:rPr>
                      <w:rFonts w:hint="default" w:ascii="Times New Roman" w:hAnsi="Times New Roman" w:eastAsia="宋体" w:cs="Times New Roman"/>
                      <w:color w:val="auto"/>
                      <w:sz w:val="21"/>
                      <w:szCs w:val="21"/>
                      <w:u w:val="none" w:color="auto"/>
                      <w:vertAlign w:val="baseline"/>
                    </w:rPr>
                    <w:t>3.废弃的医学实验动物的组织和尸体</w:t>
                  </w:r>
                  <w:r>
                    <w:rPr>
                      <w:rFonts w:hint="eastAsia" w:ascii="Times New Roman" w:hAnsi="Times New Roman" w:eastAsia="宋体" w:cs="Times New Roman"/>
                      <w:color w:val="auto"/>
                      <w:sz w:val="21"/>
                      <w:szCs w:val="21"/>
                      <w:u w:val="none" w:color="auto"/>
                      <w:vertAlign w:val="baseline"/>
                      <w:lang w:eastAsia="zh-CN"/>
                    </w:rPr>
                    <w:t>；</w:t>
                  </w:r>
                </w:p>
                <w:p w14:paraId="5D23C265">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Times New Roman" w:hAnsi="Times New Roman" w:eastAsia="宋体" w:cs="Times New Roman"/>
                      <w:color w:val="auto"/>
                      <w:sz w:val="21"/>
                      <w:szCs w:val="21"/>
                      <w:u w:val="none" w:color="auto"/>
                      <w:vertAlign w:val="baseline"/>
                      <w:lang w:eastAsia="zh-CN"/>
                    </w:rPr>
                  </w:pPr>
                  <w:r>
                    <w:rPr>
                      <w:rFonts w:hint="default" w:ascii="Times New Roman" w:hAnsi="Times New Roman" w:eastAsia="宋体" w:cs="Times New Roman"/>
                      <w:color w:val="auto"/>
                      <w:sz w:val="21"/>
                      <w:szCs w:val="21"/>
                      <w:u w:val="none" w:color="auto"/>
                      <w:vertAlign w:val="baseline"/>
                    </w:rPr>
                    <w:t>4.16周胎龄以下或重量不足500克的胚胎组织等</w:t>
                  </w:r>
                  <w:r>
                    <w:rPr>
                      <w:rFonts w:hint="eastAsia" w:ascii="Times New Roman" w:hAnsi="Times New Roman" w:eastAsia="宋体" w:cs="Times New Roman"/>
                      <w:color w:val="auto"/>
                      <w:sz w:val="21"/>
                      <w:szCs w:val="21"/>
                      <w:u w:val="none" w:color="auto"/>
                      <w:vertAlign w:val="baseline"/>
                      <w:lang w:eastAsia="zh-CN"/>
                    </w:rPr>
                    <w:t>；</w:t>
                  </w:r>
                </w:p>
                <w:p w14:paraId="7B6960BE">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5.确诊、疑似传染病或携带传染病病原体的产妇的胎盘，</w:t>
                  </w:r>
                </w:p>
              </w:tc>
              <w:tc>
                <w:tcPr>
                  <w:tcW w:w="3405" w:type="dxa"/>
                </w:tcPr>
                <w:p w14:paraId="116423E9">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Times New Roman" w:hAnsi="Times New Roman" w:eastAsia="宋体" w:cs="Times New Roman"/>
                      <w:color w:val="auto"/>
                      <w:sz w:val="21"/>
                      <w:szCs w:val="21"/>
                      <w:u w:val="none" w:color="auto"/>
                      <w:vertAlign w:val="baseline"/>
                      <w:lang w:eastAsia="zh-CN"/>
                    </w:rPr>
                  </w:pPr>
                  <w:r>
                    <w:rPr>
                      <w:rFonts w:hint="default" w:ascii="Times New Roman" w:hAnsi="Times New Roman" w:eastAsia="宋体" w:cs="Times New Roman"/>
                      <w:color w:val="auto"/>
                      <w:sz w:val="21"/>
                      <w:szCs w:val="21"/>
                      <w:u w:val="none" w:color="auto"/>
                      <w:vertAlign w:val="baseline"/>
                    </w:rPr>
                    <w:t>1.收集于符合《医疗废物专用包装袋、容器和警示标志标准》(HJ421)的医疗废物包装袋中</w:t>
                  </w:r>
                  <w:r>
                    <w:rPr>
                      <w:rFonts w:hint="eastAsia" w:ascii="Times New Roman" w:hAnsi="Times New Roman" w:eastAsia="宋体" w:cs="Times New Roman"/>
                      <w:color w:val="auto"/>
                      <w:sz w:val="21"/>
                      <w:szCs w:val="21"/>
                      <w:u w:val="none" w:color="auto"/>
                      <w:vertAlign w:val="baseline"/>
                      <w:lang w:eastAsia="zh-CN"/>
                    </w:rPr>
                    <w:t>；</w:t>
                  </w:r>
                </w:p>
                <w:p w14:paraId="496C06E4">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Times New Roman" w:hAnsi="Times New Roman" w:eastAsia="宋体" w:cs="Times New Roman"/>
                      <w:color w:val="auto"/>
                      <w:sz w:val="21"/>
                      <w:szCs w:val="21"/>
                      <w:u w:val="none" w:color="auto"/>
                      <w:vertAlign w:val="baseline"/>
                      <w:lang w:eastAsia="zh-CN"/>
                    </w:rPr>
                  </w:pPr>
                  <w:r>
                    <w:rPr>
                      <w:rFonts w:hint="default" w:ascii="Times New Roman" w:hAnsi="Times New Roman" w:eastAsia="宋体" w:cs="Times New Roman"/>
                      <w:color w:val="auto"/>
                      <w:sz w:val="21"/>
                      <w:szCs w:val="21"/>
                      <w:u w:val="none" w:color="auto"/>
                      <w:vertAlign w:val="baseline"/>
                    </w:rPr>
                    <w:t>2.确诊、疑似传染病产妇或携带传染病病原体的产妇的胎盘应使用双层医疗废物包装袋盛装</w:t>
                  </w:r>
                  <w:r>
                    <w:rPr>
                      <w:rFonts w:hint="eastAsia" w:ascii="Times New Roman" w:hAnsi="Times New Roman" w:eastAsia="宋体" w:cs="Times New Roman"/>
                      <w:color w:val="auto"/>
                      <w:sz w:val="21"/>
                      <w:szCs w:val="21"/>
                      <w:u w:val="none" w:color="auto"/>
                      <w:vertAlign w:val="baseline"/>
                      <w:lang w:eastAsia="zh-CN"/>
                    </w:rPr>
                    <w:t>；</w:t>
                  </w:r>
                </w:p>
                <w:p w14:paraId="74D41878">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3.可进行防腐或者低温保存。</w:t>
                  </w:r>
                </w:p>
              </w:tc>
            </w:tr>
            <w:tr w14:paraId="491C3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38CDF5C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药物性废物</w:t>
                  </w:r>
                </w:p>
              </w:tc>
              <w:tc>
                <w:tcPr>
                  <w:tcW w:w="1350" w:type="dxa"/>
                </w:tcPr>
                <w:p w14:paraId="623EA31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过期、淘汰、变质或者被污染的废弃的药物。</w:t>
                  </w:r>
                </w:p>
              </w:tc>
              <w:tc>
                <w:tcPr>
                  <w:tcW w:w="3750" w:type="dxa"/>
                </w:tcPr>
                <w:p w14:paraId="1D8E8F0C">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Times New Roman" w:hAnsi="Times New Roman" w:eastAsia="宋体" w:cs="Times New Roman"/>
                      <w:b/>
                      <w:bCs/>
                      <w:color w:val="auto"/>
                      <w:sz w:val="21"/>
                      <w:szCs w:val="21"/>
                      <w:u w:val="none" w:color="auto"/>
                      <w:vertAlign w:val="baseline"/>
                      <w:lang w:eastAsia="zh-CN"/>
                    </w:rPr>
                  </w:pPr>
                  <w:r>
                    <w:rPr>
                      <w:rFonts w:hint="default" w:ascii="Times New Roman" w:hAnsi="Times New Roman" w:eastAsia="宋体" w:cs="Times New Roman"/>
                      <w:b/>
                      <w:bCs/>
                      <w:color w:val="auto"/>
                      <w:sz w:val="21"/>
                      <w:szCs w:val="21"/>
                      <w:u w:val="none" w:color="auto"/>
                      <w:vertAlign w:val="baseline"/>
                    </w:rPr>
                    <w:t>1.废弃的一般性药物</w:t>
                  </w:r>
                  <w:r>
                    <w:rPr>
                      <w:rFonts w:hint="eastAsia" w:ascii="Times New Roman" w:hAnsi="Times New Roman" w:eastAsia="宋体" w:cs="Times New Roman"/>
                      <w:b/>
                      <w:bCs/>
                      <w:color w:val="auto"/>
                      <w:sz w:val="21"/>
                      <w:szCs w:val="21"/>
                      <w:u w:val="none" w:color="auto"/>
                      <w:vertAlign w:val="baseline"/>
                      <w:lang w:eastAsia="zh-CN"/>
                    </w:rPr>
                    <w:t>；</w:t>
                  </w:r>
                </w:p>
                <w:p w14:paraId="64B685FF">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Times New Roman" w:hAnsi="Times New Roman" w:eastAsia="宋体" w:cs="Times New Roman"/>
                      <w:color w:val="auto"/>
                      <w:sz w:val="21"/>
                      <w:szCs w:val="21"/>
                      <w:u w:val="none" w:color="auto"/>
                      <w:vertAlign w:val="baseline"/>
                      <w:lang w:eastAsia="zh-CN"/>
                    </w:rPr>
                  </w:pPr>
                  <w:r>
                    <w:rPr>
                      <w:rFonts w:hint="default" w:ascii="Times New Roman" w:hAnsi="Times New Roman" w:eastAsia="宋体" w:cs="Times New Roman"/>
                      <w:color w:val="auto"/>
                      <w:sz w:val="21"/>
                      <w:szCs w:val="21"/>
                      <w:u w:val="none" w:color="auto"/>
                      <w:vertAlign w:val="baseline"/>
                    </w:rPr>
                    <w:t>2.废弃的细胞毒性药物和遗传毒性药物</w:t>
                  </w:r>
                  <w:r>
                    <w:rPr>
                      <w:rFonts w:hint="eastAsia" w:ascii="Times New Roman" w:hAnsi="Times New Roman" w:eastAsia="宋体" w:cs="Times New Roman"/>
                      <w:color w:val="auto"/>
                      <w:sz w:val="21"/>
                      <w:szCs w:val="21"/>
                      <w:u w:val="none" w:color="auto"/>
                      <w:vertAlign w:val="baseline"/>
                      <w:lang w:eastAsia="zh-CN"/>
                    </w:rPr>
                    <w:t>；</w:t>
                  </w:r>
                </w:p>
                <w:p w14:paraId="38A95EA1">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3.废弃的疫苗及血液制品。</w:t>
                  </w:r>
                </w:p>
              </w:tc>
              <w:tc>
                <w:tcPr>
                  <w:tcW w:w="3405" w:type="dxa"/>
                </w:tcPr>
                <w:p w14:paraId="2715A2C4">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Times New Roman" w:hAnsi="Times New Roman" w:eastAsia="宋体" w:cs="Times New Roman"/>
                      <w:color w:val="auto"/>
                      <w:sz w:val="21"/>
                      <w:szCs w:val="21"/>
                      <w:u w:val="none" w:color="auto"/>
                      <w:vertAlign w:val="baseline"/>
                      <w:lang w:eastAsia="zh-CN"/>
                    </w:rPr>
                  </w:pPr>
                  <w:r>
                    <w:rPr>
                      <w:rFonts w:hint="default" w:ascii="Times New Roman" w:hAnsi="Times New Roman" w:eastAsia="宋体" w:cs="Times New Roman"/>
                      <w:color w:val="auto"/>
                      <w:sz w:val="21"/>
                      <w:szCs w:val="21"/>
                      <w:u w:val="none" w:color="auto"/>
                      <w:vertAlign w:val="baseline"/>
                    </w:rPr>
                    <w:t>1.少量的药物性废物可以并入感染性废物中，但应在标签中注明</w:t>
                  </w:r>
                  <w:r>
                    <w:rPr>
                      <w:rFonts w:hint="eastAsia" w:ascii="Times New Roman" w:hAnsi="Times New Roman" w:eastAsia="宋体" w:cs="Times New Roman"/>
                      <w:color w:val="auto"/>
                      <w:sz w:val="21"/>
                      <w:szCs w:val="21"/>
                      <w:u w:val="none" w:color="auto"/>
                      <w:vertAlign w:val="baseline"/>
                      <w:lang w:eastAsia="zh-CN"/>
                    </w:rPr>
                    <w:t>；</w:t>
                  </w:r>
                </w:p>
                <w:p w14:paraId="2C351DA5">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2.批量废弃的药物性废物，收集后应交由具备相应资质的医疗废物处置单位或者危险废物处置单位等进行处置。</w:t>
                  </w:r>
                </w:p>
              </w:tc>
            </w:tr>
            <w:tr w14:paraId="5F5D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7066A91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化学性废物</w:t>
                  </w:r>
                </w:p>
              </w:tc>
              <w:tc>
                <w:tcPr>
                  <w:tcW w:w="1350" w:type="dxa"/>
                </w:tcPr>
                <w:p w14:paraId="46592DD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具有毒性、腐蚀性、易燃性、反应性的废弃的化学物品。</w:t>
                  </w:r>
                </w:p>
              </w:tc>
              <w:tc>
                <w:tcPr>
                  <w:tcW w:w="3750" w:type="dxa"/>
                </w:tcPr>
                <w:p w14:paraId="18769E7C">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列入《国家危险废物名录》中的废弃危险化学品，如甲醛、二甲苯等</w:t>
                  </w:r>
                  <w:r>
                    <w:rPr>
                      <w:rFonts w:hint="eastAsia" w:ascii="Times New Roman" w:hAnsi="Times New Roman" w:eastAsia="宋体" w:cs="Times New Roman"/>
                      <w:color w:val="auto"/>
                      <w:sz w:val="21"/>
                      <w:szCs w:val="21"/>
                      <w:u w:val="none" w:color="auto"/>
                      <w:vertAlign w:val="baseline"/>
                      <w:lang w:eastAsia="zh-CN"/>
                    </w:rPr>
                    <w:t>；</w:t>
                  </w:r>
                  <w:r>
                    <w:rPr>
                      <w:rFonts w:hint="default" w:ascii="Times New Roman" w:hAnsi="Times New Roman" w:eastAsia="宋体" w:cs="Times New Roman"/>
                      <w:b/>
                      <w:bCs/>
                      <w:color w:val="auto"/>
                      <w:sz w:val="21"/>
                      <w:szCs w:val="21"/>
                      <w:u w:val="none" w:color="auto"/>
                      <w:vertAlign w:val="baseline"/>
                    </w:rPr>
                    <w:t>非特定行业来源的危险废物，如含汞血压计</w:t>
                  </w:r>
                  <w:r>
                    <w:rPr>
                      <w:rFonts w:hint="default" w:ascii="Times New Roman" w:hAnsi="Times New Roman" w:eastAsia="宋体" w:cs="Times New Roman"/>
                      <w:color w:val="auto"/>
                      <w:sz w:val="21"/>
                      <w:szCs w:val="21"/>
                      <w:u w:val="none" w:color="auto"/>
                      <w:vertAlign w:val="baseline"/>
                    </w:rPr>
                    <w:t>、含汞体温计，废弃的牙科汞合金材料及其残余物等。</w:t>
                  </w:r>
                </w:p>
              </w:tc>
              <w:tc>
                <w:tcPr>
                  <w:tcW w:w="3405" w:type="dxa"/>
                </w:tcPr>
                <w:p w14:paraId="2A49EC4A">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Times New Roman" w:hAnsi="Times New Roman" w:eastAsia="宋体" w:cs="Times New Roman"/>
                      <w:color w:val="auto"/>
                      <w:sz w:val="21"/>
                      <w:szCs w:val="21"/>
                      <w:u w:val="none" w:color="auto"/>
                      <w:vertAlign w:val="baseline"/>
                      <w:lang w:eastAsia="zh-CN"/>
                    </w:rPr>
                  </w:pPr>
                  <w:r>
                    <w:rPr>
                      <w:rFonts w:hint="default" w:ascii="Times New Roman" w:hAnsi="Times New Roman" w:eastAsia="宋体" w:cs="Times New Roman"/>
                      <w:color w:val="auto"/>
                      <w:sz w:val="21"/>
                      <w:szCs w:val="21"/>
                      <w:u w:val="none" w:color="auto"/>
                      <w:vertAlign w:val="baseline"/>
                    </w:rPr>
                    <w:t>1.收集于容器中，粘贴标签并注明主要成分</w:t>
                  </w:r>
                  <w:r>
                    <w:rPr>
                      <w:rFonts w:hint="eastAsia" w:ascii="Times New Roman" w:hAnsi="Times New Roman" w:eastAsia="宋体" w:cs="Times New Roman"/>
                      <w:color w:val="auto"/>
                      <w:sz w:val="21"/>
                      <w:szCs w:val="21"/>
                      <w:u w:val="none" w:color="auto"/>
                      <w:vertAlign w:val="baseline"/>
                      <w:lang w:eastAsia="zh-CN"/>
                    </w:rPr>
                    <w:t>；</w:t>
                  </w:r>
                </w:p>
                <w:p w14:paraId="418C400F">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sz w:val="21"/>
                      <w:szCs w:val="21"/>
                      <w:u w:val="none" w:color="auto"/>
                      <w:vertAlign w:val="baseline"/>
                    </w:rPr>
                    <w:t>2.收集后应交由具备相应资质的医疗废物处置单位或者危险废物处置单位等进行处置。</w:t>
                  </w:r>
                </w:p>
              </w:tc>
            </w:tr>
          </w:tbl>
          <w:p w14:paraId="276E5CB3">
            <w:pPr>
              <w:spacing w:line="480" w:lineRule="exact"/>
              <w:ind w:firstLine="480" w:firstLineChars="200"/>
              <w:rPr>
                <w:rFonts w:hint="eastAsia"/>
                <w:color w:val="auto"/>
                <w:sz w:val="24"/>
                <w:u w:val="none" w:color="auto"/>
              </w:rPr>
            </w:pPr>
            <w:r>
              <w:rPr>
                <w:rFonts w:hint="eastAsia"/>
                <w:color w:val="auto"/>
                <w:sz w:val="24"/>
                <w:u w:val="none" w:color="auto"/>
              </w:rPr>
              <w:t>项目医疗废物为危险废物（HW01），</w:t>
            </w:r>
            <w:r>
              <w:rPr>
                <w:rFonts w:hint="eastAsia"/>
                <w:color w:val="auto"/>
                <w:sz w:val="24"/>
                <w:u w:val="none" w:color="auto"/>
                <w:lang w:val="en-US" w:eastAsia="zh-CN"/>
              </w:rPr>
              <w:t>结合项目服务病人类型，医疗废物的种类主要为：病人使用后的一次性使用医疗用品；医用锐器；过期、淘汰、变质或者被污染的废弃的药品；废弃的化学物品等；极少量被病人血液、体液、排泄物污染的物品；日常检验产生的血液、血清、分泌物等标本和容器等。</w:t>
            </w:r>
            <w:r>
              <w:rPr>
                <w:color w:val="auto"/>
                <w:sz w:val="24"/>
                <w:u w:val="none" w:color="auto"/>
              </w:rPr>
              <w:t>参考环境影响评价工程师职业资格等级培训教材《社会区域类环境影响评价》医院固体废物污染源统计</w:t>
            </w:r>
            <w:r>
              <w:rPr>
                <w:rFonts w:hint="eastAsia"/>
                <w:color w:val="auto"/>
                <w:sz w:val="24"/>
                <w:u w:val="none" w:color="auto"/>
              </w:rPr>
              <w:t>及结合项目运营情况，</w:t>
            </w:r>
            <w:r>
              <w:rPr>
                <w:color w:val="auto"/>
                <w:sz w:val="24"/>
                <w:u w:val="none" w:color="auto"/>
              </w:rPr>
              <w:t>住院病人医疗废物的产生系数为0.6kg/</w:t>
            </w:r>
            <w:r>
              <w:rPr>
                <w:rFonts w:hint="eastAsia"/>
                <w:color w:val="auto"/>
                <w:sz w:val="24"/>
                <w:u w:val="none" w:color="auto"/>
                <w:lang w:eastAsia="zh-CN"/>
              </w:rPr>
              <w:t>（</w:t>
            </w:r>
            <w:r>
              <w:rPr>
                <w:color w:val="auto"/>
                <w:sz w:val="24"/>
                <w:u w:val="none" w:color="auto"/>
              </w:rPr>
              <w:t>床·d)、来诊病人医疗废物产生量按0.2kg/人•d计算，则项目医疗</w:t>
            </w:r>
            <w:r>
              <w:rPr>
                <w:rFonts w:hint="eastAsia"/>
                <w:color w:val="auto"/>
                <w:sz w:val="24"/>
                <w:u w:val="none" w:color="auto"/>
              </w:rPr>
              <w:t>废物</w:t>
            </w:r>
            <w:r>
              <w:rPr>
                <w:color w:val="auto"/>
                <w:sz w:val="24"/>
                <w:u w:val="none" w:color="auto"/>
              </w:rPr>
              <w:t>产生情况如下表：</w:t>
            </w:r>
          </w:p>
          <w:p w14:paraId="699FD42B">
            <w:pPr>
              <w:pStyle w:val="10"/>
              <w:numPr>
                <w:ilvl w:val="0"/>
                <w:numId w:val="3"/>
              </w:numPr>
              <w:ind w:left="0" w:firstLine="0" w:firstLineChars="0"/>
              <w:jc w:val="center"/>
              <w:rPr>
                <w:rFonts w:ascii="黑体" w:hAnsi="黑体" w:eastAsia="黑体"/>
                <w:b w:val="0"/>
                <w:color w:val="auto"/>
                <w:u w:val="none" w:color="auto"/>
              </w:rPr>
            </w:pPr>
            <w:r>
              <w:rPr>
                <w:rFonts w:ascii="黑体" w:hAnsi="黑体" w:eastAsia="黑体"/>
                <w:b w:val="0"/>
                <w:color w:val="auto"/>
                <w:u w:val="none" w:color="auto"/>
              </w:rPr>
              <w:t>项目医疗废物产生情况</w:t>
            </w:r>
          </w:p>
          <w:tbl>
            <w:tblPr>
              <w:tblStyle w:val="22"/>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6"/>
              <w:gridCol w:w="2265"/>
              <w:gridCol w:w="1803"/>
              <w:gridCol w:w="11"/>
              <w:gridCol w:w="1793"/>
            </w:tblGrid>
            <w:tr w14:paraId="69C6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6" w:type="dxa"/>
                  <w:vAlign w:val="center"/>
                </w:tcPr>
                <w:p w14:paraId="24DBCA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1"/>
                      <w:u w:val="none" w:color="auto"/>
                    </w:rPr>
                  </w:pPr>
                  <w:r>
                    <w:rPr>
                      <w:color w:val="auto"/>
                      <w:sz w:val="21"/>
                      <w:szCs w:val="21"/>
                      <w:u w:val="none" w:color="auto"/>
                    </w:rPr>
                    <w:t>来源</w:t>
                  </w:r>
                </w:p>
              </w:tc>
              <w:tc>
                <w:tcPr>
                  <w:tcW w:w="2265" w:type="dxa"/>
                  <w:vAlign w:val="center"/>
                </w:tcPr>
                <w:p w14:paraId="020FDBE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1"/>
                      <w:u w:val="none" w:color="auto"/>
                    </w:rPr>
                  </w:pPr>
                  <w:r>
                    <w:rPr>
                      <w:color w:val="auto"/>
                      <w:sz w:val="21"/>
                      <w:szCs w:val="21"/>
                      <w:u w:val="none" w:color="auto"/>
                    </w:rPr>
                    <w:t>产生系数</w:t>
                  </w:r>
                </w:p>
              </w:tc>
              <w:tc>
                <w:tcPr>
                  <w:tcW w:w="1803" w:type="dxa"/>
                  <w:vAlign w:val="center"/>
                </w:tcPr>
                <w:p w14:paraId="4895278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1"/>
                      <w:u w:val="none" w:color="auto"/>
                    </w:rPr>
                  </w:pPr>
                  <w:r>
                    <w:rPr>
                      <w:color w:val="auto"/>
                      <w:sz w:val="21"/>
                      <w:szCs w:val="21"/>
                      <w:u w:val="none" w:color="auto"/>
                    </w:rPr>
                    <w:t>数量（人）</w:t>
                  </w:r>
                </w:p>
              </w:tc>
              <w:tc>
                <w:tcPr>
                  <w:tcW w:w="1804" w:type="dxa"/>
                  <w:gridSpan w:val="2"/>
                  <w:vAlign w:val="center"/>
                </w:tcPr>
                <w:p w14:paraId="7578D9F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1"/>
                      <w:u w:val="none" w:color="auto"/>
                    </w:rPr>
                  </w:pPr>
                  <w:r>
                    <w:rPr>
                      <w:color w:val="auto"/>
                      <w:sz w:val="21"/>
                      <w:szCs w:val="21"/>
                      <w:u w:val="none" w:color="auto"/>
                    </w:rPr>
                    <w:t>产生量（kg/d）</w:t>
                  </w:r>
                </w:p>
              </w:tc>
            </w:tr>
            <w:tr w14:paraId="4BE1E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6" w:type="dxa"/>
                  <w:vAlign w:val="center"/>
                </w:tcPr>
                <w:p w14:paraId="0BA7A6F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1"/>
                      <w:u w:val="none" w:color="auto"/>
                    </w:rPr>
                  </w:pPr>
                  <w:r>
                    <w:rPr>
                      <w:color w:val="auto"/>
                      <w:sz w:val="21"/>
                      <w:szCs w:val="21"/>
                      <w:u w:val="none" w:color="auto"/>
                    </w:rPr>
                    <w:t>门诊病人</w:t>
                  </w:r>
                </w:p>
              </w:tc>
              <w:tc>
                <w:tcPr>
                  <w:tcW w:w="2265" w:type="dxa"/>
                  <w:vAlign w:val="center"/>
                </w:tcPr>
                <w:p w14:paraId="4512B53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1"/>
                      <w:u w:val="none" w:color="auto"/>
                    </w:rPr>
                  </w:pPr>
                  <w:r>
                    <w:rPr>
                      <w:color w:val="auto"/>
                      <w:sz w:val="21"/>
                      <w:szCs w:val="21"/>
                      <w:u w:val="none" w:color="auto"/>
                    </w:rPr>
                    <w:t>0.2kg/人·d</w:t>
                  </w:r>
                </w:p>
              </w:tc>
              <w:tc>
                <w:tcPr>
                  <w:tcW w:w="1814" w:type="dxa"/>
                  <w:gridSpan w:val="2"/>
                  <w:vAlign w:val="center"/>
                </w:tcPr>
                <w:p w14:paraId="63A59D4B">
                  <w:pPr>
                    <w:keepNext w:val="0"/>
                    <w:keepLines w:val="0"/>
                    <w:widowControl/>
                    <w:suppressLineNumbers w:val="0"/>
                    <w:ind w:firstLine="420" w:firstLineChars="200"/>
                    <w:jc w:val="center"/>
                    <w:textAlignment w:val="center"/>
                    <w:rPr>
                      <w:rFonts w:hint="default" w:eastAsia="宋体"/>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793" w:type="dxa"/>
                  <w:vAlign w:val="center"/>
                </w:tcPr>
                <w:p w14:paraId="3DAE00F0">
                  <w:pPr>
                    <w:keepNext w:val="0"/>
                    <w:keepLines w:val="0"/>
                    <w:widowControl/>
                    <w:suppressLineNumbers w:val="0"/>
                    <w:ind w:firstLine="420" w:firstLineChars="200"/>
                    <w:jc w:val="center"/>
                    <w:textAlignment w:val="center"/>
                    <w:rPr>
                      <w:rFonts w:hint="default" w:eastAsia="宋体"/>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r>
            <w:tr w14:paraId="28BD6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6" w:type="dxa"/>
                  <w:vAlign w:val="center"/>
                </w:tcPr>
                <w:p w14:paraId="152193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1"/>
                      <w:u w:val="none" w:color="auto"/>
                    </w:rPr>
                  </w:pPr>
                  <w:r>
                    <w:rPr>
                      <w:color w:val="auto"/>
                      <w:sz w:val="21"/>
                      <w:szCs w:val="21"/>
                      <w:u w:val="none" w:color="auto"/>
                    </w:rPr>
                    <w:t>住院病人</w:t>
                  </w:r>
                </w:p>
              </w:tc>
              <w:tc>
                <w:tcPr>
                  <w:tcW w:w="2265" w:type="dxa"/>
                  <w:vAlign w:val="center"/>
                </w:tcPr>
                <w:p w14:paraId="52B2AB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1"/>
                      <w:u w:val="none" w:color="auto"/>
                    </w:rPr>
                  </w:pPr>
                  <w:r>
                    <w:rPr>
                      <w:color w:val="auto"/>
                      <w:sz w:val="21"/>
                      <w:szCs w:val="21"/>
                      <w:u w:val="none" w:color="auto"/>
                    </w:rPr>
                    <w:t>0.6kg/床·d</w:t>
                  </w:r>
                </w:p>
              </w:tc>
              <w:tc>
                <w:tcPr>
                  <w:tcW w:w="1814" w:type="dxa"/>
                  <w:gridSpan w:val="2"/>
                  <w:vAlign w:val="center"/>
                </w:tcPr>
                <w:p w14:paraId="368C86E1">
                  <w:pPr>
                    <w:keepNext w:val="0"/>
                    <w:keepLines w:val="0"/>
                    <w:widowControl/>
                    <w:suppressLineNumbers w:val="0"/>
                    <w:ind w:firstLine="420" w:firstLineChars="200"/>
                    <w:jc w:val="center"/>
                    <w:textAlignment w:val="center"/>
                    <w:rPr>
                      <w:rFonts w:hint="default" w:eastAsia="宋体"/>
                      <w:color w:val="0000FF"/>
                      <w:sz w:val="21"/>
                      <w:szCs w:val="21"/>
                      <w:u w:val="none" w:color="auto"/>
                      <w:lang w:val="en-US" w:eastAsia="zh-CN"/>
                    </w:rPr>
                  </w:pPr>
                  <w:r>
                    <w:rPr>
                      <w:rFonts w:hint="default" w:ascii="Times New Roman" w:hAnsi="Times New Roman" w:eastAsia="宋体" w:cs="Times New Roman"/>
                      <w:i w:val="0"/>
                      <w:iCs w:val="0"/>
                      <w:color w:val="0000FF"/>
                      <w:kern w:val="0"/>
                      <w:sz w:val="21"/>
                      <w:szCs w:val="21"/>
                      <w:u w:val="none"/>
                      <w:lang w:val="en-US" w:eastAsia="zh-CN" w:bidi="ar"/>
                    </w:rPr>
                    <w:t>161</w:t>
                  </w:r>
                </w:p>
              </w:tc>
              <w:tc>
                <w:tcPr>
                  <w:tcW w:w="1793" w:type="dxa"/>
                  <w:vAlign w:val="center"/>
                </w:tcPr>
                <w:p w14:paraId="4EE9E053">
                  <w:pPr>
                    <w:keepNext w:val="0"/>
                    <w:keepLines w:val="0"/>
                    <w:widowControl/>
                    <w:suppressLineNumbers w:val="0"/>
                    <w:ind w:firstLine="420" w:firstLineChars="200"/>
                    <w:jc w:val="center"/>
                    <w:textAlignment w:val="center"/>
                    <w:rPr>
                      <w:rFonts w:hint="default" w:eastAsia="宋体"/>
                      <w:color w:val="0000FF"/>
                      <w:sz w:val="21"/>
                      <w:szCs w:val="21"/>
                      <w:u w:val="none" w:color="auto"/>
                      <w:lang w:val="en-US" w:eastAsia="zh-CN"/>
                    </w:rPr>
                  </w:pPr>
                  <w:r>
                    <w:rPr>
                      <w:rFonts w:hint="default" w:ascii="Times New Roman" w:hAnsi="Times New Roman" w:eastAsia="宋体" w:cs="Times New Roman"/>
                      <w:i w:val="0"/>
                      <w:iCs w:val="0"/>
                      <w:color w:val="0000FF"/>
                      <w:kern w:val="0"/>
                      <w:sz w:val="21"/>
                      <w:szCs w:val="21"/>
                      <w:u w:val="none"/>
                      <w:lang w:val="en-US" w:eastAsia="zh-CN" w:bidi="ar"/>
                    </w:rPr>
                    <w:t>96.6</w:t>
                  </w:r>
                </w:p>
              </w:tc>
            </w:tr>
            <w:tr w14:paraId="2E18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6" w:type="dxa"/>
                  <w:vAlign w:val="center"/>
                </w:tcPr>
                <w:p w14:paraId="0982600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1"/>
                      <w:u w:val="none" w:color="auto"/>
                    </w:rPr>
                  </w:pPr>
                  <w:r>
                    <w:rPr>
                      <w:color w:val="auto"/>
                      <w:sz w:val="21"/>
                      <w:szCs w:val="21"/>
                      <w:u w:val="none" w:color="auto"/>
                    </w:rPr>
                    <w:t>合计</w:t>
                  </w:r>
                </w:p>
              </w:tc>
              <w:tc>
                <w:tcPr>
                  <w:tcW w:w="2265" w:type="dxa"/>
                  <w:vAlign w:val="center"/>
                </w:tcPr>
                <w:p w14:paraId="1A454D1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1"/>
                      <w:u w:val="none" w:color="auto"/>
                    </w:rPr>
                  </w:pPr>
                  <w:r>
                    <w:rPr>
                      <w:color w:val="auto"/>
                      <w:sz w:val="21"/>
                      <w:szCs w:val="21"/>
                      <w:u w:val="none" w:color="auto"/>
                    </w:rPr>
                    <w:t>/</w:t>
                  </w:r>
                </w:p>
              </w:tc>
              <w:tc>
                <w:tcPr>
                  <w:tcW w:w="1814" w:type="dxa"/>
                  <w:gridSpan w:val="2"/>
                  <w:vAlign w:val="center"/>
                </w:tcPr>
                <w:p w14:paraId="55841BF5">
                  <w:pPr>
                    <w:keepNext w:val="0"/>
                    <w:keepLines w:val="0"/>
                    <w:widowControl/>
                    <w:suppressLineNumbers w:val="0"/>
                    <w:ind w:firstLine="420" w:firstLineChars="200"/>
                    <w:jc w:val="center"/>
                    <w:textAlignment w:val="center"/>
                    <w:rPr>
                      <w:color w:val="0000FF"/>
                      <w:sz w:val="21"/>
                      <w:szCs w:val="21"/>
                      <w:u w:val="none" w:color="auto"/>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793" w:type="dxa"/>
                  <w:vAlign w:val="center"/>
                </w:tcPr>
                <w:p w14:paraId="0808F1C3">
                  <w:pPr>
                    <w:keepNext w:val="0"/>
                    <w:keepLines w:val="0"/>
                    <w:widowControl/>
                    <w:suppressLineNumbers w:val="0"/>
                    <w:ind w:firstLine="420" w:firstLineChars="200"/>
                    <w:jc w:val="center"/>
                    <w:textAlignment w:val="center"/>
                    <w:rPr>
                      <w:rFonts w:hint="default" w:eastAsia="宋体"/>
                      <w:color w:val="0000FF"/>
                      <w:sz w:val="21"/>
                      <w:szCs w:val="21"/>
                      <w:u w:val="none" w:color="auto"/>
                      <w:lang w:val="en-US" w:eastAsia="zh-CN"/>
                    </w:rPr>
                  </w:pPr>
                  <w:r>
                    <w:rPr>
                      <w:rFonts w:hint="default" w:ascii="Times New Roman" w:hAnsi="Times New Roman" w:eastAsia="宋体" w:cs="Times New Roman"/>
                      <w:i w:val="0"/>
                      <w:iCs w:val="0"/>
                      <w:color w:val="0000FF"/>
                      <w:kern w:val="0"/>
                      <w:sz w:val="21"/>
                      <w:szCs w:val="21"/>
                      <w:u w:val="none"/>
                      <w:lang w:val="en-US" w:eastAsia="zh-CN" w:bidi="ar"/>
                    </w:rPr>
                    <w:t>106.6</w:t>
                  </w:r>
                </w:p>
              </w:tc>
            </w:tr>
          </w:tbl>
          <w:p w14:paraId="5B8AE687">
            <w:pPr>
              <w:spacing w:line="480" w:lineRule="exact"/>
              <w:ind w:firstLine="480" w:firstLineChars="200"/>
              <w:rPr>
                <w:color w:val="auto"/>
                <w:sz w:val="24"/>
                <w:u w:val="none" w:color="auto"/>
              </w:rPr>
            </w:pPr>
            <w:r>
              <w:rPr>
                <w:rFonts w:hint="eastAsia"/>
                <w:color w:val="auto"/>
                <w:sz w:val="24"/>
                <w:u w:val="none" w:color="auto"/>
              </w:rPr>
              <w:t>由上计算，</w:t>
            </w:r>
            <w:r>
              <w:rPr>
                <w:color w:val="auto"/>
                <w:sz w:val="24"/>
                <w:u w:val="none" w:color="auto"/>
              </w:rPr>
              <w:t>项目医疗废物产生量为</w:t>
            </w:r>
            <w:r>
              <w:rPr>
                <w:rFonts w:hint="eastAsia"/>
                <w:color w:val="0000FF"/>
                <w:sz w:val="24"/>
                <w:u w:val="none" w:color="auto"/>
                <w:lang w:val="en-US" w:eastAsia="zh-CN"/>
              </w:rPr>
              <w:t>106.6</w:t>
            </w:r>
            <w:r>
              <w:rPr>
                <w:rFonts w:hint="eastAsia"/>
                <w:color w:val="auto"/>
                <w:sz w:val="24"/>
                <w:u w:val="none" w:color="auto"/>
                <w:lang w:val="en-US" w:eastAsia="zh-CN"/>
              </w:rPr>
              <w:t>kg</w:t>
            </w:r>
            <w:r>
              <w:rPr>
                <w:color w:val="auto"/>
                <w:sz w:val="24"/>
                <w:u w:val="none" w:color="auto"/>
              </w:rPr>
              <w:t>/d，</w:t>
            </w:r>
            <w:r>
              <w:rPr>
                <w:rFonts w:hint="eastAsia"/>
                <w:color w:val="0000FF"/>
                <w:sz w:val="24"/>
                <w:u w:val="none" w:color="auto"/>
                <w:lang w:val="en-US" w:eastAsia="zh-CN"/>
              </w:rPr>
              <w:t>38.91</w:t>
            </w:r>
            <w:r>
              <w:rPr>
                <w:color w:val="auto"/>
                <w:sz w:val="24"/>
                <w:u w:val="none" w:color="auto"/>
              </w:rPr>
              <w:t>t/a</w:t>
            </w:r>
            <w:r>
              <w:rPr>
                <w:rFonts w:hint="eastAsia"/>
                <w:color w:val="auto"/>
                <w:sz w:val="24"/>
                <w:u w:val="none" w:color="auto"/>
              </w:rPr>
              <w:t>，交由有</w:t>
            </w:r>
            <w:r>
              <w:rPr>
                <w:rFonts w:hint="eastAsia"/>
                <w:color w:val="auto"/>
                <w:sz w:val="24"/>
                <w:u w:val="none" w:color="auto"/>
                <w:lang w:val="en-US" w:eastAsia="zh-CN"/>
              </w:rPr>
              <w:t>相应危险废物处置资质的单位处理</w:t>
            </w:r>
            <w:r>
              <w:rPr>
                <w:color w:val="auto"/>
                <w:sz w:val="24"/>
                <w:u w:val="none" w:color="auto"/>
              </w:rPr>
              <w:t>。</w:t>
            </w:r>
          </w:p>
          <w:p w14:paraId="01CD6713">
            <w:pPr>
              <w:spacing w:line="480" w:lineRule="exact"/>
              <w:ind w:firstLine="480"/>
              <w:rPr>
                <w:rFonts w:hint="eastAsia" w:hAnsi="宋体" w:cs="Times New Roman"/>
                <w:color w:val="auto"/>
                <w:sz w:val="24"/>
                <w:u w:val="none" w:color="auto"/>
                <w:lang w:val="en-US" w:eastAsia="zh-CN"/>
              </w:rPr>
            </w:pPr>
            <w:r>
              <w:rPr>
                <w:rFonts w:hint="eastAsia"/>
                <w:color w:val="auto"/>
                <w:sz w:val="24"/>
                <w:u w:val="none" w:color="auto"/>
              </w:rPr>
              <w:t>②</w:t>
            </w:r>
            <w:r>
              <w:rPr>
                <w:rFonts w:hint="eastAsia" w:hAnsi="宋体" w:cs="Times New Roman"/>
                <w:color w:val="auto"/>
                <w:sz w:val="24"/>
                <w:u w:val="none" w:color="auto"/>
                <w:lang w:val="en-US" w:eastAsia="zh-CN"/>
              </w:rPr>
              <w:t>化粪池污泥</w:t>
            </w:r>
          </w:p>
          <w:p w14:paraId="7CD26F2A">
            <w:pPr>
              <w:spacing w:line="480" w:lineRule="exact"/>
              <w:ind w:firstLine="480" w:firstLineChars="200"/>
              <w:rPr>
                <w:rFonts w:hint="eastAsia"/>
                <w:color w:val="auto"/>
                <w:sz w:val="24"/>
                <w:u w:val="none" w:color="auto"/>
              </w:rPr>
            </w:pPr>
            <w:r>
              <w:rPr>
                <w:rFonts w:hint="eastAsia" w:hAnsi="宋体" w:cs="Times New Roman"/>
                <w:color w:val="auto"/>
                <w:sz w:val="24"/>
                <w:u w:val="none" w:color="auto"/>
                <w:lang w:val="en-US" w:eastAsia="zh-CN"/>
              </w:rPr>
              <w:t>根据</w:t>
            </w:r>
            <w:r>
              <w:rPr>
                <w:color w:val="auto"/>
                <w:sz w:val="24"/>
                <w:u w:val="none" w:color="auto"/>
              </w:rPr>
              <w:t>《医院污水处理技术指南》</w:t>
            </w:r>
            <w:r>
              <w:rPr>
                <w:rFonts w:hint="eastAsia"/>
                <w:color w:val="auto"/>
                <w:sz w:val="24"/>
                <w:u w:val="none" w:color="auto"/>
                <w:lang w:val="en-US" w:eastAsia="zh-CN"/>
              </w:rPr>
              <w:t>推荐的数值并结合医院的情况，病人、医护人员及后勤人员、门诊病人平均每人每天粪便量（湿重）为150g/d、75g/d、50g/d，则项目运营期化粪池污泥产生量约为</w:t>
            </w:r>
            <w:r>
              <w:rPr>
                <w:rFonts w:hint="eastAsia"/>
                <w:color w:val="0000FF"/>
                <w:sz w:val="24"/>
                <w:u w:val="none" w:color="auto"/>
                <w:lang w:val="en-US" w:eastAsia="zh-CN"/>
              </w:rPr>
              <w:t>34.90</w:t>
            </w:r>
            <w:r>
              <w:rPr>
                <w:rFonts w:hint="eastAsia"/>
                <w:color w:val="auto"/>
                <w:sz w:val="24"/>
                <w:u w:val="none" w:color="auto"/>
                <w:lang w:val="en-US" w:eastAsia="zh-CN"/>
              </w:rPr>
              <w:t>kg/d（</w:t>
            </w:r>
            <w:r>
              <w:rPr>
                <w:rFonts w:hint="eastAsia"/>
                <w:color w:val="0000FF"/>
                <w:sz w:val="24"/>
                <w:u w:val="none" w:color="auto"/>
                <w:lang w:val="en-US" w:eastAsia="zh-CN"/>
              </w:rPr>
              <w:t>12.74</w:t>
            </w:r>
            <w:r>
              <w:rPr>
                <w:rFonts w:hint="eastAsia"/>
                <w:color w:val="auto"/>
                <w:sz w:val="24"/>
                <w:u w:val="none" w:color="auto"/>
                <w:lang w:val="en-US" w:eastAsia="zh-CN"/>
              </w:rPr>
              <w:t>t/a），</w:t>
            </w:r>
            <w:r>
              <w:rPr>
                <w:rFonts w:hAnsi="宋体"/>
                <w:color w:val="auto"/>
                <w:sz w:val="24"/>
                <w:u w:val="none" w:color="auto"/>
              </w:rPr>
              <w:t>每年清理</w:t>
            </w:r>
            <w:r>
              <w:rPr>
                <w:rFonts w:hint="eastAsia" w:hAnsi="宋体"/>
                <w:color w:val="auto"/>
                <w:sz w:val="24"/>
                <w:u w:val="none" w:color="auto"/>
              </w:rPr>
              <w:t>8</w:t>
            </w:r>
            <w:r>
              <w:rPr>
                <w:rFonts w:hint="eastAsia" w:hAnsi="宋体"/>
                <w:color w:val="auto"/>
                <w:sz w:val="24"/>
                <w:u w:val="none" w:color="auto"/>
                <w:lang w:eastAsia="zh-CN"/>
              </w:rPr>
              <w:t>～</w:t>
            </w:r>
            <w:r>
              <w:rPr>
                <w:rFonts w:hint="eastAsia" w:hAnsi="宋体"/>
                <w:color w:val="auto"/>
                <w:sz w:val="24"/>
                <w:u w:val="none" w:color="auto"/>
              </w:rPr>
              <w:t>10</w:t>
            </w:r>
            <w:r>
              <w:rPr>
                <w:rFonts w:hAnsi="宋体"/>
                <w:color w:val="auto"/>
                <w:sz w:val="24"/>
                <w:u w:val="none" w:color="auto"/>
              </w:rPr>
              <w:t>次，</w:t>
            </w:r>
            <w:r>
              <w:rPr>
                <w:rFonts w:hint="eastAsia" w:hAnsi="宋体"/>
                <w:color w:val="auto"/>
                <w:sz w:val="24"/>
                <w:u w:val="none" w:color="auto"/>
                <w:lang w:val="en-US" w:eastAsia="zh-CN"/>
              </w:rPr>
              <w:t>该化粪池</w:t>
            </w:r>
            <w:r>
              <w:rPr>
                <w:rFonts w:hAnsi="宋体"/>
                <w:color w:val="auto"/>
                <w:sz w:val="24"/>
                <w:u w:val="none" w:color="auto"/>
              </w:rPr>
              <w:t>污泥中含较多的细菌、病毒等有害物质，每次清理后及时撒上一层石灰</w:t>
            </w:r>
            <w:r>
              <w:rPr>
                <w:rFonts w:ascii="Times New Roman" w:hAnsi="宋体" w:eastAsia="宋体" w:cs="Times New Roman"/>
                <w:color w:val="auto"/>
                <w:sz w:val="24"/>
                <w:u w:val="none" w:color="auto"/>
              </w:rPr>
              <w:t>粉进行消毒、去异味，</w:t>
            </w:r>
            <w:r>
              <w:rPr>
                <w:rFonts w:hint="eastAsia" w:hAnsi="宋体" w:cs="Times New Roman"/>
                <w:color w:val="auto"/>
                <w:sz w:val="24"/>
                <w:u w:val="none" w:color="auto"/>
                <w:lang w:val="en-US" w:eastAsia="zh-CN"/>
              </w:rPr>
              <w:t>经检测</w:t>
            </w:r>
            <w:r>
              <w:rPr>
                <w:rFonts w:hint="eastAsia" w:ascii="Times New Roman" w:hAnsi="宋体" w:eastAsia="宋体" w:cs="Times New Roman"/>
                <w:color w:val="auto"/>
                <w:sz w:val="24"/>
                <w:u w:val="none" w:color="auto"/>
                <w:lang w:val="en-US" w:eastAsia="zh-CN"/>
              </w:rPr>
              <w:t>满足《医疗机构水污染物排放标准》（</w:t>
            </w:r>
            <w:r>
              <w:rPr>
                <w:rFonts w:hint="default" w:ascii="Times New Roman" w:hAnsi="宋体" w:eastAsia="宋体" w:cs="Times New Roman"/>
                <w:color w:val="auto"/>
                <w:sz w:val="24"/>
                <w:u w:val="none" w:color="auto"/>
                <w:lang w:val="en-US" w:eastAsia="zh-CN"/>
              </w:rPr>
              <w:t>GB18466-2005</w:t>
            </w:r>
            <w:r>
              <w:rPr>
                <w:rFonts w:hint="eastAsia" w:ascii="Times New Roman" w:hAnsi="宋体" w:eastAsia="宋体" w:cs="Times New Roman"/>
                <w:color w:val="auto"/>
                <w:sz w:val="24"/>
                <w:u w:val="none" w:color="auto"/>
                <w:lang w:val="en-US" w:eastAsia="zh-CN"/>
              </w:rPr>
              <w:t xml:space="preserve">）表 </w:t>
            </w:r>
            <w:r>
              <w:rPr>
                <w:rFonts w:hint="default" w:ascii="Times New Roman" w:hAnsi="宋体" w:eastAsia="宋体" w:cs="Times New Roman"/>
                <w:color w:val="auto"/>
                <w:sz w:val="24"/>
                <w:u w:val="none" w:color="auto"/>
                <w:lang w:val="en-US" w:eastAsia="zh-CN"/>
              </w:rPr>
              <w:t xml:space="preserve">4 </w:t>
            </w:r>
            <w:r>
              <w:rPr>
                <w:rFonts w:hint="eastAsia" w:ascii="Times New Roman" w:hAnsi="宋体" w:eastAsia="宋体" w:cs="Times New Roman"/>
                <w:color w:val="auto"/>
                <w:sz w:val="24"/>
                <w:u w:val="none" w:color="auto"/>
                <w:lang w:val="en-US" w:eastAsia="zh-CN"/>
              </w:rPr>
              <w:t>综合医疗机构和其他医疗机构污泥控制标准后，</w:t>
            </w:r>
            <w:r>
              <w:rPr>
                <w:rFonts w:hint="eastAsia" w:ascii="Times New Roman" w:hAnsi="宋体" w:eastAsia="宋体" w:cs="Times New Roman"/>
                <w:color w:val="auto"/>
                <w:sz w:val="24"/>
                <w:u w:val="none" w:color="auto"/>
              </w:rPr>
              <w:t>项目将该部分医疗废物交由有此类危险废物处置资质的单位处理</w:t>
            </w:r>
            <w:r>
              <w:rPr>
                <w:rFonts w:ascii="Times New Roman" w:hAnsi="宋体" w:eastAsia="宋体" w:cs="Times New Roman"/>
                <w:color w:val="auto"/>
                <w:sz w:val="24"/>
                <w:u w:val="none" w:color="auto"/>
              </w:rPr>
              <w:t>。</w:t>
            </w:r>
          </w:p>
          <w:p w14:paraId="3DB359A3">
            <w:pPr>
              <w:spacing w:line="480" w:lineRule="exact"/>
              <w:ind w:firstLine="480" w:firstLineChars="200"/>
              <w:rPr>
                <w:color w:val="auto"/>
                <w:sz w:val="24"/>
                <w:u w:val="none" w:color="auto"/>
              </w:rPr>
            </w:pPr>
            <w:r>
              <w:rPr>
                <w:rFonts w:hint="eastAsia" w:ascii="Times New Roman" w:hAnsi="宋体" w:eastAsia="宋体" w:cs="Times New Roman"/>
                <w:color w:val="auto"/>
                <w:sz w:val="24"/>
                <w:u w:val="none" w:color="auto"/>
                <w:lang w:val="en-US" w:eastAsia="zh-CN"/>
              </w:rPr>
              <w:t>③</w:t>
            </w:r>
            <w:r>
              <w:rPr>
                <w:rFonts w:hint="eastAsia"/>
                <w:color w:val="auto"/>
                <w:sz w:val="24"/>
                <w:u w:val="none" w:color="auto"/>
                <w:lang w:val="en-US" w:eastAsia="zh-CN"/>
              </w:rPr>
              <w:t>医疗</w:t>
            </w:r>
            <w:r>
              <w:rPr>
                <w:color w:val="auto"/>
                <w:sz w:val="24"/>
                <w:u w:val="none" w:color="auto"/>
              </w:rPr>
              <w:t>处理站</w:t>
            </w:r>
            <w:r>
              <w:rPr>
                <w:rFonts w:hint="eastAsia"/>
                <w:color w:val="auto"/>
                <w:sz w:val="24"/>
                <w:u w:val="none" w:color="auto"/>
                <w:lang w:val="en-US" w:eastAsia="zh-CN"/>
              </w:rPr>
              <w:t>栅渣、</w:t>
            </w:r>
            <w:r>
              <w:rPr>
                <w:color w:val="auto"/>
                <w:sz w:val="24"/>
                <w:u w:val="none" w:color="auto"/>
              </w:rPr>
              <w:t>污泥</w:t>
            </w:r>
          </w:p>
          <w:p w14:paraId="5857FFFB">
            <w:pPr>
              <w:spacing w:line="480" w:lineRule="exact"/>
              <w:ind w:firstLine="480" w:firstLineChars="200"/>
              <w:rPr>
                <w:color w:val="auto"/>
                <w:sz w:val="24"/>
                <w:u w:val="none" w:color="auto"/>
              </w:rPr>
            </w:pPr>
            <w:r>
              <w:rPr>
                <w:rFonts w:hint="eastAsia"/>
                <w:color w:val="auto"/>
                <w:sz w:val="24"/>
                <w:u w:val="none" w:color="auto"/>
              </w:rPr>
              <w:t>根据《医疗机构水污染物排放标准》（GB18466-2005）及《</w:t>
            </w:r>
            <w:r>
              <w:rPr>
                <w:rFonts w:hint="eastAsia"/>
                <w:color w:val="auto"/>
                <w:sz w:val="24"/>
                <w:u w:val="none" w:color="auto"/>
                <w:lang w:eastAsia="zh-CN"/>
              </w:rPr>
              <w:t>国家危险废物名录（2025 年版）</w:t>
            </w:r>
            <w:r>
              <w:rPr>
                <w:rFonts w:hint="eastAsia"/>
                <w:color w:val="auto"/>
                <w:sz w:val="24"/>
                <w:u w:val="none" w:color="auto"/>
              </w:rPr>
              <w:t>》，污水处理站运行过程产生的栅渣、污泥可能携带有病菌，属于危险废物，废物代码为841-001-01（感染性废物）。</w:t>
            </w:r>
            <w:r>
              <w:rPr>
                <w:color w:val="auto"/>
                <w:sz w:val="24"/>
                <w:u w:val="none" w:color="auto"/>
              </w:rPr>
              <w:t>根据《医疗机构水污染物排放标准》（GB18466-2005）中有关污泥控制与处置的规定：格栅渣和污水处理站污泥属危险废物，应按危险废物进行处理和处置。</w:t>
            </w:r>
          </w:p>
          <w:p w14:paraId="23EA9C8D">
            <w:pPr>
              <w:spacing w:line="480" w:lineRule="exact"/>
              <w:ind w:firstLine="480" w:firstLineChars="200"/>
              <w:rPr>
                <w:color w:val="auto"/>
                <w:sz w:val="24"/>
                <w:u w:val="none" w:color="auto"/>
              </w:rPr>
            </w:pPr>
            <w:r>
              <w:rPr>
                <w:rFonts w:hint="eastAsia"/>
                <w:color w:val="auto"/>
                <w:sz w:val="24"/>
                <w:u w:val="none" w:color="auto"/>
                <w:lang w:val="en-US" w:eastAsia="zh-CN"/>
              </w:rPr>
              <w:t>参照</w:t>
            </w:r>
            <w:r>
              <w:rPr>
                <w:color w:val="auto"/>
                <w:sz w:val="24"/>
                <w:u w:val="none" w:color="auto"/>
              </w:rPr>
              <w:t>《医院污水处理技术指南》中的推荐数据</w:t>
            </w:r>
            <w:r>
              <w:rPr>
                <w:rFonts w:hint="eastAsia"/>
                <w:color w:val="auto"/>
                <w:sz w:val="24"/>
                <w:u w:val="none" w:color="auto"/>
                <w:lang w:val="en-US" w:eastAsia="zh-CN"/>
              </w:rPr>
              <w:t>并结合医院的情况</w:t>
            </w:r>
            <w:r>
              <w:rPr>
                <w:rFonts w:hint="eastAsia"/>
                <w:color w:val="auto"/>
                <w:sz w:val="24"/>
                <w:u w:val="none" w:color="auto"/>
              </w:rPr>
              <w:t>，则项目污水处理站栅渣、污泥产生情况如下表：</w:t>
            </w:r>
          </w:p>
          <w:p w14:paraId="097040F9">
            <w:pPr>
              <w:pStyle w:val="10"/>
              <w:numPr>
                <w:ilvl w:val="0"/>
                <w:numId w:val="3"/>
              </w:numPr>
              <w:ind w:left="0" w:firstLine="0" w:firstLineChars="0"/>
              <w:jc w:val="center"/>
              <w:rPr>
                <w:rFonts w:ascii="黑体" w:hAnsi="黑体" w:eastAsia="黑体"/>
                <w:b w:val="0"/>
                <w:color w:val="auto"/>
                <w:u w:val="none" w:color="auto"/>
              </w:rPr>
            </w:pPr>
            <w:r>
              <w:rPr>
                <w:rFonts w:ascii="黑体" w:hAnsi="黑体" w:eastAsia="黑体"/>
                <w:b w:val="0"/>
                <w:color w:val="auto"/>
                <w:u w:val="none" w:color="auto"/>
              </w:rPr>
              <w:t>污水处理站栅渣、污泥产生情况</w:t>
            </w:r>
          </w:p>
          <w:tbl>
            <w:tblPr>
              <w:tblStyle w:val="22"/>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1915"/>
              <w:gridCol w:w="1802"/>
              <w:gridCol w:w="1810"/>
            </w:tblGrid>
            <w:tr w14:paraId="5CA6A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1" w:type="dxa"/>
                  <w:vAlign w:val="center"/>
                </w:tcPr>
                <w:p w14:paraId="2D2FC8B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来源</w:t>
                  </w:r>
                </w:p>
              </w:tc>
              <w:tc>
                <w:tcPr>
                  <w:tcW w:w="1915" w:type="dxa"/>
                  <w:vAlign w:val="center"/>
                </w:tcPr>
                <w:p w14:paraId="5129823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产生系数</w:t>
                  </w:r>
                </w:p>
              </w:tc>
              <w:tc>
                <w:tcPr>
                  <w:tcW w:w="1802" w:type="dxa"/>
                  <w:vAlign w:val="center"/>
                </w:tcPr>
                <w:p w14:paraId="24859FA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数量（人）</w:t>
                  </w:r>
                </w:p>
              </w:tc>
              <w:tc>
                <w:tcPr>
                  <w:tcW w:w="1810" w:type="dxa"/>
                  <w:vAlign w:val="center"/>
                </w:tcPr>
                <w:p w14:paraId="18EC332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产生量（kg/d）</w:t>
                  </w:r>
                </w:p>
              </w:tc>
            </w:tr>
            <w:tr w14:paraId="32F7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1" w:type="dxa"/>
                  <w:vAlign w:val="center"/>
                </w:tcPr>
                <w:p w14:paraId="4A06BD7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门诊病人</w:t>
                  </w:r>
                </w:p>
              </w:tc>
              <w:tc>
                <w:tcPr>
                  <w:tcW w:w="1915" w:type="dxa"/>
                  <w:vAlign w:val="center"/>
                </w:tcPr>
                <w:p w14:paraId="65F11B9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10g/人·d</w:t>
                  </w:r>
                </w:p>
              </w:tc>
              <w:tc>
                <w:tcPr>
                  <w:tcW w:w="1802" w:type="dxa"/>
                  <w:vAlign w:val="center"/>
                </w:tcPr>
                <w:p w14:paraId="666815C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50</w:t>
                  </w:r>
                </w:p>
              </w:tc>
              <w:tc>
                <w:tcPr>
                  <w:tcW w:w="1810" w:type="dxa"/>
                  <w:vAlign w:val="center"/>
                </w:tcPr>
                <w:p w14:paraId="1FCEA4C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 xml:space="preserve">0.50 </w:t>
                  </w:r>
                </w:p>
              </w:tc>
            </w:tr>
            <w:tr w14:paraId="3F55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411" w:type="dxa"/>
                  <w:vAlign w:val="center"/>
                </w:tcPr>
                <w:p w14:paraId="28392FC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住院病人</w:t>
                  </w:r>
                  <w:r>
                    <w:rPr>
                      <w:rFonts w:hint="eastAsia" w:cs="Times New Roman"/>
                      <w:color w:val="auto"/>
                      <w:sz w:val="21"/>
                      <w:szCs w:val="21"/>
                      <w:u w:val="none" w:color="auto"/>
                      <w:lang w:eastAsia="zh-CN"/>
                    </w:rPr>
                    <w:t>、</w:t>
                  </w:r>
                  <w:r>
                    <w:rPr>
                      <w:rFonts w:hint="eastAsia" w:cs="Times New Roman"/>
                      <w:color w:val="auto"/>
                      <w:sz w:val="21"/>
                      <w:szCs w:val="21"/>
                      <w:u w:val="none" w:color="auto"/>
                      <w:lang w:val="en-US" w:eastAsia="zh-CN"/>
                    </w:rPr>
                    <w:t>医护人员</w:t>
                  </w:r>
                </w:p>
              </w:tc>
              <w:tc>
                <w:tcPr>
                  <w:tcW w:w="1915" w:type="dxa"/>
                  <w:vAlign w:val="center"/>
                </w:tcPr>
                <w:p w14:paraId="5E575B6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54g/人·d</w:t>
                  </w:r>
                </w:p>
              </w:tc>
              <w:tc>
                <w:tcPr>
                  <w:tcW w:w="1802" w:type="dxa"/>
                  <w:vAlign w:val="center"/>
                </w:tcPr>
                <w:p w14:paraId="492C897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256</w:t>
                  </w:r>
                </w:p>
              </w:tc>
              <w:tc>
                <w:tcPr>
                  <w:tcW w:w="1810" w:type="dxa"/>
                  <w:vAlign w:val="center"/>
                </w:tcPr>
                <w:p w14:paraId="12C62E0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13.82</w:t>
                  </w:r>
                </w:p>
              </w:tc>
            </w:tr>
            <w:tr w14:paraId="6E0C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1" w:type="dxa"/>
                  <w:vAlign w:val="center"/>
                </w:tcPr>
                <w:p w14:paraId="2752465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合计</w:t>
                  </w:r>
                </w:p>
              </w:tc>
              <w:tc>
                <w:tcPr>
                  <w:tcW w:w="1915" w:type="dxa"/>
                  <w:vAlign w:val="center"/>
                </w:tcPr>
                <w:p w14:paraId="7F83FFD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c>
                <w:tcPr>
                  <w:tcW w:w="1802" w:type="dxa"/>
                  <w:vAlign w:val="center"/>
                </w:tcPr>
                <w:p w14:paraId="2124599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c>
                <w:tcPr>
                  <w:tcW w:w="1810" w:type="dxa"/>
                  <w:vAlign w:val="center"/>
                </w:tcPr>
                <w:p w14:paraId="07FB44A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0000FF"/>
                      <w:sz w:val="21"/>
                      <w:szCs w:val="21"/>
                      <w:u w:val="none" w:color="auto"/>
                      <w:lang w:val="en-US" w:eastAsia="zh-CN"/>
                    </w:rPr>
                    <w:t>14.32</w:t>
                  </w:r>
                </w:p>
              </w:tc>
            </w:tr>
          </w:tbl>
          <w:p w14:paraId="006BBAD9">
            <w:pPr>
              <w:spacing w:line="480" w:lineRule="exact"/>
              <w:ind w:firstLine="480"/>
              <w:rPr>
                <w:rFonts w:hint="default" w:hAnsi="宋体" w:eastAsia="宋体" w:cs="Times New Roman"/>
                <w:color w:val="auto"/>
                <w:sz w:val="24"/>
                <w:u w:val="none" w:color="auto"/>
                <w:lang w:val="en-US" w:eastAsia="zh-CN"/>
              </w:rPr>
            </w:pPr>
            <w:r>
              <w:rPr>
                <w:rFonts w:hAnsi="宋体"/>
                <w:color w:val="auto"/>
                <w:sz w:val="24"/>
                <w:u w:val="none" w:color="auto"/>
              </w:rPr>
              <w:t>由上表可知，项目污泥量约为</w:t>
            </w:r>
            <w:r>
              <w:rPr>
                <w:rFonts w:hint="eastAsia" w:hAnsi="宋体"/>
                <w:color w:val="auto"/>
                <w:sz w:val="24"/>
                <w:u w:val="none" w:color="auto"/>
                <w:lang w:val="en-US" w:eastAsia="zh-CN"/>
              </w:rPr>
              <w:t>18.70kg</w:t>
            </w:r>
            <w:r>
              <w:rPr>
                <w:rFonts w:hAnsi="宋体"/>
                <w:color w:val="auto"/>
                <w:sz w:val="24"/>
                <w:u w:val="none" w:color="auto"/>
              </w:rPr>
              <w:t>/d、</w:t>
            </w:r>
            <w:r>
              <w:rPr>
                <w:rFonts w:hint="eastAsia" w:hAnsi="宋体"/>
                <w:color w:val="auto"/>
                <w:sz w:val="24"/>
                <w:u w:val="none" w:color="auto"/>
                <w:lang w:val="en-US" w:eastAsia="zh-CN"/>
              </w:rPr>
              <w:t>6.82</w:t>
            </w:r>
            <w:r>
              <w:rPr>
                <w:rFonts w:hAnsi="宋体"/>
                <w:color w:val="auto"/>
                <w:sz w:val="24"/>
                <w:u w:val="none" w:color="auto"/>
              </w:rPr>
              <w:t>t/a（干）。污泥经</w:t>
            </w:r>
            <w:r>
              <w:rPr>
                <w:rFonts w:hint="eastAsia"/>
                <w:color w:val="auto"/>
                <w:u w:val="none" w:color="auto"/>
                <w:lang w:val="en-US" w:eastAsia="zh-CN"/>
              </w:rPr>
              <w:t>地埋式污水处理站自带的压滤装置压滤</w:t>
            </w:r>
            <w:r>
              <w:rPr>
                <w:rFonts w:hAnsi="宋体"/>
                <w:color w:val="auto"/>
                <w:sz w:val="24"/>
                <w:u w:val="none" w:color="auto"/>
              </w:rPr>
              <w:t>后的含水率约60%，则项目外排污泥约为</w:t>
            </w:r>
            <w:r>
              <w:rPr>
                <w:rFonts w:hint="eastAsia" w:hAnsi="宋体"/>
                <w:color w:val="0000FF"/>
                <w:sz w:val="24"/>
                <w:u w:val="none" w:color="auto"/>
                <w:lang w:val="en-US" w:eastAsia="zh-CN"/>
              </w:rPr>
              <w:t>13.07</w:t>
            </w:r>
            <w:r>
              <w:rPr>
                <w:rFonts w:hAnsi="宋体"/>
                <w:color w:val="auto"/>
                <w:sz w:val="24"/>
                <w:u w:val="none" w:color="auto"/>
              </w:rPr>
              <w:t>t/a，每年清理</w:t>
            </w:r>
            <w:r>
              <w:rPr>
                <w:rFonts w:hint="eastAsia" w:hAnsi="宋体"/>
                <w:color w:val="auto"/>
                <w:sz w:val="24"/>
                <w:u w:val="none" w:color="auto"/>
              </w:rPr>
              <w:t>8</w:t>
            </w:r>
            <w:r>
              <w:rPr>
                <w:rFonts w:hint="eastAsia" w:hAnsi="宋体"/>
                <w:color w:val="auto"/>
                <w:sz w:val="24"/>
                <w:u w:val="none" w:color="auto"/>
                <w:lang w:eastAsia="zh-CN"/>
              </w:rPr>
              <w:t>～</w:t>
            </w:r>
            <w:r>
              <w:rPr>
                <w:rFonts w:hint="eastAsia" w:hAnsi="宋体"/>
                <w:color w:val="auto"/>
                <w:sz w:val="24"/>
                <w:u w:val="none" w:color="auto"/>
              </w:rPr>
              <w:t>10</w:t>
            </w:r>
            <w:r>
              <w:rPr>
                <w:rFonts w:hAnsi="宋体"/>
                <w:color w:val="auto"/>
                <w:sz w:val="24"/>
                <w:u w:val="none" w:color="auto"/>
              </w:rPr>
              <w:t>次，污泥中含较多的细菌、病毒等有害物质，格栅栅渣和污水处理站的剩余污泥每次清理后及时撒上一层石灰</w:t>
            </w:r>
            <w:r>
              <w:rPr>
                <w:rFonts w:ascii="Times New Roman" w:hAnsi="宋体" w:eastAsia="宋体" w:cs="Times New Roman"/>
                <w:color w:val="auto"/>
                <w:sz w:val="24"/>
                <w:u w:val="none" w:color="auto"/>
              </w:rPr>
              <w:t>粉进行消毒、去异味，</w:t>
            </w:r>
            <w:r>
              <w:rPr>
                <w:rFonts w:hint="eastAsia" w:hAnsi="宋体" w:cs="Times New Roman"/>
                <w:color w:val="auto"/>
                <w:sz w:val="24"/>
                <w:u w:val="none" w:color="auto"/>
                <w:lang w:val="en-US" w:eastAsia="zh-CN"/>
              </w:rPr>
              <w:t>经检测</w:t>
            </w:r>
            <w:r>
              <w:rPr>
                <w:rFonts w:hint="eastAsia" w:ascii="Times New Roman" w:hAnsi="宋体" w:eastAsia="宋体" w:cs="Times New Roman"/>
                <w:color w:val="auto"/>
                <w:sz w:val="24"/>
                <w:u w:val="none" w:color="auto"/>
                <w:lang w:val="en-US" w:eastAsia="zh-CN"/>
              </w:rPr>
              <w:t>满足《医疗机构水污染物排放标准》（</w:t>
            </w:r>
            <w:r>
              <w:rPr>
                <w:rFonts w:hint="default" w:ascii="Times New Roman" w:hAnsi="宋体" w:eastAsia="宋体" w:cs="Times New Roman"/>
                <w:color w:val="auto"/>
                <w:sz w:val="24"/>
                <w:u w:val="none" w:color="auto"/>
                <w:lang w:val="en-US" w:eastAsia="zh-CN"/>
              </w:rPr>
              <w:t>GB18466-2005</w:t>
            </w:r>
            <w:r>
              <w:rPr>
                <w:rFonts w:hint="eastAsia" w:ascii="Times New Roman" w:hAnsi="宋体" w:eastAsia="宋体" w:cs="Times New Roman"/>
                <w:color w:val="auto"/>
                <w:sz w:val="24"/>
                <w:u w:val="none" w:color="auto"/>
                <w:lang w:val="en-US" w:eastAsia="zh-CN"/>
              </w:rPr>
              <w:t xml:space="preserve">）表 </w:t>
            </w:r>
            <w:r>
              <w:rPr>
                <w:rFonts w:hint="default" w:ascii="Times New Roman" w:hAnsi="宋体" w:eastAsia="宋体" w:cs="Times New Roman"/>
                <w:color w:val="auto"/>
                <w:sz w:val="24"/>
                <w:u w:val="none" w:color="auto"/>
                <w:lang w:val="en-US" w:eastAsia="zh-CN"/>
              </w:rPr>
              <w:t xml:space="preserve">4 </w:t>
            </w:r>
            <w:r>
              <w:rPr>
                <w:rFonts w:hint="eastAsia" w:ascii="Times New Roman" w:hAnsi="宋体" w:eastAsia="宋体" w:cs="Times New Roman"/>
                <w:color w:val="auto"/>
                <w:sz w:val="24"/>
                <w:u w:val="none" w:color="auto"/>
                <w:lang w:val="en-US" w:eastAsia="zh-CN"/>
              </w:rPr>
              <w:t>综合医疗机构和其他医疗机构污泥控制标准后，</w:t>
            </w:r>
            <w:r>
              <w:rPr>
                <w:rFonts w:hint="eastAsia" w:ascii="Times New Roman" w:hAnsi="宋体" w:eastAsia="宋体" w:cs="Times New Roman"/>
                <w:color w:val="auto"/>
                <w:sz w:val="24"/>
                <w:u w:val="none" w:color="auto"/>
              </w:rPr>
              <w:t>项目将该部分医疗废物交由有此类危险废物处置资质的单位处理</w:t>
            </w:r>
            <w:r>
              <w:rPr>
                <w:rFonts w:ascii="Times New Roman" w:hAnsi="宋体" w:eastAsia="宋体" w:cs="Times New Roman"/>
                <w:color w:val="auto"/>
                <w:sz w:val="24"/>
                <w:u w:val="none" w:color="auto"/>
              </w:rPr>
              <w:t>。</w:t>
            </w:r>
          </w:p>
          <w:p w14:paraId="7CB6B64E">
            <w:pPr>
              <w:spacing w:line="480" w:lineRule="exact"/>
              <w:ind w:firstLine="480"/>
              <w:rPr>
                <w:rFonts w:hint="default" w:ascii="Times New Roman" w:hAnsi="宋体" w:eastAsia="宋体" w:cs="Times New Roman"/>
                <w:color w:val="auto"/>
                <w:sz w:val="24"/>
                <w:u w:val="none" w:color="auto"/>
                <w:lang w:val="en-US" w:eastAsia="zh-CN"/>
              </w:rPr>
            </w:pPr>
            <w:r>
              <w:rPr>
                <w:rFonts w:hint="eastAsia" w:hAnsi="宋体" w:cs="Times New Roman"/>
                <w:color w:val="auto"/>
                <w:sz w:val="24"/>
                <w:u w:val="none" w:color="auto"/>
                <w:lang w:val="en-US" w:eastAsia="zh-CN"/>
              </w:rPr>
              <w:t>④</w:t>
            </w:r>
            <w:r>
              <w:rPr>
                <w:rFonts w:hint="eastAsia" w:ascii="Times New Roman" w:hAnsi="宋体" w:eastAsia="宋体" w:cs="Times New Roman"/>
                <w:color w:val="auto"/>
                <w:sz w:val="24"/>
                <w:u w:val="none" w:color="auto"/>
                <w:lang w:val="en-US" w:eastAsia="zh-CN"/>
              </w:rPr>
              <w:t>废紫外线灯管</w:t>
            </w:r>
          </w:p>
          <w:p w14:paraId="46D479A8">
            <w:pPr>
              <w:spacing w:line="480" w:lineRule="exact"/>
              <w:ind w:firstLine="480"/>
              <w:rPr>
                <w:rFonts w:hint="eastAsia" w:ascii="Times New Roman" w:hAnsi="宋体" w:eastAsia="宋体" w:cs="Times New Roman"/>
                <w:color w:val="auto"/>
                <w:sz w:val="24"/>
                <w:u w:val="none" w:color="auto"/>
                <w:lang w:val="en-US" w:eastAsia="zh-CN"/>
              </w:rPr>
            </w:pPr>
            <w:r>
              <w:rPr>
                <w:rFonts w:hint="eastAsia" w:ascii="Times New Roman" w:hAnsi="宋体" w:eastAsia="宋体" w:cs="Times New Roman"/>
                <w:color w:val="auto"/>
                <w:sz w:val="24"/>
                <w:u w:val="none" w:color="auto"/>
                <w:lang w:val="en-US" w:eastAsia="zh-CN"/>
              </w:rPr>
              <w:t>本项目采用紫外消毒方式，废紫外线灯管按</w:t>
            </w:r>
            <w:r>
              <w:rPr>
                <w:rFonts w:hint="eastAsia" w:hAnsi="宋体" w:cs="Times New Roman"/>
                <w:color w:val="0000FF"/>
                <w:sz w:val="24"/>
                <w:u w:val="none" w:color="auto"/>
                <w:lang w:val="en-US" w:eastAsia="zh-CN"/>
              </w:rPr>
              <w:t>40</w:t>
            </w:r>
            <w:r>
              <w:rPr>
                <w:rFonts w:hint="eastAsia" w:ascii="Times New Roman" w:hAnsi="宋体" w:eastAsia="宋体" w:cs="Times New Roman"/>
                <w:color w:val="0000FF"/>
                <w:sz w:val="24"/>
                <w:u w:val="none" w:color="auto"/>
                <w:lang w:val="en-US" w:eastAsia="zh-CN"/>
              </w:rPr>
              <w:t>只/年计算，约0.0</w:t>
            </w:r>
            <w:r>
              <w:rPr>
                <w:rFonts w:hint="eastAsia" w:hAnsi="宋体" w:cs="Times New Roman"/>
                <w:color w:val="0000FF"/>
                <w:sz w:val="24"/>
                <w:u w:val="none" w:color="auto"/>
                <w:lang w:val="en-US" w:eastAsia="zh-CN"/>
              </w:rPr>
              <w:t>4</w:t>
            </w:r>
            <w:r>
              <w:rPr>
                <w:rFonts w:hint="eastAsia" w:ascii="Times New Roman" w:hAnsi="宋体" w:eastAsia="宋体" w:cs="Times New Roman"/>
                <w:color w:val="0000FF"/>
                <w:sz w:val="24"/>
                <w:u w:val="none" w:color="auto"/>
                <w:lang w:val="en-US" w:eastAsia="zh-CN"/>
              </w:rPr>
              <w:t>t/a</w:t>
            </w:r>
            <w:r>
              <w:rPr>
                <w:rFonts w:hint="eastAsia" w:ascii="Times New Roman" w:hAnsi="宋体" w:eastAsia="宋体" w:cs="Times New Roman"/>
                <w:color w:val="auto"/>
                <w:sz w:val="24"/>
                <w:u w:val="none" w:color="auto"/>
                <w:lang w:val="en-US" w:eastAsia="zh-CN"/>
              </w:rPr>
              <w:t>。根据</w:t>
            </w:r>
            <w:r>
              <w:rPr>
                <w:rFonts w:hint="eastAsia" w:hAnsi="宋体" w:cs="Times New Roman"/>
                <w:color w:val="auto"/>
                <w:sz w:val="24"/>
                <w:u w:val="none" w:color="auto"/>
                <w:lang w:val="en-US" w:eastAsia="zh-CN"/>
              </w:rPr>
              <w:t>《国家危险废物名录》（2025年）</w:t>
            </w:r>
            <w:r>
              <w:rPr>
                <w:rFonts w:hint="eastAsia" w:ascii="Times New Roman" w:hAnsi="宋体" w:eastAsia="宋体" w:cs="Times New Roman"/>
                <w:color w:val="auto"/>
                <w:sz w:val="24"/>
                <w:u w:val="none" w:color="auto"/>
                <w:lang w:val="en-US" w:eastAsia="zh-CN"/>
              </w:rPr>
              <w:t>的规定，废紫外线灯管属于危险废物（类别为：HW29含汞废物，编号为：900-023-29生产、销售及使用过程中产生的废含汞荧光灯管及其他废含汞电光源），</w:t>
            </w:r>
            <w:r>
              <w:rPr>
                <w:rFonts w:hint="eastAsia" w:ascii="Times New Roman" w:hAnsi="宋体" w:eastAsia="宋体" w:cs="Times New Roman"/>
                <w:strike w:val="0"/>
                <w:dstrike w:val="0"/>
                <w:color w:val="auto"/>
                <w:sz w:val="24"/>
                <w:u w:val="none" w:color="auto"/>
                <w:lang w:val="en-US" w:eastAsia="zh-CN"/>
              </w:rPr>
              <w:t>暂存于危险废物暂存间，定期</w:t>
            </w:r>
            <w:r>
              <w:rPr>
                <w:rFonts w:hint="eastAsia" w:hAnsi="宋体" w:cs="Times New Roman"/>
                <w:strike w:val="0"/>
                <w:dstrike w:val="0"/>
                <w:color w:val="auto"/>
                <w:sz w:val="24"/>
                <w:u w:val="none" w:color="auto"/>
                <w:lang w:val="en-US" w:eastAsia="zh-CN"/>
              </w:rPr>
              <w:t>交由</w:t>
            </w:r>
            <w:r>
              <w:rPr>
                <w:rFonts w:hint="eastAsia" w:ascii="Times New Roman" w:hAnsi="宋体" w:eastAsia="宋体" w:cs="Times New Roman"/>
                <w:color w:val="auto"/>
                <w:sz w:val="24"/>
                <w:u w:val="none" w:color="auto"/>
                <w:lang w:val="en-US" w:eastAsia="zh-CN"/>
              </w:rPr>
              <w:t>委托有此类危险废物处置资质的单位处理。</w:t>
            </w:r>
          </w:p>
          <w:p w14:paraId="056033CF">
            <w:pPr>
              <w:spacing w:line="480" w:lineRule="exact"/>
              <w:ind w:firstLine="480"/>
              <w:rPr>
                <w:rFonts w:hint="eastAsia" w:hAnsi="宋体"/>
                <w:color w:val="auto"/>
                <w:sz w:val="24"/>
                <w:u w:val="none" w:color="auto"/>
              </w:rPr>
            </w:pPr>
            <w:r>
              <w:rPr>
                <w:rFonts w:hint="eastAsia" w:hAnsi="宋体"/>
                <w:color w:val="auto"/>
                <w:sz w:val="24"/>
                <w:u w:val="none" w:color="auto"/>
              </w:rPr>
              <w:t>（</w:t>
            </w:r>
            <w:r>
              <w:rPr>
                <w:rFonts w:hint="eastAsia" w:hAnsi="宋体"/>
                <w:color w:val="auto"/>
                <w:sz w:val="24"/>
                <w:u w:val="none" w:color="auto"/>
                <w:lang w:val="en-US" w:eastAsia="zh-CN"/>
              </w:rPr>
              <w:t>二</w:t>
            </w:r>
            <w:r>
              <w:rPr>
                <w:rFonts w:hint="eastAsia" w:hAnsi="宋体"/>
                <w:color w:val="auto"/>
                <w:sz w:val="24"/>
                <w:u w:val="none" w:color="auto"/>
              </w:rPr>
              <w:t>）一般性固体废物</w:t>
            </w:r>
          </w:p>
          <w:p w14:paraId="183A6F48">
            <w:pPr>
              <w:spacing w:line="480" w:lineRule="exact"/>
              <w:ind w:firstLine="480"/>
              <w:rPr>
                <w:rFonts w:hint="eastAsia" w:hAnsi="宋体" w:eastAsia="宋体"/>
                <w:color w:val="auto"/>
                <w:sz w:val="24"/>
                <w:u w:val="none" w:color="auto"/>
                <w:lang w:eastAsia="zh-CN"/>
              </w:rPr>
            </w:pPr>
            <w:r>
              <w:rPr>
                <w:rFonts w:hint="eastAsia" w:hAnsi="宋体"/>
                <w:color w:val="auto"/>
                <w:sz w:val="24"/>
                <w:u w:val="none" w:color="auto"/>
                <w:lang w:eastAsia="zh-CN"/>
              </w:rPr>
              <w:t>（</w:t>
            </w:r>
            <w:r>
              <w:rPr>
                <w:rFonts w:hint="eastAsia" w:hAnsi="宋体"/>
                <w:color w:val="auto"/>
                <w:sz w:val="24"/>
                <w:u w:val="none" w:color="auto"/>
                <w:lang w:val="en-US" w:eastAsia="zh-CN"/>
              </w:rPr>
              <w:t>1</w:t>
            </w:r>
            <w:r>
              <w:rPr>
                <w:rFonts w:hint="eastAsia" w:hAnsi="宋体"/>
                <w:color w:val="auto"/>
                <w:sz w:val="24"/>
                <w:u w:val="none" w:color="auto"/>
                <w:lang w:eastAsia="zh-CN"/>
              </w:rPr>
              <w:t>）未被感染的一次性卫生用品和医疗用品、未被感染的输液瓶（袋）</w:t>
            </w:r>
          </w:p>
          <w:p w14:paraId="7D5AFBBE">
            <w:pPr>
              <w:spacing w:line="480" w:lineRule="exact"/>
              <w:ind w:firstLine="480"/>
              <w:rPr>
                <w:rFonts w:hint="default" w:hAnsi="宋体"/>
                <w:color w:val="auto"/>
                <w:sz w:val="24"/>
                <w:u w:val="none" w:color="auto"/>
                <w:lang w:val="en-US" w:eastAsia="zh-CN"/>
              </w:rPr>
            </w:pPr>
            <w:r>
              <w:rPr>
                <w:rFonts w:hint="eastAsia" w:hAnsi="宋体"/>
                <w:color w:val="auto"/>
                <w:sz w:val="24"/>
                <w:u w:val="none" w:color="auto"/>
                <w:lang w:val="en-US" w:eastAsia="zh-CN"/>
              </w:rPr>
              <w:t>根据《医疗废物分类名录》（2021 年版），非传染病区使用或者未用于传染病患者、疑似传染病患者以及采取隔离措施的其他患者的输液瓶（袋），盛装消毒剂、透析液的空容器，一次性医用外包装物，尿杯，纸巾、湿巾、尿不湿、卫生巾、护理垫等一次性卫生用品，医用织物以及使用后的大、小便器等不再属于医疗废物，</w:t>
            </w:r>
            <w:r>
              <w:rPr>
                <w:rFonts w:hint="eastAsia" w:hAnsi="宋体"/>
                <w:color w:val="auto"/>
                <w:sz w:val="24"/>
                <w:u w:val="none" w:color="auto"/>
              </w:rPr>
              <w:t>用于其他用途时应符合不危害人体健康的原则。根据项目日常运营情况估算，项目</w:t>
            </w:r>
            <w:r>
              <w:rPr>
                <w:rFonts w:hint="eastAsia" w:hAnsi="宋体"/>
                <w:color w:val="auto"/>
                <w:sz w:val="24"/>
                <w:u w:val="none" w:color="auto"/>
                <w:lang w:eastAsia="zh-CN"/>
              </w:rPr>
              <w:t>未被感染的</w:t>
            </w:r>
            <w:r>
              <w:rPr>
                <w:rFonts w:hint="eastAsia" w:hAnsi="宋体"/>
                <w:color w:val="auto"/>
                <w:sz w:val="24"/>
                <w:u w:val="none" w:color="auto"/>
                <w:lang w:val="en-US" w:eastAsia="zh-CN"/>
              </w:rPr>
              <w:t>一次性</w:t>
            </w:r>
            <w:r>
              <w:rPr>
                <w:rFonts w:hint="eastAsia" w:hAnsi="宋体"/>
                <w:color w:val="auto"/>
                <w:sz w:val="24"/>
                <w:u w:val="none" w:color="auto"/>
                <w:lang w:eastAsia="zh-CN"/>
              </w:rPr>
              <w:t>医疗用品、输液瓶（袋）</w:t>
            </w:r>
            <w:r>
              <w:rPr>
                <w:rFonts w:hint="eastAsia" w:hAnsi="宋体"/>
                <w:color w:val="auto"/>
                <w:sz w:val="24"/>
                <w:u w:val="none" w:color="auto"/>
                <w:lang w:val="en-US" w:eastAsia="zh-CN"/>
              </w:rPr>
              <w:t>产生</w:t>
            </w:r>
            <w:r>
              <w:rPr>
                <w:rFonts w:hint="eastAsia" w:hAnsi="宋体"/>
                <w:color w:val="auto"/>
                <w:sz w:val="24"/>
                <w:u w:val="none" w:color="auto"/>
              </w:rPr>
              <w:t>总量为</w:t>
            </w:r>
            <w:r>
              <w:rPr>
                <w:rFonts w:hint="eastAsia" w:hAnsi="宋体"/>
                <w:color w:val="0000FF"/>
                <w:sz w:val="24"/>
                <w:u w:val="none" w:color="auto"/>
                <w:lang w:val="en-US" w:eastAsia="zh-CN"/>
              </w:rPr>
              <w:t>3.2</w:t>
            </w:r>
            <w:r>
              <w:rPr>
                <w:rFonts w:hint="eastAsia" w:hAnsi="宋体"/>
                <w:color w:val="0000FF"/>
                <w:sz w:val="24"/>
                <w:u w:val="none" w:color="auto"/>
              </w:rPr>
              <w:t>t/a</w:t>
            </w:r>
            <w:r>
              <w:rPr>
                <w:rFonts w:hint="eastAsia" w:hAnsi="宋体"/>
                <w:color w:val="0000FF"/>
                <w:sz w:val="24"/>
                <w:u w:val="none" w:color="auto"/>
                <w:lang w:eastAsia="zh-CN"/>
              </w:rPr>
              <w:t>，</w:t>
            </w:r>
            <w:r>
              <w:rPr>
                <w:rFonts w:hint="eastAsia" w:hAnsi="宋体"/>
                <w:color w:val="auto"/>
                <w:sz w:val="24"/>
                <w:u w:val="none" w:color="auto"/>
                <w:lang w:val="en-US" w:eastAsia="zh-CN"/>
              </w:rPr>
              <w:t>该部分废物</w:t>
            </w:r>
            <w:r>
              <w:rPr>
                <w:rFonts w:hint="eastAsia" w:hAnsi="宋体"/>
                <w:color w:val="auto"/>
                <w:sz w:val="24"/>
                <w:u w:val="none" w:color="auto"/>
                <w:lang w:eastAsia="zh-CN"/>
              </w:rPr>
              <w:t>交由具备合法资质、经营范围包含“未被污染的输液瓶（袋）等”条款的公司处置，具体回收事宜由</w:t>
            </w:r>
            <w:r>
              <w:rPr>
                <w:rFonts w:hint="eastAsia" w:hAnsi="宋体"/>
                <w:color w:val="auto"/>
                <w:sz w:val="24"/>
                <w:u w:val="none" w:color="auto"/>
                <w:lang w:val="en-US" w:eastAsia="zh-CN"/>
              </w:rPr>
              <w:t>运营单位</w:t>
            </w:r>
            <w:r>
              <w:rPr>
                <w:rFonts w:hint="eastAsia" w:hAnsi="宋体"/>
                <w:color w:val="auto"/>
                <w:sz w:val="24"/>
                <w:u w:val="none" w:color="auto"/>
                <w:lang w:eastAsia="zh-CN"/>
              </w:rPr>
              <w:t>与合法资质的公司双方具体协</w:t>
            </w:r>
            <w:r>
              <w:rPr>
                <w:rFonts w:hint="eastAsia" w:hAnsi="宋体"/>
                <w:color w:val="auto"/>
                <w:sz w:val="24"/>
                <w:highlight w:val="none"/>
                <w:u w:val="none" w:color="auto"/>
                <w:lang w:eastAsia="zh-CN"/>
              </w:rPr>
              <w:t>商，并履行相关手续；</w:t>
            </w:r>
            <w:r>
              <w:rPr>
                <w:rFonts w:hint="eastAsia" w:hAnsi="宋体"/>
                <w:color w:val="auto"/>
                <w:sz w:val="24"/>
                <w:highlight w:val="none"/>
                <w:u w:val="none" w:color="auto"/>
                <w:lang w:val="en-US" w:eastAsia="zh-CN"/>
              </w:rPr>
              <w:t>未被感染的一次性卫生用品产生量为</w:t>
            </w:r>
            <w:r>
              <w:rPr>
                <w:rFonts w:hint="eastAsia" w:hAnsi="宋体"/>
                <w:color w:val="0000FF"/>
                <w:sz w:val="24"/>
                <w:highlight w:val="none"/>
                <w:u w:val="none" w:color="auto"/>
                <w:lang w:val="en-US" w:eastAsia="zh-CN"/>
              </w:rPr>
              <w:t>0.3t/a</w:t>
            </w:r>
            <w:r>
              <w:rPr>
                <w:rFonts w:hint="eastAsia" w:hAnsi="宋体"/>
                <w:color w:val="auto"/>
                <w:sz w:val="24"/>
                <w:highlight w:val="none"/>
                <w:u w:val="none" w:color="auto"/>
                <w:lang w:val="en-US" w:eastAsia="zh-CN"/>
              </w:rPr>
              <w:t>，可作为生活垃圾交给环卫处理。</w:t>
            </w:r>
          </w:p>
          <w:p w14:paraId="60FABEF0">
            <w:pPr>
              <w:numPr>
                <w:ilvl w:val="0"/>
                <w:numId w:val="0"/>
              </w:numPr>
              <w:spacing w:line="480" w:lineRule="exact"/>
              <w:ind w:left="482" w:leftChars="0"/>
              <w:rPr>
                <w:rFonts w:hint="eastAsia" w:hAnsi="宋体"/>
                <w:color w:val="auto"/>
                <w:sz w:val="24"/>
                <w:u w:val="none" w:color="auto"/>
                <w:lang w:val="en-US" w:eastAsia="zh-CN"/>
              </w:rPr>
            </w:pPr>
            <w:r>
              <w:rPr>
                <w:rFonts w:hint="eastAsia" w:hAnsi="宋体"/>
                <w:color w:val="auto"/>
                <w:sz w:val="24"/>
                <w:u w:val="none" w:color="auto"/>
                <w:lang w:val="en-US" w:eastAsia="zh-CN"/>
              </w:rPr>
              <w:t>（2）中药药渣</w:t>
            </w:r>
          </w:p>
          <w:p w14:paraId="75BC7B3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textAlignment w:val="auto"/>
              <w:rPr>
                <w:rFonts w:hint="default" w:hAnsi="宋体"/>
                <w:color w:val="auto"/>
                <w:sz w:val="24"/>
                <w:u w:val="none" w:color="auto"/>
                <w:lang w:val="en-US" w:eastAsia="zh-CN"/>
              </w:rPr>
            </w:pPr>
            <w:r>
              <w:rPr>
                <w:rFonts w:hint="default" w:hAnsi="宋体"/>
                <w:color w:val="auto"/>
                <w:sz w:val="24"/>
                <w:u w:val="none" w:color="auto"/>
                <w:lang w:val="en-US" w:eastAsia="zh-CN"/>
              </w:rPr>
              <w:t>本项目设置有煎药机，煎药过程会产生中药药渣，根据建设单位提供资料，项目运营期中药药渣产生量约为0.</w:t>
            </w:r>
            <w:r>
              <w:rPr>
                <w:rFonts w:hint="eastAsia" w:hAnsi="宋体"/>
                <w:color w:val="auto"/>
                <w:sz w:val="24"/>
                <w:u w:val="none" w:color="auto"/>
                <w:lang w:val="en-US" w:eastAsia="zh-CN"/>
              </w:rPr>
              <w:t>8</w:t>
            </w:r>
            <w:r>
              <w:rPr>
                <w:rFonts w:hint="default" w:hAnsi="宋体"/>
                <w:color w:val="auto"/>
                <w:sz w:val="24"/>
                <w:u w:val="none" w:color="auto"/>
                <w:lang w:val="en-US" w:eastAsia="zh-CN"/>
              </w:rPr>
              <w:t>t/a，经查阅</w:t>
            </w:r>
            <w:r>
              <w:rPr>
                <w:rFonts w:hint="eastAsia" w:hAnsi="宋体"/>
                <w:color w:val="auto"/>
                <w:sz w:val="24"/>
                <w:u w:val="none" w:color="auto"/>
                <w:lang w:val="en-US" w:eastAsia="zh-CN"/>
              </w:rPr>
              <w:t>《医疗废物分类名录》（2021 年版）</w:t>
            </w:r>
            <w:r>
              <w:rPr>
                <w:rFonts w:hint="default" w:hAnsi="宋体"/>
                <w:color w:val="auto"/>
                <w:sz w:val="24"/>
                <w:u w:val="none" w:color="auto"/>
                <w:lang w:val="en-US" w:eastAsia="zh-CN"/>
              </w:rPr>
              <w:t>，中药药渣不属于危险废物，集中收集后</w:t>
            </w:r>
            <w:r>
              <w:rPr>
                <w:rFonts w:hint="eastAsia" w:hAnsi="宋体"/>
                <w:color w:val="auto"/>
                <w:sz w:val="24"/>
                <w:u w:val="none" w:color="auto"/>
                <w:lang w:val="en-US" w:eastAsia="zh-CN"/>
              </w:rPr>
              <w:t>妥善保存，定期</w:t>
            </w:r>
            <w:r>
              <w:rPr>
                <w:rFonts w:hint="default" w:hAnsi="宋体"/>
                <w:color w:val="auto"/>
                <w:sz w:val="24"/>
                <w:u w:val="none" w:color="auto"/>
                <w:lang w:val="en-US" w:eastAsia="zh-CN"/>
              </w:rPr>
              <w:t>交由环卫部门统一处置。</w:t>
            </w:r>
          </w:p>
          <w:p w14:paraId="37D4051E">
            <w:pPr>
              <w:numPr>
                <w:ilvl w:val="0"/>
                <w:numId w:val="15"/>
              </w:numPr>
              <w:spacing w:line="480" w:lineRule="exact"/>
              <w:ind w:firstLine="480"/>
              <w:rPr>
                <w:rFonts w:hint="eastAsia" w:hAnsi="宋体"/>
                <w:color w:val="auto"/>
                <w:sz w:val="24"/>
                <w:u w:val="none" w:color="auto"/>
              </w:rPr>
            </w:pPr>
            <w:r>
              <w:rPr>
                <w:rFonts w:hint="eastAsia" w:hAnsi="宋体"/>
                <w:color w:val="auto"/>
                <w:sz w:val="24"/>
                <w:u w:val="none" w:color="auto"/>
              </w:rPr>
              <w:t>隔油池：食堂隔油池产生的废油约为</w:t>
            </w:r>
            <w:r>
              <w:rPr>
                <w:rFonts w:hint="eastAsia" w:hAnsi="宋体"/>
                <w:color w:val="0000FF"/>
                <w:sz w:val="24"/>
                <w:u w:val="none" w:color="auto"/>
                <w:lang w:val="en-US" w:eastAsia="zh-CN"/>
              </w:rPr>
              <w:t>1.8</w:t>
            </w:r>
            <w:r>
              <w:rPr>
                <w:rFonts w:hint="eastAsia" w:hAnsi="宋体"/>
                <w:color w:val="0000FF"/>
                <w:sz w:val="24"/>
                <w:u w:val="none" w:color="auto"/>
              </w:rPr>
              <w:t>t/a</w:t>
            </w:r>
            <w:r>
              <w:rPr>
                <w:rFonts w:hint="eastAsia" w:hAnsi="宋体"/>
                <w:color w:val="auto"/>
                <w:sz w:val="24"/>
                <w:u w:val="none" w:color="auto"/>
              </w:rPr>
              <w:t>，送由有此类废油回收处置资质的单位处理。</w:t>
            </w:r>
          </w:p>
          <w:p w14:paraId="2B87F31D">
            <w:pPr>
              <w:spacing w:line="480" w:lineRule="exact"/>
              <w:ind w:firstLine="480"/>
              <w:rPr>
                <w:rFonts w:hint="eastAsia" w:hAnsi="宋体"/>
                <w:color w:val="auto"/>
                <w:sz w:val="24"/>
                <w:u w:val="none" w:color="auto"/>
              </w:rPr>
            </w:pPr>
            <w:r>
              <w:rPr>
                <w:rFonts w:hint="eastAsia" w:hAnsi="宋体"/>
                <w:color w:val="auto"/>
                <w:sz w:val="24"/>
                <w:u w:val="none" w:color="auto"/>
              </w:rPr>
              <w:t>（</w:t>
            </w:r>
            <w:r>
              <w:rPr>
                <w:rFonts w:hint="eastAsia" w:hAnsi="宋体"/>
                <w:color w:val="auto"/>
                <w:sz w:val="24"/>
                <w:u w:val="none" w:color="auto"/>
                <w:lang w:val="en-US" w:eastAsia="zh-CN"/>
              </w:rPr>
              <w:t>四</w:t>
            </w:r>
            <w:r>
              <w:rPr>
                <w:rFonts w:hint="eastAsia" w:hAnsi="宋体"/>
                <w:color w:val="auto"/>
                <w:sz w:val="24"/>
                <w:u w:val="none" w:color="auto"/>
              </w:rPr>
              <w:t>）生活垃圾</w:t>
            </w:r>
          </w:p>
          <w:p w14:paraId="28795E79">
            <w:pPr>
              <w:spacing w:line="520" w:lineRule="exact"/>
              <w:ind w:firstLine="480" w:firstLineChars="200"/>
              <w:rPr>
                <w:color w:val="auto"/>
                <w:sz w:val="24"/>
                <w:u w:val="none" w:color="auto"/>
              </w:rPr>
            </w:pPr>
            <w:r>
              <w:rPr>
                <w:color w:val="auto"/>
                <w:sz w:val="24"/>
                <w:u w:val="none" w:color="auto"/>
              </w:rPr>
              <w:t>生活垃圾主要来源于医务及后勤服务人员</w:t>
            </w:r>
            <w:r>
              <w:rPr>
                <w:rFonts w:hint="eastAsia"/>
                <w:color w:val="auto"/>
                <w:sz w:val="24"/>
                <w:u w:val="none" w:color="auto"/>
              </w:rPr>
              <w:t>、</w:t>
            </w:r>
            <w:r>
              <w:rPr>
                <w:color w:val="auto"/>
                <w:sz w:val="24"/>
                <w:u w:val="none" w:color="auto"/>
              </w:rPr>
              <w:t>门诊病人、住院病人以及陪护家属产生的生活垃圾，产生量如下表：</w:t>
            </w:r>
          </w:p>
          <w:p w14:paraId="1C0D95A7">
            <w:pPr>
              <w:pStyle w:val="10"/>
              <w:numPr>
                <w:ilvl w:val="0"/>
                <w:numId w:val="3"/>
              </w:numPr>
              <w:ind w:left="0" w:firstLine="0" w:firstLineChars="0"/>
              <w:jc w:val="center"/>
              <w:rPr>
                <w:rFonts w:ascii="黑体" w:hAnsi="黑体" w:eastAsia="黑体"/>
                <w:b w:val="0"/>
                <w:color w:val="auto"/>
                <w:u w:val="none" w:color="auto"/>
              </w:rPr>
            </w:pPr>
            <w:bookmarkStart w:id="23" w:name="_Ref522742804"/>
            <w:r>
              <w:rPr>
                <w:rFonts w:ascii="黑体" w:hAnsi="黑体" w:eastAsia="黑体"/>
                <w:b w:val="0"/>
                <w:color w:val="auto"/>
                <w:u w:val="none" w:color="auto"/>
              </w:rPr>
              <w:t>项目生活垃圾产生情况</w:t>
            </w:r>
            <w:bookmarkEnd w:id="23"/>
          </w:p>
          <w:tbl>
            <w:tblPr>
              <w:tblStyle w:val="22"/>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1"/>
              <w:gridCol w:w="2320"/>
              <w:gridCol w:w="1588"/>
              <w:gridCol w:w="2489"/>
            </w:tblGrid>
            <w:tr w14:paraId="74B9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1" w:type="dxa"/>
                  <w:vAlign w:val="center"/>
                </w:tcPr>
                <w:p w14:paraId="2A09E19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来源</w:t>
                  </w:r>
                </w:p>
              </w:tc>
              <w:tc>
                <w:tcPr>
                  <w:tcW w:w="2320" w:type="dxa"/>
                  <w:vAlign w:val="center"/>
                </w:tcPr>
                <w:p w14:paraId="5D3D61D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产生系数</w:t>
                  </w:r>
                </w:p>
              </w:tc>
              <w:tc>
                <w:tcPr>
                  <w:tcW w:w="1588" w:type="dxa"/>
                  <w:vAlign w:val="center"/>
                </w:tcPr>
                <w:p w14:paraId="04CE126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数量（人）</w:t>
                  </w:r>
                </w:p>
              </w:tc>
              <w:tc>
                <w:tcPr>
                  <w:tcW w:w="2489" w:type="dxa"/>
                  <w:vAlign w:val="center"/>
                </w:tcPr>
                <w:p w14:paraId="6DEA074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产生量（kg/d）</w:t>
                  </w:r>
                </w:p>
              </w:tc>
            </w:tr>
            <w:tr w14:paraId="0F8F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1" w:type="dxa"/>
                  <w:vAlign w:val="center"/>
                </w:tcPr>
                <w:p w14:paraId="46C1BCF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医务及后勤服务人员</w:t>
                  </w:r>
                </w:p>
              </w:tc>
              <w:tc>
                <w:tcPr>
                  <w:tcW w:w="2320" w:type="dxa"/>
                  <w:vAlign w:val="center"/>
                </w:tcPr>
                <w:p w14:paraId="6C9D254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0.5kg/人·d</w:t>
                  </w:r>
                </w:p>
              </w:tc>
              <w:tc>
                <w:tcPr>
                  <w:tcW w:w="1588" w:type="dxa"/>
                  <w:vAlign w:val="center"/>
                </w:tcPr>
                <w:p w14:paraId="4B03D12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110</w:t>
                  </w:r>
                </w:p>
              </w:tc>
              <w:tc>
                <w:tcPr>
                  <w:tcW w:w="2489" w:type="dxa"/>
                  <w:vAlign w:val="center"/>
                </w:tcPr>
                <w:p w14:paraId="02FCA81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55</w:t>
                  </w:r>
                </w:p>
              </w:tc>
            </w:tr>
            <w:tr w14:paraId="27E5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1" w:type="dxa"/>
                  <w:vAlign w:val="center"/>
                </w:tcPr>
                <w:p w14:paraId="14D9650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门诊病人</w:t>
                  </w:r>
                </w:p>
              </w:tc>
              <w:tc>
                <w:tcPr>
                  <w:tcW w:w="2320" w:type="dxa"/>
                  <w:vAlign w:val="center"/>
                </w:tcPr>
                <w:p w14:paraId="26F1468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0.5kg/人·d</w:t>
                  </w:r>
                </w:p>
              </w:tc>
              <w:tc>
                <w:tcPr>
                  <w:tcW w:w="1588" w:type="dxa"/>
                  <w:vAlign w:val="center"/>
                </w:tcPr>
                <w:p w14:paraId="26B2954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50</w:t>
                  </w:r>
                </w:p>
              </w:tc>
              <w:tc>
                <w:tcPr>
                  <w:tcW w:w="2489" w:type="dxa"/>
                  <w:vAlign w:val="center"/>
                </w:tcPr>
                <w:p w14:paraId="311794D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25</w:t>
                  </w:r>
                </w:p>
              </w:tc>
            </w:tr>
            <w:tr w14:paraId="26B8C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1" w:type="dxa"/>
                  <w:vAlign w:val="center"/>
                </w:tcPr>
                <w:p w14:paraId="478D2D2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住院病人</w:t>
                  </w:r>
                </w:p>
              </w:tc>
              <w:tc>
                <w:tcPr>
                  <w:tcW w:w="2320" w:type="dxa"/>
                  <w:vAlign w:val="center"/>
                </w:tcPr>
                <w:p w14:paraId="1968CAA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1kg/人·d</w:t>
                  </w:r>
                </w:p>
              </w:tc>
              <w:tc>
                <w:tcPr>
                  <w:tcW w:w="1588" w:type="dxa"/>
                  <w:vAlign w:val="center"/>
                </w:tcPr>
                <w:p w14:paraId="5D5C051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0000FF"/>
                      <w:sz w:val="21"/>
                      <w:szCs w:val="21"/>
                      <w:u w:val="none" w:color="auto"/>
                      <w:lang w:val="en-US"/>
                    </w:rPr>
                  </w:pPr>
                  <w:r>
                    <w:rPr>
                      <w:rFonts w:hint="eastAsia" w:cs="Times New Roman"/>
                      <w:i w:val="0"/>
                      <w:iCs w:val="0"/>
                      <w:color w:val="0000FF"/>
                      <w:kern w:val="0"/>
                      <w:sz w:val="21"/>
                      <w:szCs w:val="21"/>
                      <w:u w:val="none" w:color="auto"/>
                      <w:lang w:val="en-US" w:eastAsia="zh-CN" w:bidi="ar"/>
                    </w:rPr>
                    <w:t>161</w:t>
                  </w:r>
                </w:p>
              </w:tc>
              <w:tc>
                <w:tcPr>
                  <w:tcW w:w="2489" w:type="dxa"/>
                  <w:vAlign w:val="center"/>
                </w:tcPr>
                <w:p w14:paraId="1C6E234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0000FF"/>
                      <w:sz w:val="21"/>
                      <w:szCs w:val="21"/>
                      <w:u w:val="none" w:color="auto"/>
                      <w:lang w:val="en-US"/>
                    </w:rPr>
                  </w:pPr>
                  <w:r>
                    <w:rPr>
                      <w:rFonts w:hint="eastAsia" w:cs="Times New Roman"/>
                      <w:i w:val="0"/>
                      <w:iCs w:val="0"/>
                      <w:color w:val="0000FF"/>
                      <w:kern w:val="0"/>
                      <w:sz w:val="21"/>
                      <w:szCs w:val="21"/>
                      <w:u w:val="none" w:color="auto"/>
                      <w:lang w:val="en-US" w:eastAsia="zh-CN" w:bidi="ar"/>
                    </w:rPr>
                    <w:t>161</w:t>
                  </w:r>
                </w:p>
              </w:tc>
            </w:tr>
            <w:tr w14:paraId="7D47F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1" w:type="dxa"/>
                  <w:vAlign w:val="center"/>
                </w:tcPr>
                <w:p w14:paraId="73B3892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合计</w:t>
                  </w:r>
                </w:p>
              </w:tc>
              <w:tc>
                <w:tcPr>
                  <w:tcW w:w="2320" w:type="dxa"/>
                  <w:vAlign w:val="center"/>
                </w:tcPr>
                <w:p w14:paraId="2E2B06F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c>
                <w:tcPr>
                  <w:tcW w:w="1588" w:type="dxa"/>
                  <w:vAlign w:val="center"/>
                </w:tcPr>
                <w:p w14:paraId="410A029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0000FF"/>
                      <w:sz w:val="21"/>
                      <w:szCs w:val="21"/>
                      <w:u w:val="none" w:color="auto"/>
                    </w:rPr>
                  </w:pPr>
                  <w:r>
                    <w:rPr>
                      <w:rFonts w:hint="default" w:ascii="Times New Roman" w:hAnsi="Times New Roman" w:eastAsia="宋体" w:cs="Times New Roman"/>
                      <w:i w:val="0"/>
                      <w:iCs w:val="0"/>
                      <w:color w:val="0000FF"/>
                      <w:kern w:val="0"/>
                      <w:sz w:val="21"/>
                      <w:szCs w:val="21"/>
                      <w:u w:val="none" w:color="auto"/>
                      <w:lang w:val="en-US" w:eastAsia="zh-CN" w:bidi="ar"/>
                    </w:rPr>
                    <w:t>/</w:t>
                  </w:r>
                </w:p>
              </w:tc>
              <w:tc>
                <w:tcPr>
                  <w:tcW w:w="2489" w:type="dxa"/>
                  <w:vAlign w:val="center"/>
                </w:tcPr>
                <w:p w14:paraId="7EEAFD7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0000FF"/>
                      <w:sz w:val="21"/>
                      <w:szCs w:val="21"/>
                      <w:u w:val="none" w:color="auto"/>
                      <w:lang w:val="en-US"/>
                    </w:rPr>
                  </w:pPr>
                  <w:r>
                    <w:rPr>
                      <w:rFonts w:hint="eastAsia" w:cs="Times New Roman"/>
                      <w:i w:val="0"/>
                      <w:iCs w:val="0"/>
                      <w:color w:val="0000FF"/>
                      <w:kern w:val="0"/>
                      <w:sz w:val="21"/>
                      <w:szCs w:val="21"/>
                      <w:u w:val="none" w:color="auto"/>
                      <w:lang w:val="en-US" w:eastAsia="zh-CN" w:bidi="ar"/>
                    </w:rPr>
                    <w:t>241</w:t>
                  </w:r>
                </w:p>
              </w:tc>
            </w:tr>
          </w:tbl>
          <w:p w14:paraId="068A48EB">
            <w:pPr>
              <w:spacing w:line="480" w:lineRule="exact"/>
              <w:ind w:firstLine="480"/>
              <w:rPr>
                <w:color w:val="auto"/>
                <w:sz w:val="24"/>
                <w:u w:val="none" w:color="auto"/>
              </w:rPr>
            </w:pPr>
            <w:r>
              <w:rPr>
                <w:color w:val="auto"/>
                <w:sz w:val="24"/>
                <w:u w:val="none" w:color="auto"/>
              </w:rPr>
              <w:t>营运期项目生活垃圾产生量约为</w:t>
            </w:r>
            <w:r>
              <w:rPr>
                <w:rFonts w:hint="eastAsia"/>
                <w:color w:val="0000FF"/>
                <w:sz w:val="24"/>
                <w:u w:val="none" w:color="auto"/>
                <w:lang w:val="en-US" w:eastAsia="zh-CN"/>
              </w:rPr>
              <w:t>241.0</w:t>
            </w:r>
            <w:r>
              <w:rPr>
                <w:color w:val="auto"/>
                <w:sz w:val="24"/>
                <w:u w:val="none" w:color="auto"/>
              </w:rPr>
              <w:t>kg/d，</w:t>
            </w:r>
            <w:r>
              <w:rPr>
                <w:rFonts w:hint="eastAsia"/>
                <w:color w:val="0000FF"/>
                <w:sz w:val="24"/>
                <w:u w:val="none" w:color="auto"/>
                <w:lang w:val="en-US" w:eastAsia="zh-CN"/>
              </w:rPr>
              <w:t>87.965</w:t>
            </w:r>
            <w:r>
              <w:rPr>
                <w:color w:val="auto"/>
                <w:sz w:val="24"/>
                <w:u w:val="none" w:color="auto"/>
              </w:rPr>
              <w:t>t/a</w:t>
            </w:r>
            <w:r>
              <w:rPr>
                <w:rFonts w:hint="eastAsia"/>
                <w:color w:val="auto"/>
                <w:sz w:val="24"/>
                <w:u w:val="none" w:color="auto"/>
              </w:rPr>
              <w:t>，</w:t>
            </w:r>
            <w:r>
              <w:rPr>
                <w:color w:val="auto"/>
                <w:sz w:val="24"/>
                <w:u w:val="none" w:color="auto"/>
              </w:rPr>
              <w:t>由环卫部门统一收集处理。</w:t>
            </w:r>
          </w:p>
          <w:p w14:paraId="7939D7C6">
            <w:pPr>
              <w:spacing w:line="480" w:lineRule="exact"/>
              <w:ind w:firstLine="480"/>
              <w:rPr>
                <w:rFonts w:hint="default"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由上，项目运营期</w:t>
            </w:r>
            <w:r>
              <w:rPr>
                <w:rFonts w:hint="eastAsia" w:cs="Times New Roman"/>
                <w:color w:val="auto"/>
                <w:sz w:val="24"/>
                <w:u w:val="none" w:color="auto"/>
                <w:lang w:val="en-US" w:eastAsia="zh-CN"/>
              </w:rPr>
              <w:t>危险废物（含</w:t>
            </w:r>
            <w:r>
              <w:rPr>
                <w:rFonts w:hint="eastAsia" w:ascii="Times New Roman" w:hAnsi="Times New Roman" w:eastAsia="宋体" w:cs="Times New Roman"/>
                <w:color w:val="auto"/>
                <w:sz w:val="24"/>
                <w:u w:val="none" w:color="auto"/>
                <w:lang w:val="en-US" w:eastAsia="zh-CN"/>
              </w:rPr>
              <w:t>医疗废物</w:t>
            </w:r>
            <w:r>
              <w:rPr>
                <w:rFonts w:hint="eastAsia" w:cs="Times New Roman"/>
                <w:color w:val="auto"/>
                <w:sz w:val="24"/>
                <w:u w:val="none" w:color="auto"/>
                <w:lang w:val="en-US" w:eastAsia="zh-CN"/>
              </w:rPr>
              <w:t>）</w:t>
            </w:r>
            <w:r>
              <w:rPr>
                <w:rFonts w:hint="eastAsia" w:ascii="Times New Roman" w:hAnsi="Times New Roman" w:eastAsia="宋体" w:cs="Times New Roman"/>
                <w:color w:val="auto"/>
                <w:sz w:val="24"/>
                <w:u w:val="none" w:color="auto"/>
                <w:lang w:val="en-US" w:eastAsia="zh-CN"/>
              </w:rPr>
              <w:t>产生情况如下表：</w:t>
            </w:r>
          </w:p>
          <w:p w14:paraId="6A8503AA">
            <w:pPr>
              <w:pStyle w:val="10"/>
              <w:numPr>
                <w:ilvl w:val="0"/>
                <w:numId w:val="3"/>
              </w:numPr>
              <w:ind w:left="0" w:firstLine="0" w:firstLineChars="0"/>
              <w:jc w:val="center"/>
              <w:rPr>
                <w:rFonts w:ascii="黑体" w:hAnsi="黑体" w:eastAsia="黑体"/>
                <w:b w:val="0"/>
                <w:color w:val="auto"/>
                <w:u w:val="none" w:color="auto"/>
              </w:rPr>
            </w:pPr>
            <w:r>
              <w:rPr>
                <w:rFonts w:hint="eastAsia" w:ascii="黑体" w:hAnsi="黑体" w:eastAsia="黑体"/>
                <w:b w:val="0"/>
                <w:color w:val="auto"/>
                <w:u w:val="none" w:color="auto"/>
                <w:lang w:val="en-US" w:eastAsia="zh-CN"/>
              </w:rPr>
              <w:t>危险废物（含医疗废物）</w:t>
            </w:r>
            <w:r>
              <w:rPr>
                <w:rFonts w:ascii="黑体" w:hAnsi="黑体" w:eastAsia="黑体"/>
                <w:b w:val="0"/>
                <w:color w:val="auto"/>
                <w:u w:val="none" w:color="auto"/>
              </w:rPr>
              <w:t>类别表</w:t>
            </w:r>
          </w:p>
          <w:tbl>
            <w:tblPr>
              <w:tblStyle w:val="22"/>
              <w:tblW w:w="91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8"/>
              <w:gridCol w:w="721"/>
              <w:gridCol w:w="688"/>
              <w:gridCol w:w="1031"/>
              <w:gridCol w:w="885"/>
              <w:gridCol w:w="784"/>
              <w:gridCol w:w="516"/>
              <w:gridCol w:w="1366"/>
              <w:gridCol w:w="840"/>
              <w:gridCol w:w="233"/>
              <w:gridCol w:w="327"/>
              <w:gridCol w:w="1313"/>
            </w:tblGrid>
            <w:tr w14:paraId="73948A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8" w:type="dxa"/>
                  <w:tcBorders>
                    <w:tl2br w:val="nil"/>
                    <w:tr2bl w:val="nil"/>
                  </w:tcBorders>
                  <w:shd w:val="clear" w:color="auto" w:fill="FFFFFF"/>
                  <w:vAlign w:val="center"/>
                </w:tcPr>
                <w:p w14:paraId="4519604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序</w:t>
                  </w:r>
                </w:p>
                <w:p w14:paraId="599CC7D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号</w:t>
                  </w:r>
                </w:p>
              </w:tc>
              <w:tc>
                <w:tcPr>
                  <w:tcW w:w="721" w:type="dxa"/>
                  <w:tcBorders>
                    <w:tl2br w:val="nil"/>
                    <w:tr2bl w:val="nil"/>
                  </w:tcBorders>
                  <w:shd w:val="clear" w:color="auto" w:fill="FFFFFF"/>
                  <w:vAlign w:val="center"/>
                </w:tcPr>
                <w:p w14:paraId="2AF5A4A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固废名</w:t>
                  </w:r>
                </w:p>
                <w:p w14:paraId="22E0CBD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称</w:t>
                  </w:r>
                </w:p>
              </w:tc>
              <w:tc>
                <w:tcPr>
                  <w:tcW w:w="688" w:type="dxa"/>
                  <w:tcBorders>
                    <w:tl2br w:val="nil"/>
                    <w:tr2bl w:val="nil"/>
                  </w:tcBorders>
                  <w:shd w:val="clear" w:color="auto" w:fill="FFFFFF"/>
                  <w:vAlign w:val="center"/>
                </w:tcPr>
                <w:p w14:paraId="01FE13B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固废</w:t>
                  </w:r>
                </w:p>
                <w:p w14:paraId="089C7D7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类别</w:t>
                  </w:r>
                </w:p>
              </w:tc>
              <w:tc>
                <w:tcPr>
                  <w:tcW w:w="1031" w:type="dxa"/>
                  <w:tcBorders>
                    <w:tl2br w:val="nil"/>
                    <w:tr2bl w:val="nil"/>
                  </w:tcBorders>
                  <w:shd w:val="clear" w:color="auto" w:fill="FFFFFF"/>
                  <w:vAlign w:val="center"/>
                </w:tcPr>
                <w:p w14:paraId="244C833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危险废</w:t>
                  </w:r>
                </w:p>
                <w:p w14:paraId="203E583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物代码</w:t>
                  </w:r>
                </w:p>
              </w:tc>
              <w:tc>
                <w:tcPr>
                  <w:tcW w:w="885" w:type="dxa"/>
                  <w:tcBorders>
                    <w:tl2br w:val="nil"/>
                    <w:tr2bl w:val="nil"/>
                  </w:tcBorders>
                  <w:shd w:val="clear" w:color="auto" w:fill="FFFFFF"/>
                  <w:vAlign w:val="center"/>
                </w:tcPr>
                <w:p w14:paraId="3A509C5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产生工序及装置</w:t>
                  </w:r>
                </w:p>
              </w:tc>
              <w:tc>
                <w:tcPr>
                  <w:tcW w:w="784" w:type="dxa"/>
                  <w:tcBorders>
                    <w:tl2br w:val="nil"/>
                    <w:tr2bl w:val="nil"/>
                  </w:tcBorders>
                  <w:shd w:val="clear" w:color="auto" w:fill="FFFFFF"/>
                  <w:vAlign w:val="center"/>
                </w:tcPr>
                <w:p w14:paraId="529D7B1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产生量 （吨</w:t>
                  </w:r>
                  <w:r>
                    <w:rPr>
                      <w:color w:val="auto"/>
                      <w:sz w:val="21"/>
                      <w:szCs w:val="21"/>
                      <w:u w:val="none" w:color="auto"/>
                      <w:lang w:eastAsia="en-US"/>
                    </w:rPr>
                    <w:t>/</w:t>
                  </w:r>
                  <w:r>
                    <w:rPr>
                      <w:color w:val="auto"/>
                      <w:sz w:val="21"/>
                      <w:szCs w:val="21"/>
                      <w:u w:val="none" w:color="auto"/>
                    </w:rPr>
                    <w:t>年）</w:t>
                  </w:r>
                </w:p>
              </w:tc>
              <w:tc>
                <w:tcPr>
                  <w:tcW w:w="516" w:type="dxa"/>
                  <w:tcBorders>
                    <w:tl2br w:val="nil"/>
                    <w:tr2bl w:val="nil"/>
                  </w:tcBorders>
                  <w:shd w:val="clear" w:color="auto" w:fill="FFFFFF"/>
                  <w:vAlign w:val="center"/>
                </w:tcPr>
                <w:p w14:paraId="2388F13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形态</w:t>
                  </w:r>
                </w:p>
              </w:tc>
              <w:tc>
                <w:tcPr>
                  <w:tcW w:w="1366" w:type="dxa"/>
                  <w:tcBorders>
                    <w:tl2br w:val="nil"/>
                    <w:tr2bl w:val="nil"/>
                  </w:tcBorders>
                  <w:shd w:val="clear" w:color="auto" w:fill="FFFFFF"/>
                  <w:vAlign w:val="center"/>
                </w:tcPr>
                <w:p w14:paraId="7680E5F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主要成分</w:t>
                  </w:r>
                </w:p>
              </w:tc>
              <w:tc>
                <w:tcPr>
                  <w:tcW w:w="840" w:type="dxa"/>
                  <w:tcBorders>
                    <w:tl2br w:val="nil"/>
                    <w:tr2bl w:val="nil"/>
                  </w:tcBorders>
                  <w:shd w:val="clear" w:color="auto" w:fill="FFFFFF"/>
                  <w:vAlign w:val="center"/>
                </w:tcPr>
                <w:p w14:paraId="42CA10B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有害</w:t>
                  </w:r>
                </w:p>
                <w:p w14:paraId="2CCA11E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成分</w:t>
                  </w:r>
                </w:p>
              </w:tc>
              <w:tc>
                <w:tcPr>
                  <w:tcW w:w="233" w:type="dxa"/>
                  <w:tcBorders>
                    <w:tl2br w:val="nil"/>
                    <w:tr2bl w:val="nil"/>
                  </w:tcBorders>
                  <w:shd w:val="clear" w:color="auto" w:fill="FFFFFF"/>
                  <w:vAlign w:val="center"/>
                </w:tcPr>
                <w:p w14:paraId="1BAA4F5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产废周</w:t>
                  </w:r>
                </w:p>
                <w:p w14:paraId="6D22FD1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期</w:t>
                  </w:r>
                </w:p>
              </w:tc>
              <w:tc>
                <w:tcPr>
                  <w:tcW w:w="327" w:type="dxa"/>
                  <w:tcBorders>
                    <w:tl2br w:val="nil"/>
                    <w:tr2bl w:val="nil"/>
                  </w:tcBorders>
                  <w:shd w:val="clear" w:color="auto" w:fill="FFFFFF"/>
                  <w:vAlign w:val="center"/>
                </w:tcPr>
                <w:p w14:paraId="0E88F56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危险特</w:t>
                  </w:r>
                </w:p>
                <w:p w14:paraId="1E1A246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性</w:t>
                  </w:r>
                </w:p>
              </w:tc>
              <w:tc>
                <w:tcPr>
                  <w:tcW w:w="1313" w:type="dxa"/>
                  <w:tcBorders>
                    <w:tl2br w:val="nil"/>
                    <w:tr2bl w:val="nil"/>
                  </w:tcBorders>
                  <w:shd w:val="clear" w:color="auto" w:fill="FFFFFF"/>
                  <w:vAlign w:val="center"/>
                </w:tcPr>
                <w:p w14:paraId="367DB1A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污染防治</w:t>
                  </w:r>
                </w:p>
                <w:p w14:paraId="1B3F7DA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措施</w:t>
                  </w:r>
                </w:p>
              </w:tc>
            </w:tr>
            <w:tr w14:paraId="09A6FE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8" w:type="dxa"/>
                  <w:tcBorders>
                    <w:tl2br w:val="nil"/>
                    <w:tr2bl w:val="nil"/>
                  </w:tcBorders>
                  <w:shd w:val="clear" w:color="auto" w:fill="FFFFFF"/>
                  <w:vAlign w:val="center"/>
                </w:tcPr>
                <w:p w14:paraId="0B12E2A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lang w:eastAsia="en-US"/>
                    </w:rPr>
                    <w:t>1</w:t>
                  </w:r>
                </w:p>
              </w:tc>
              <w:tc>
                <w:tcPr>
                  <w:tcW w:w="721" w:type="dxa"/>
                  <w:tcBorders>
                    <w:tl2br w:val="nil"/>
                    <w:tr2bl w:val="nil"/>
                  </w:tcBorders>
                  <w:shd w:val="clear" w:color="auto" w:fill="FFFFFF"/>
                  <w:vAlign w:val="center"/>
                </w:tcPr>
                <w:p w14:paraId="62BE00F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医疗废物</w:t>
                  </w:r>
                </w:p>
              </w:tc>
              <w:tc>
                <w:tcPr>
                  <w:tcW w:w="688" w:type="dxa"/>
                  <w:tcBorders>
                    <w:tl2br w:val="nil"/>
                    <w:tr2bl w:val="nil"/>
                  </w:tcBorders>
                  <w:shd w:val="clear" w:color="auto" w:fill="FFFFFF"/>
                  <w:vAlign w:val="center"/>
                </w:tcPr>
                <w:p w14:paraId="0BF341F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危险</w:t>
                  </w:r>
                </w:p>
                <w:p w14:paraId="0C54C49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废物</w:t>
                  </w:r>
                </w:p>
                <w:p w14:paraId="3DFF82F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color w:val="auto"/>
                      <w:sz w:val="21"/>
                      <w:szCs w:val="21"/>
                      <w:u w:val="none" w:color="auto"/>
                      <w:lang w:eastAsia="zh-CN"/>
                    </w:rPr>
                  </w:pPr>
                  <w:r>
                    <w:rPr>
                      <w:color w:val="auto"/>
                      <w:sz w:val="21"/>
                      <w:szCs w:val="21"/>
                      <w:u w:val="none" w:color="auto"/>
                    </w:rPr>
                    <w:t>HW0</w:t>
                  </w:r>
                  <w:r>
                    <w:rPr>
                      <w:rFonts w:hint="eastAsia"/>
                      <w:color w:val="auto"/>
                      <w:sz w:val="21"/>
                      <w:szCs w:val="21"/>
                      <w:u w:val="none" w:color="auto"/>
                      <w:lang w:val="en-US" w:eastAsia="zh-CN"/>
                    </w:rPr>
                    <w:t>1</w:t>
                  </w:r>
                </w:p>
              </w:tc>
              <w:tc>
                <w:tcPr>
                  <w:tcW w:w="1031" w:type="dxa"/>
                  <w:tcBorders>
                    <w:tl2br w:val="nil"/>
                    <w:tr2bl w:val="nil"/>
                  </w:tcBorders>
                  <w:shd w:val="clear" w:color="auto" w:fill="FFFFFF"/>
                  <w:vAlign w:val="center"/>
                </w:tcPr>
                <w:p w14:paraId="706CDE0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olor w:val="auto"/>
                      <w:sz w:val="21"/>
                      <w:szCs w:val="21"/>
                      <w:u w:val="none" w:color="auto"/>
                    </w:rPr>
                  </w:pPr>
                  <w:r>
                    <w:rPr>
                      <w:rFonts w:hint="eastAsia"/>
                      <w:color w:val="auto"/>
                      <w:sz w:val="21"/>
                      <w:szCs w:val="21"/>
                      <w:u w:val="none" w:color="auto"/>
                    </w:rPr>
                    <w:t>841-001-01</w:t>
                  </w:r>
                </w:p>
                <w:p w14:paraId="0FADF22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olor w:val="auto"/>
                      <w:sz w:val="21"/>
                      <w:szCs w:val="21"/>
                      <w:u w:val="none" w:color="auto"/>
                    </w:rPr>
                  </w:pPr>
                  <w:r>
                    <w:rPr>
                      <w:rFonts w:hint="eastAsia"/>
                      <w:color w:val="auto"/>
                      <w:sz w:val="21"/>
                      <w:szCs w:val="21"/>
                      <w:u w:val="none" w:color="auto"/>
                    </w:rPr>
                    <w:t>841-002-01</w:t>
                  </w:r>
                </w:p>
                <w:p w14:paraId="014AAF9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olor w:val="auto"/>
                      <w:sz w:val="21"/>
                      <w:szCs w:val="21"/>
                      <w:u w:val="none" w:color="auto"/>
                    </w:rPr>
                  </w:pPr>
                  <w:r>
                    <w:rPr>
                      <w:rFonts w:hint="eastAsia"/>
                      <w:color w:val="auto"/>
                      <w:sz w:val="21"/>
                      <w:szCs w:val="21"/>
                      <w:u w:val="none" w:color="auto"/>
                    </w:rPr>
                    <w:t>841-003-01</w:t>
                  </w:r>
                </w:p>
                <w:p w14:paraId="18F49C0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olor w:val="auto"/>
                      <w:sz w:val="21"/>
                      <w:szCs w:val="21"/>
                      <w:u w:val="none" w:color="auto"/>
                    </w:rPr>
                  </w:pPr>
                  <w:r>
                    <w:rPr>
                      <w:rFonts w:hint="eastAsia"/>
                      <w:color w:val="auto"/>
                      <w:sz w:val="21"/>
                      <w:szCs w:val="21"/>
                      <w:u w:val="none" w:color="auto"/>
                    </w:rPr>
                    <w:t>841-004-01</w:t>
                  </w:r>
                </w:p>
                <w:p w14:paraId="26DE7B1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rFonts w:hint="eastAsia"/>
                      <w:color w:val="auto"/>
                      <w:sz w:val="21"/>
                      <w:szCs w:val="21"/>
                      <w:u w:val="none" w:color="auto"/>
                    </w:rPr>
                    <w:t>841-005-01</w:t>
                  </w:r>
                </w:p>
              </w:tc>
              <w:tc>
                <w:tcPr>
                  <w:tcW w:w="885" w:type="dxa"/>
                  <w:tcBorders>
                    <w:tl2br w:val="nil"/>
                    <w:tr2bl w:val="nil"/>
                  </w:tcBorders>
                  <w:shd w:val="clear" w:color="auto" w:fill="FFFFFF"/>
                  <w:vAlign w:val="center"/>
                </w:tcPr>
                <w:p w14:paraId="0E872E8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医疗过程</w:t>
                  </w:r>
                </w:p>
              </w:tc>
              <w:tc>
                <w:tcPr>
                  <w:tcW w:w="784" w:type="dxa"/>
                  <w:tcBorders>
                    <w:tl2br w:val="nil"/>
                    <w:tr2bl w:val="nil"/>
                  </w:tcBorders>
                  <w:shd w:val="clear" w:color="auto" w:fill="FFFFFF"/>
                  <w:vAlign w:val="center"/>
                </w:tcPr>
                <w:p w14:paraId="7CFE267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eastAsia="宋体"/>
                      <w:color w:val="auto"/>
                      <w:sz w:val="21"/>
                      <w:szCs w:val="21"/>
                      <w:u w:val="none" w:color="auto"/>
                      <w:lang w:val="en-US" w:eastAsia="zh-CN"/>
                    </w:rPr>
                  </w:pPr>
                  <w:r>
                    <w:rPr>
                      <w:rFonts w:hint="eastAsia"/>
                      <w:color w:val="0000FF"/>
                      <w:sz w:val="21"/>
                      <w:szCs w:val="21"/>
                      <w:u w:val="none" w:color="auto"/>
                      <w:lang w:val="en-US" w:eastAsia="zh-CN"/>
                    </w:rPr>
                    <w:t>38.91</w:t>
                  </w:r>
                </w:p>
              </w:tc>
              <w:tc>
                <w:tcPr>
                  <w:tcW w:w="516" w:type="dxa"/>
                  <w:tcBorders>
                    <w:tl2br w:val="nil"/>
                    <w:tr2bl w:val="nil"/>
                  </w:tcBorders>
                  <w:shd w:val="clear" w:color="auto" w:fill="FFFFFF"/>
                  <w:vAlign w:val="center"/>
                </w:tcPr>
                <w:p w14:paraId="128FDA9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rFonts w:hint="eastAsia"/>
                      <w:color w:val="auto"/>
                      <w:sz w:val="21"/>
                      <w:szCs w:val="21"/>
                      <w:u w:val="none" w:color="auto"/>
                      <w:lang w:val="en-US" w:eastAsia="zh-CN"/>
                    </w:rPr>
                    <w:t>固体、液态</w:t>
                  </w:r>
                </w:p>
              </w:tc>
              <w:tc>
                <w:tcPr>
                  <w:tcW w:w="1366" w:type="dxa"/>
                  <w:tcBorders>
                    <w:tl2br w:val="nil"/>
                    <w:tr2bl w:val="nil"/>
                  </w:tcBorders>
                  <w:shd w:val="clear" w:color="auto" w:fill="FFFFFF"/>
                  <w:vAlign w:val="center"/>
                </w:tcPr>
                <w:p w14:paraId="0153ACB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color w:val="auto"/>
                      <w:sz w:val="21"/>
                      <w:szCs w:val="21"/>
                      <w:u w:val="none" w:color="auto"/>
                      <w:lang w:eastAsia="zh-CN"/>
                    </w:rPr>
                  </w:pPr>
                  <w:r>
                    <w:rPr>
                      <w:rFonts w:hint="eastAsia"/>
                      <w:color w:val="auto"/>
                      <w:sz w:val="21"/>
                      <w:szCs w:val="21"/>
                      <w:u w:val="none" w:color="auto"/>
                    </w:rPr>
                    <w:t>病人使用后的一次性使用医疗用品；医用锐器；过期、淘汰、变质或者被污染的废弃的药品；废弃的化学物品等</w:t>
                  </w:r>
                  <w:r>
                    <w:rPr>
                      <w:rFonts w:hint="eastAsia"/>
                      <w:color w:val="auto"/>
                      <w:sz w:val="21"/>
                      <w:szCs w:val="21"/>
                      <w:u w:val="none" w:color="auto"/>
                      <w:lang w:eastAsia="zh-CN"/>
                    </w:rPr>
                    <w:t>；</w:t>
                  </w:r>
                  <w:r>
                    <w:rPr>
                      <w:rFonts w:hint="eastAsia"/>
                      <w:color w:val="auto"/>
                      <w:sz w:val="21"/>
                      <w:szCs w:val="21"/>
                      <w:u w:val="none" w:color="auto"/>
                      <w:lang w:val="en-US" w:eastAsia="zh-CN"/>
                    </w:rPr>
                    <w:t>少量</w:t>
                  </w:r>
                  <w:r>
                    <w:rPr>
                      <w:rFonts w:hint="eastAsia"/>
                      <w:color w:val="auto"/>
                      <w:sz w:val="21"/>
                      <w:szCs w:val="21"/>
                      <w:u w:val="none" w:color="auto"/>
                    </w:rPr>
                    <w:t>病人血液、体液、排泄物污染的物品</w:t>
                  </w:r>
                  <w:r>
                    <w:rPr>
                      <w:rFonts w:hint="eastAsia"/>
                      <w:color w:val="auto"/>
                      <w:sz w:val="21"/>
                      <w:szCs w:val="21"/>
                      <w:u w:val="none" w:color="auto"/>
                      <w:lang w:eastAsia="zh-CN"/>
                    </w:rPr>
                    <w:t>。</w:t>
                  </w:r>
                </w:p>
              </w:tc>
              <w:tc>
                <w:tcPr>
                  <w:tcW w:w="840" w:type="dxa"/>
                  <w:tcBorders>
                    <w:tl2br w:val="nil"/>
                    <w:tr2bl w:val="nil"/>
                  </w:tcBorders>
                  <w:shd w:val="clear" w:color="auto" w:fill="FFFFFF"/>
                  <w:vAlign w:val="center"/>
                </w:tcPr>
                <w:p w14:paraId="4337851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olor w:val="auto"/>
                      <w:sz w:val="21"/>
                      <w:szCs w:val="21"/>
                      <w:u w:val="none" w:color="auto"/>
                    </w:rPr>
                  </w:pPr>
                  <w:r>
                    <w:rPr>
                      <w:rFonts w:hint="eastAsia"/>
                      <w:color w:val="auto"/>
                      <w:sz w:val="21"/>
                      <w:szCs w:val="21"/>
                      <w:u w:val="none" w:color="auto"/>
                    </w:rPr>
                    <w:t>病毒、过期、淘汰、变质</w:t>
                  </w:r>
                </w:p>
                <w:p w14:paraId="5CDCA45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rFonts w:hint="eastAsia"/>
                      <w:color w:val="auto"/>
                      <w:sz w:val="21"/>
                      <w:szCs w:val="21"/>
                      <w:u w:val="none" w:color="auto"/>
                    </w:rPr>
                    <w:t>或者被污染的废弃的药品；废弃的化学物</w:t>
                  </w:r>
                </w:p>
              </w:tc>
              <w:tc>
                <w:tcPr>
                  <w:tcW w:w="233" w:type="dxa"/>
                  <w:tcBorders>
                    <w:tl2br w:val="nil"/>
                    <w:tr2bl w:val="nil"/>
                  </w:tcBorders>
                  <w:shd w:val="clear" w:color="auto" w:fill="FFFFFF"/>
                  <w:vAlign w:val="center"/>
                </w:tcPr>
                <w:p w14:paraId="0511615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color w:val="auto"/>
                      <w:sz w:val="21"/>
                      <w:szCs w:val="21"/>
                      <w:u w:val="none" w:color="auto"/>
                      <w:lang w:eastAsia="zh-CN"/>
                    </w:rPr>
                  </w:pPr>
                  <w:r>
                    <w:rPr>
                      <w:rFonts w:hint="eastAsia"/>
                      <w:color w:val="auto"/>
                      <w:sz w:val="21"/>
                      <w:szCs w:val="21"/>
                      <w:u w:val="none" w:color="auto"/>
                      <w:lang w:val="en-US" w:eastAsia="zh-CN"/>
                    </w:rPr>
                    <w:t>每天</w:t>
                  </w:r>
                </w:p>
              </w:tc>
              <w:tc>
                <w:tcPr>
                  <w:tcW w:w="327" w:type="dxa"/>
                  <w:tcBorders>
                    <w:tl2br w:val="nil"/>
                    <w:tr2bl w:val="nil"/>
                  </w:tcBorders>
                  <w:shd w:val="clear" w:color="auto" w:fill="FFFFFF"/>
                  <w:vAlign w:val="center"/>
                </w:tcPr>
                <w:p w14:paraId="0897C78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T/In</w:t>
                  </w:r>
                </w:p>
              </w:tc>
              <w:tc>
                <w:tcPr>
                  <w:tcW w:w="1313" w:type="dxa"/>
                  <w:vMerge w:val="restart"/>
                  <w:tcBorders>
                    <w:tl2br w:val="nil"/>
                    <w:tr2bl w:val="nil"/>
                  </w:tcBorders>
                  <w:shd w:val="clear" w:color="auto" w:fill="FFFFFF"/>
                  <w:vAlign w:val="center"/>
                </w:tcPr>
                <w:p w14:paraId="64CA88B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highlight w:val="none"/>
                      <w:u w:val="none" w:color="auto"/>
                    </w:rPr>
                    <w:t>暂存</w:t>
                  </w:r>
                  <w:r>
                    <w:rPr>
                      <w:rFonts w:hint="eastAsia"/>
                      <w:color w:val="auto"/>
                      <w:sz w:val="21"/>
                      <w:szCs w:val="21"/>
                      <w:highlight w:val="none"/>
                      <w:u w:val="none" w:color="auto"/>
                      <w:lang w:val="en-US" w:eastAsia="zh-CN"/>
                    </w:rPr>
                    <w:t>于医疗废物暂</w:t>
                  </w:r>
                  <w:r>
                    <w:rPr>
                      <w:color w:val="auto"/>
                      <w:sz w:val="21"/>
                      <w:szCs w:val="21"/>
                      <w:highlight w:val="none"/>
                      <w:u w:val="none" w:color="auto"/>
                    </w:rPr>
                    <w:t>存间内、定期交由有</w:t>
                  </w:r>
                  <w:r>
                    <w:rPr>
                      <w:rFonts w:hint="eastAsia"/>
                      <w:color w:val="auto"/>
                      <w:sz w:val="21"/>
                      <w:szCs w:val="21"/>
                      <w:highlight w:val="none"/>
                      <w:u w:val="none" w:color="auto"/>
                      <w:lang w:val="en-US" w:eastAsia="zh-CN"/>
                    </w:rPr>
                    <w:t>相应医疗废物处置</w:t>
                  </w:r>
                  <w:r>
                    <w:rPr>
                      <w:color w:val="auto"/>
                      <w:sz w:val="21"/>
                      <w:szCs w:val="21"/>
                      <w:highlight w:val="none"/>
                      <w:u w:val="none" w:color="auto"/>
                    </w:rPr>
                    <w:t>资质单位处理。</w:t>
                  </w:r>
                </w:p>
              </w:tc>
            </w:tr>
            <w:tr w14:paraId="229F86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8" w:type="dxa"/>
                  <w:tcBorders>
                    <w:tl2br w:val="nil"/>
                    <w:tr2bl w:val="nil"/>
                  </w:tcBorders>
                  <w:shd w:val="clear" w:color="auto" w:fill="FFFFFF"/>
                  <w:vAlign w:val="center"/>
                </w:tcPr>
                <w:p w14:paraId="0A294F4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2</w:t>
                  </w:r>
                </w:p>
              </w:tc>
              <w:tc>
                <w:tcPr>
                  <w:tcW w:w="721" w:type="dxa"/>
                  <w:tcBorders>
                    <w:tl2br w:val="nil"/>
                    <w:tr2bl w:val="nil"/>
                  </w:tcBorders>
                  <w:shd w:val="clear" w:color="auto" w:fill="FFFFFF"/>
                  <w:vAlign w:val="center"/>
                </w:tcPr>
                <w:p w14:paraId="7FA5880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废水处理栅渣、污泥</w:t>
                  </w:r>
                </w:p>
              </w:tc>
              <w:tc>
                <w:tcPr>
                  <w:tcW w:w="688" w:type="dxa"/>
                  <w:tcBorders>
                    <w:tl2br w:val="nil"/>
                    <w:tr2bl w:val="nil"/>
                  </w:tcBorders>
                  <w:shd w:val="clear" w:color="auto" w:fill="FFFFFF"/>
                  <w:vAlign w:val="center"/>
                </w:tcPr>
                <w:p w14:paraId="5BC8566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危险</w:t>
                  </w:r>
                </w:p>
                <w:p w14:paraId="2DF3352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废物</w:t>
                  </w:r>
                </w:p>
                <w:p w14:paraId="5C8D147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eastAsia="宋体"/>
                      <w:color w:val="auto"/>
                      <w:sz w:val="21"/>
                      <w:szCs w:val="21"/>
                      <w:u w:val="none" w:color="auto"/>
                      <w:lang w:val="en-US" w:eastAsia="zh-CN"/>
                    </w:rPr>
                  </w:pPr>
                  <w:r>
                    <w:rPr>
                      <w:color w:val="auto"/>
                      <w:sz w:val="21"/>
                      <w:szCs w:val="21"/>
                      <w:u w:val="none" w:color="auto"/>
                    </w:rPr>
                    <w:t>HW</w:t>
                  </w:r>
                  <w:r>
                    <w:rPr>
                      <w:rFonts w:hint="eastAsia"/>
                      <w:color w:val="auto"/>
                      <w:sz w:val="21"/>
                      <w:szCs w:val="21"/>
                      <w:u w:val="none" w:color="auto"/>
                      <w:lang w:val="en-US" w:eastAsia="zh-CN"/>
                    </w:rPr>
                    <w:t>01</w:t>
                  </w:r>
                </w:p>
              </w:tc>
              <w:tc>
                <w:tcPr>
                  <w:tcW w:w="1031" w:type="dxa"/>
                  <w:tcBorders>
                    <w:tl2br w:val="nil"/>
                    <w:tr2bl w:val="nil"/>
                  </w:tcBorders>
                  <w:shd w:val="clear" w:color="auto" w:fill="FFFFFF"/>
                  <w:vAlign w:val="center"/>
                </w:tcPr>
                <w:p w14:paraId="366AB99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lang w:eastAsia="en-US"/>
                    </w:rPr>
                  </w:pPr>
                  <w:r>
                    <w:rPr>
                      <w:rFonts w:hint="eastAsia" w:ascii="TimesNewRomanPSMT" w:hAnsi="TimesNewRomanPSMT" w:eastAsia="TimesNewRomanPSMT"/>
                      <w:color w:val="auto"/>
                      <w:sz w:val="21"/>
                      <w:szCs w:val="21"/>
                      <w:u w:val="none" w:color="auto"/>
                    </w:rPr>
                    <w:t>841-001-01</w:t>
                  </w:r>
                </w:p>
              </w:tc>
              <w:tc>
                <w:tcPr>
                  <w:tcW w:w="885" w:type="dxa"/>
                  <w:tcBorders>
                    <w:tl2br w:val="nil"/>
                    <w:tr2bl w:val="nil"/>
                  </w:tcBorders>
                  <w:shd w:val="clear" w:color="auto" w:fill="FFFFFF"/>
                  <w:vAlign w:val="center"/>
                </w:tcPr>
                <w:p w14:paraId="23BFF4F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rFonts w:hint="eastAsia" w:ascii="TimesNewRomanPSMT" w:hAnsi="TimesNewRomanPSMT" w:eastAsia="宋体"/>
                      <w:color w:val="auto"/>
                      <w:sz w:val="21"/>
                      <w:szCs w:val="21"/>
                      <w:u w:val="none" w:color="auto"/>
                      <w:lang w:val="en-US" w:eastAsia="zh-CN"/>
                    </w:rPr>
                    <w:t>污水处理</w:t>
                  </w:r>
                </w:p>
              </w:tc>
              <w:tc>
                <w:tcPr>
                  <w:tcW w:w="784" w:type="dxa"/>
                  <w:tcBorders>
                    <w:tl2br w:val="nil"/>
                    <w:tr2bl w:val="nil"/>
                  </w:tcBorders>
                  <w:shd w:val="clear" w:color="auto" w:fill="FFFFFF"/>
                  <w:vAlign w:val="center"/>
                </w:tcPr>
                <w:p w14:paraId="1FDE16A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eastAsia="宋体"/>
                      <w:color w:val="auto"/>
                      <w:sz w:val="21"/>
                      <w:szCs w:val="21"/>
                      <w:u w:val="none" w:color="auto"/>
                      <w:lang w:val="en-US" w:eastAsia="zh-CN"/>
                    </w:rPr>
                  </w:pPr>
                  <w:r>
                    <w:rPr>
                      <w:rFonts w:hint="eastAsia"/>
                      <w:color w:val="0000FF"/>
                      <w:sz w:val="21"/>
                      <w:szCs w:val="21"/>
                      <w:u w:val="none" w:color="auto"/>
                      <w:lang w:val="en-US" w:eastAsia="zh-CN"/>
                    </w:rPr>
                    <w:t>13.07</w:t>
                  </w:r>
                </w:p>
              </w:tc>
              <w:tc>
                <w:tcPr>
                  <w:tcW w:w="516" w:type="dxa"/>
                  <w:tcBorders>
                    <w:tl2br w:val="nil"/>
                    <w:tr2bl w:val="nil"/>
                  </w:tcBorders>
                  <w:shd w:val="clear" w:color="auto" w:fill="FFFFFF"/>
                  <w:vAlign w:val="center"/>
                </w:tcPr>
                <w:p w14:paraId="1446DD9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color w:val="auto"/>
                      <w:sz w:val="21"/>
                      <w:szCs w:val="21"/>
                      <w:u w:val="none" w:color="auto"/>
                      <w:lang w:eastAsia="zh-CN"/>
                    </w:rPr>
                  </w:pPr>
                  <w:r>
                    <w:rPr>
                      <w:color w:val="auto"/>
                      <w:sz w:val="21"/>
                      <w:szCs w:val="21"/>
                      <w:u w:val="none" w:color="auto"/>
                    </w:rPr>
                    <w:t>固</w:t>
                  </w:r>
                  <w:r>
                    <w:rPr>
                      <w:rFonts w:hint="eastAsia"/>
                      <w:color w:val="auto"/>
                      <w:sz w:val="21"/>
                      <w:szCs w:val="21"/>
                      <w:u w:val="none" w:color="auto"/>
                      <w:lang w:val="en-US" w:eastAsia="zh-CN"/>
                    </w:rPr>
                    <w:t>态</w:t>
                  </w:r>
                </w:p>
              </w:tc>
              <w:tc>
                <w:tcPr>
                  <w:tcW w:w="1366" w:type="dxa"/>
                  <w:tcBorders>
                    <w:tl2br w:val="nil"/>
                    <w:tr2bl w:val="nil"/>
                  </w:tcBorders>
                  <w:shd w:val="clear" w:color="auto" w:fill="FFFFFF"/>
                  <w:vAlign w:val="center"/>
                </w:tcPr>
                <w:p w14:paraId="5684578D">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color w:val="auto"/>
                      <w:sz w:val="21"/>
                      <w:szCs w:val="21"/>
                      <w:u w:val="none" w:color="auto"/>
                    </w:rPr>
                  </w:pPr>
                  <w:r>
                    <w:rPr>
                      <w:rFonts w:hint="eastAsia" w:ascii="宋体" w:hAnsi="宋体" w:eastAsia="宋体"/>
                      <w:color w:val="auto"/>
                      <w:sz w:val="21"/>
                      <w:szCs w:val="21"/>
                      <w:u w:val="none" w:color="auto"/>
                    </w:rPr>
                    <w:t>细菌菌体、无机颗粒、胶体及絮凝所用药剂等</w:t>
                  </w:r>
                </w:p>
              </w:tc>
              <w:tc>
                <w:tcPr>
                  <w:tcW w:w="840" w:type="dxa"/>
                  <w:tcBorders>
                    <w:tl2br w:val="nil"/>
                    <w:tr2bl w:val="nil"/>
                  </w:tcBorders>
                  <w:shd w:val="clear" w:color="auto" w:fill="FFFFFF"/>
                  <w:vAlign w:val="center"/>
                </w:tcPr>
                <w:p w14:paraId="71D7F15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color w:val="auto"/>
                      <w:sz w:val="21"/>
                      <w:szCs w:val="21"/>
                      <w:u w:val="none" w:color="auto"/>
                      <w:lang w:eastAsia="zh-CN"/>
                    </w:rPr>
                  </w:pPr>
                  <w:r>
                    <w:rPr>
                      <w:rFonts w:hint="eastAsia"/>
                      <w:color w:val="auto"/>
                      <w:sz w:val="21"/>
                      <w:szCs w:val="21"/>
                      <w:u w:val="none" w:color="auto"/>
                      <w:lang w:val="en-US" w:eastAsia="zh-CN"/>
                    </w:rPr>
                    <w:t>致病菌</w:t>
                  </w:r>
                </w:p>
              </w:tc>
              <w:tc>
                <w:tcPr>
                  <w:tcW w:w="233" w:type="dxa"/>
                  <w:tcBorders>
                    <w:tl2br w:val="nil"/>
                    <w:tr2bl w:val="nil"/>
                  </w:tcBorders>
                  <w:shd w:val="clear" w:color="auto" w:fill="FFFFFF"/>
                  <w:vAlign w:val="center"/>
                </w:tcPr>
                <w:p w14:paraId="1F0D434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color w:val="auto"/>
                      <w:sz w:val="21"/>
                      <w:szCs w:val="21"/>
                      <w:u w:val="none" w:color="auto"/>
                      <w:lang w:eastAsia="zh-CN"/>
                    </w:rPr>
                  </w:pPr>
                  <w:r>
                    <w:rPr>
                      <w:rFonts w:hint="eastAsia"/>
                      <w:color w:val="auto"/>
                      <w:sz w:val="21"/>
                      <w:szCs w:val="21"/>
                      <w:u w:val="none" w:color="auto"/>
                      <w:lang w:val="en-US" w:eastAsia="zh-CN"/>
                    </w:rPr>
                    <w:t>每天</w:t>
                  </w:r>
                </w:p>
              </w:tc>
              <w:tc>
                <w:tcPr>
                  <w:tcW w:w="327" w:type="dxa"/>
                  <w:tcBorders>
                    <w:tl2br w:val="nil"/>
                    <w:tr2bl w:val="nil"/>
                  </w:tcBorders>
                  <w:shd w:val="clear" w:color="auto" w:fill="FFFFFF"/>
                  <w:vAlign w:val="center"/>
                </w:tcPr>
                <w:p w14:paraId="0E84643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T/In</w:t>
                  </w:r>
                </w:p>
              </w:tc>
              <w:tc>
                <w:tcPr>
                  <w:tcW w:w="1313" w:type="dxa"/>
                  <w:vMerge w:val="continue"/>
                  <w:tcBorders>
                    <w:tl2br w:val="nil"/>
                    <w:tr2bl w:val="nil"/>
                  </w:tcBorders>
                  <w:shd w:val="clear" w:color="auto" w:fill="FFFFFF"/>
                  <w:vAlign w:val="center"/>
                </w:tcPr>
                <w:p w14:paraId="2D6016B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p>
              </w:tc>
            </w:tr>
            <w:tr w14:paraId="1D7481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8" w:type="dxa"/>
                  <w:tcBorders>
                    <w:tl2br w:val="nil"/>
                    <w:tr2bl w:val="nil"/>
                  </w:tcBorders>
                  <w:shd w:val="clear" w:color="auto" w:fill="FFFFFF"/>
                  <w:vAlign w:val="center"/>
                </w:tcPr>
                <w:p w14:paraId="0D921F4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color w:val="auto"/>
                      <w:sz w:val="21"/>
                      <w:szCs w:val="21"/>
                      <w:u w:val="none" w:color="auto"/>
                      <w:lang w:val="en-US" w:eastAsia="zh-CN"/>
                    </w:rPr>
                  </w:pPr>
                  <w:r>
                    <w:rPr>
                      <w:rFonts w:hint="eastAsia"/>
                      <w:color w:val="auto"/>
                      <w:sz w:val="21"/>
                      <w:szCs w:val="21"/>
                      <w:u w:val="none" w:color="auto"/>
                      <w:lang w:val="en-US" w:eastAsia="zh-CN"/>
                    </w:rPr>
                    <w:t>3</w:t>
                  </w:r>
                </w:p>
              </w:tc>
              <w:tc>
                <w:tcPr>
                  <w:tcW w:w="721" w:type="dxa"/>
                  <w:tcBorders>
                    <w:tl2br w:val="nil"/>
                    <w:tr2bl w:val="nil"/>
                  </w:tcBorders>
                  <w:shd w:val="clear" w:color="auto" w:fill="FFFFFF"/>
                  <w:vAlign w:val="center"/>
                </w:tcPr>
                <w:p w14:paraId="58D7593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化粪池污泥</w:t>
                  </w:r>
                </w:p>
              </w:tc>
              <w:tc>
                <w:tcPr>
                  <w:tcW w:w="688" w:type="dxa"/>
                  <w:tcBorders>
                    <w:tl2br w:val="nil"/>
                    <w:tr2bl w:val="nil"/>
                  </w:tcBorders>
                  <w:shd w:val="clear" w:color="auto" w:fill="FFFFFF"/>
                  <w:vAlign w:val="center"/>
                </w:tcPr>
                <w:p w14:paraId="2600D8D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危险</w:t>
                  </w:r>
                </w:p>
                <w:p w14:paraId="13609E6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废物</w:t>
                  </w:r>
                </w:p>
                <w:p w14:paraId="1E924E5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HW</w:t>
                  </w:r>
                  <w:r>
                    <w:rPr>
                      <w:rFonts w:hint="eastAsia"/>
                      <w:color w:val="auto"/>
                      <w:sz w:val="21"/>
                      <w:szCs w:val="21"/>
                      <w:u w:val="none" w:color="auto"/>
                      <w:lang w:val="en-US" w:eastAsia="zh-CN"/>
                    </w:rPr>
                    <w:t>01</w:t>
                  </w:r>
                </w:p>
              </w:tc>
              <w:tc>
                <w:tcPr>
                  <w:tcW w:w="1031" w:type="dxa"/>
                  <w:tcBorders>
                    <w:tl2br w:val="nil"/>
                    <w:tr2bl w:val="nil"/>
                  </w:tcBorders>
                  <w:shd w:val="clear" w:color="auto" w:fill="FFFFFF"/>
                  <w:vAlign w:val="center"/>
                </w:tcPr>
                <w:p w14:paraId="6DBB9F1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NewRomanPSMT" w:hAnsi="TimesNewRomanPSMT" w:eastAsia="TimesNewRomanPSMT"/>
                      <w:color w:val="auto"/>
                      <w:sz w:val="21"/>
                      <w:szCs w:val="21"/>
                      <w:u w:val="none" w:color="auto"/>
                    </w:rPr>
                  </w:pPr>
                  <w:r>
                    <w:rPr>
                      <w:rFonts w:hint="eastAsia" w:ascii="TimesNewRomanPSMT" w:hAnsi="TimesNewRomanPSMT" w:eastAsia="TimesNewRomanPSMT"/>
                      <w:color w:val="auto"/>
                      <w:sz w:val="21"/>
                      <w:szCs w:val="21"/>
                      <w:u w:val="none" w:color="auto"/>
                    </w:rPr>
                    <w:t>841-001-01</w:t>
                  </w:r>
                </w:p>
              </w:tc>
              <w:tc>
                <w:tcPr>
                  <w:tcW w:w="885" w:type="dxa"/>
                  <w:tcBorders>
                    <w:tl2br w:val="nil"/>
                    <w:tr2bl w:val="nil"/>
                  </w:tcBorders>
                  <w:shd w:val="clear" w:color="auto" w:fill="FFFFFF"/>
                  <w:vAlign w:val="center"/>
                </w:tcPr>
                <w:p w14:paraId="363B326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NewRomanPSMT" w:hAnsi="TimesNewRomanPSMT" w:eastAsia="宋体"/>
                      <w:color w:val="auto"/>
                      <w:sz w:val="21"/>
                      <w:szCs w:val="21"/>
                      <w:u w:val="none" w:color="auto"/>
                      <w:lang w:val="en-US" w:eastAsia="zh-CN"/>
                    </w:rPr>
                  </w:pPr>
                  <w:r>
                    <w:rPr>
                      <w:rFonts w:hint="eastAsia" w:ascii="TimesNewRomanPSMT" w:hAnsi="TimesNewRomanPSMT" w:eastAsia="宋体"/>
                      <w:color w:val="auto"/>
                      <w:sz w:val="21"/>
                      <w:szCs w:val="21"/>
                      <w:u w:val="none" w:color="auto"/>
                      <w:lang w:val="en-US" w:eastAsia="zh-CN"/>
                    </w:rPr>
                    <w:t>污水处理</w:t>
                  </w:r>
                </w:p>
              </w:tc>
              <w:tc>
                <w:tcPr>
                  <w:tcW w:w="784" w:type="dxa"/>
                  <w:tcBorders>
                    <w:tl2br w:val="nil"/>
                    <w:tr2bl w:val="nil"/>
                  </w:tcBorders>
                  <w:shd w:val="clear" w:color="auto" w:fill="FFFFFF"/>
                  <w:vAlign w:val="center"/>
                </w:tcPr>
                <w:p w14:paraId="724993D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u w:val="none" w:color="auto"/>
                      <w:lang w:val="en-US" w:eastAsia="zh-CN"/>
                    </w:rPr>
                  </w:pPr>
                  <w:r>
                    <w:rPr>
                      <w:rFonts w:hint="eastAsia"/>
                      <w:color w:val="0000FF"/>
                      <w:sz w:val="21"/>
                      <w:szCs w:val="21"/>
                      <w:u w:val="none" w:color="auto"/>
                      <w:lang w:val="en-US" w:eastAsia="zh-CN"/>
                    </w:rPr>
                    <w:t>12.74</w:t>
                  </w:r>
                </w:p>
              </w:tc>
              <w:tc>
                <w:tcPr>
                  <w:tcW w:w="516" w:type="dxa"/>
                  <w:tcBorders>
                    <w:tl2br w:val="nil"/>
                    <w:tr2bl w:val="nil"/>
                  </w:tcBorders>
                  <w:shd w:val="clear" w:color="auto" w:fill="FFFFFF"/>
                  <w:vAlign w:val="center"/>
                </w:tcPr>
                <w:p w14:paraId="3E82910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固</w:t>
                  </w:r>
                  <w:r>
                    <w:rPr>
                      <w:rFonts w:hint="eastAsia"/>
                      <w:color w:val="auto"/>
                      <w:sz w:val="21"/>
                      <w:szCs w:val="21"/>
                      <w:u w:val="none" w:color="auto"/>
                      <w:lang w:val="en-US" w:eastAsia="zh-CN"/>
                    </w:rPr>
                    <w:t>态</w:t>
                  </w:r>
                </w:p>
              </w:tc>
              <w:tc>
                <w:tcPr>
                  <w:tcW w:w="1366" w:type="dxa"/>
                  <w:tcBorders>
                    <w:tl2br w:val="nil"/>
                    <w:tr2bl w:val="nil"/>
                  </w:tcBorders>
                  <w:shd w:val="clear" w:color="auto" w:fill="FFFFFF"/>
                  <w:vAlign w:val="center"/>
                </w:tcPr>
                <w:p w14:paraId="7E1109B9">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olor w:val="auto"/>
                      <w:sz w:val="21"/>
                      <w:szCs w:val="21"/>
                      <w:u w:val="none" w:color="auto"/>
                    </w:rPr>
                  </w:pPr>
                  <w:r>
                    <w:rPr>
                      <w:rFonts w:hint="eastAsia" w:ascii="宋体" w:hAnsi="宋体" w:eastAsia="宋体"/>
                      <w:color w:val="auto"/>
                      <w:sz w:val="21"/>
                      <w:szCs w:val="21"/>
                      <w:u w:val="none" w:color="auto"/>
                    </w:rPr>
                    <w:t>细菌菌体等</w:t>
                  </w:r>
                </w:p>
              </w:tc>
              <w:tc>
                <w:tcPr>
                  <w:tcW w:w="840" w:type="dxa"/>
                  <w:tcBorders>
                    <w:tl2br w:val="nil"/>
                    <w:tr2bl w:val="nil"/>
                  </w:tcBorders>
                  <w:shd w:val="clear" w:color="auto" w:fill="FFFFFF"/>
                  <w:vAlign w:val="center"/>
                </w:tcPr>
                <w:p w14:paraId="50BBCF4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olor w:val="auto"/>
                      <w:sz w:val="21"/>
                      <w:szCs w:val="21"/>
                      <w:u w:val="none" w:color="auto"/>
                      <w:lang w:val="en-US" w:eastAsia="zh-CN"/>
                    </w:rPr>
                  </w:pPr>
                  <w:r>
                    <w:rPr>
                      <w:rFonts w:hint="eastAsia"/>
                      <w:color w:val="auto"/>
                      <w:sz w:val="21"/>
                      <w:szCs w:val="21"/>
                      <w:u w:val="none" w:color="auto"/>
                      <w:lang w:val="en-US" w:eastAsia="zh-CN"/>
                    </w:rPr>
                    <w:t>致病菌</w:t>
                  </w:r>
                </w:p>
              </w:tc>
              <w:tc>
                <w:tcPr>
                  <w:tcW w:w="233" w:type="dxa"/>
                  <w:tcBorders>
                    <w:tl2br w:val="nil"/>
                    <w:tr2bl w:val="nil"/>
                  </w:tcBorders>
                  <w:shd w:val="clear" w:color="auto" w:fill="FFFFFF"/>
                  <w:vAlign w:val="center"/>
                </w:tcPr>
                <w:p w14:paraId="3BF4D96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olor w:val="auto"/>
                      <w:sz w:val="21"/>
                      <w:szCs w:val="21"/>
                      <w:u w:val="none" w:color="auto"/>
                      <w:lang w:val="en-US" w:eastAsia="zh-CN"/>
                    </w:rPr>
                  </w:pPr>
                  <w:r>
                    <w:rPr>
                      <w:rFonts w:hint="eastAsia"/>
                      <w:color w:val="auto"/>
                      <w:sz w:val="21"/>
                      <w:szCs w:val="21"/>
                      <w:u w:val="none" w:color="auto"/>
                      <w:lang w:val="en-US" w:eastAsia="zh-CN"/>
                    </w:rPr>
                    <w:t>每天</w:t>
                  </w:r>
                </w:p>
              </w:tc>
              <w:tc>
                <w:tcPr>
                  <w:tcW w:w="327" w:type="dxa"/>
                  <w:tcBorders>
                    <w:tl2br w:val="nil"/>
                    <w:tr2bl w:val="nil"/>
                  </w:tcBorders>
                  <w:shd w:val="clear" w:color="auto" w:fill="FFFFFF"/>
                  <w:vAlign w:val="center"/>
                </w:tcPr>
                <w:p w14:paraId="772BAD5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T/In</w:t>
                  </w:r>
                </w:p>
              </w:tc>
              <w:tc>
                <w:tcPr>
                  <w:tcW w:w="1313" w:type="dxa"/>
                  <w:vMerge w:val="continue"/>
                  <w:tcBorders>
                    <w:tl2br w:val="nil"/>
                    <w:tr2bl w:val="nil"/>
                  </w:tcBorders>
                  <w:shd w:val="clear" w:color="auto" w:fill="FFFFFF"/>
                  <w:vAlign w:val="center"/>
                </w:tcPr>
                <w:p w14:paraId="43F9436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p>
              </w:tc>
            </w:tr>
            <w:tr w14:paraId="576F27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8" w:type="dxa"/>
                  <w:tcBorders>
                    <w:tl2br w:val="nil"/>
                    <w:tr2bl w:val="nil"/>
                  </w:tcBorders>
                  <w:shd w:val="clear" w:color="auto" w:fill="FFFFFF"/>
                  <w:vAlign w:val="center"/>
                </w:tcPr>
                <w:p w14:paraId="3B7BF05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color w:val="auto"/>
                      <w:sz w:val="21"/>
                      <w:szCs w:val="21"/>
                      <w:u w:val="none" w:color="auto"/>
                      <w:lang w:val="en-US" w:eastAsia="zh-CN"/>
                    </w:rPr>
                  </w:pPr>
                  <w:r>
                    <w:rPr>
                      <w:rFonts w:hint="eastAsia"/>
                      <w:color w:val="auto"/>
                      <w:sz w:val="21"/>
                      <w:szCs w:val="21"/>
                      <w:u w:val="none" w:color="auto"/>
                      <w:lang w:val="en-US" w:eastAsia="zh-CN"/>
                    </w:rPr>
                    <w:t>4</w:t>
                  </w:r>
                </w:p>
              </w:tc>
              <w:tc>
                <w:tcPr>
                  <w:tcW w:w="721" w:type="dxa"/>
                  <w:tcBorders>
                    <w:tl2br w:val="nil"/>
                    <w:tr2bl w:val="nil"/>
                  </w:tcBorders>
                  <w:shd w:val="clear" w:color="auto" w:fill="FFFFFF"/>
                  <w:vAlign w:val="center"/>
                </w:tcPr>
                <w:p w14:paraId="094836A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紫外灯管</w:t>
                  </w:r>
                </w:p>
              </w:tc>
              <w:tc>
                <w:tcPr>
                  <w:tcW w:w="688" w:type="dxa"/>
                  <w:tcBorders>
                    <w:tl2br w:val="nil"/>
                    <w:tr2bl w:val="nil"/>
                  </w:tcBorders>
                  <w:shd w:val="clear" w:color="auto" w:fill="FFFFFF"/>
                  <w:vAlign w:val="center"/>
                </w:tcPr>
                <w:p w14:paraId="11B3547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危险</w:t>
                  </w:r>
                </w:p>
                <w:p w14:paraId="579EC21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废物</w:t>
                  </w:r>
                </w:p>
                <w:p w14:paraId="21E7FA7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HW</w:t>
                  </w:r>
                  <w:r>
                    <w:rPr>
                      <w:rFonts w:hint="eastAsia"/>
                      <w:color w:val="auto"/>
                      <w:sz w:val="21"/>
                      <w:szCs w:val="21"/>
                      <w:u w:val="none" w:color="auto"/>
                      <w:lang w:val="en-US" w:eastAsia="zh-CN"/>
                    </w:rPr>
                    <w:t>2</w:t>
                  </w:r>
                  <w:r>
                    <w:rPr>
                      <w:color w:val="auto"/>
                      <w:sz w:val="21"/>
                      <w:szCs w:val="21"/>
                      <w:u w:val="none" w:color="auto"/>
                    </w:rPr>
                    <w:t>9</w:t>
                  </w:r>
                </w:p>
              </w:tc>
              <w:tc>
                <w:tcPr>
                  <w:tcW w:w="1031" w:type="dxa"/>
                  <w:tcBorders>
                    <w:tl2br w:val="nil"/>
                    <w:tr2bl w:val="nil"/>
                  </w:tcBorders>
                  <w:shd w:val="clear" w:color="auto" w:fill="FFFFFF"/>
                  <w:vAlign w:val="center"/>
                </w:tcPr>
                <w:p w14:paraId="3231980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NewRomanPSMT" w:hAnsi="TimesNewRomanPSMT" w:eastAsia="TimesNewRomanPSMT"/>
                      <w:color w:val="auto"/>
                      <w:sz w:val="21"/>
                      <w:szCs w:val="21"/>
                      <w:u w:val="none" w:color="auto"/>
                    </w:rPr>
                  </w:pPr>
                  <w:r>
                    <w:rPr>
                      <w:rFonts w:hint="eastAsia" w:ascii="TimesNewRomanPSMT" w:hAnsi="TimesNewRomanPSMT" w:eastAsia="TimesNewRomanPSMT"/>
                      <w:color w:val="auto"/>
                      <w:sz w:val="21"/>
                      <w:szCs w:val="21"/>
                      <w:u w:val="none" w:color="auto"/>
                    </w:rPr>
                    <w:t>900-023-29</w:t>
                  </w:r>
                </w:p>
              </w:tc>
              <w:tc>
                <w:tcPr>
                  <w:tcW w:w="885" w:type="dxa"/>
                  <w:tcBorders>
                    <w:tl2br w:val="nil"/>
                    <w:tr2bl w:val="nil"/>
                  </w:tcBorders>
                  <w:shd w:val="clear" w:color="auto" w:fill="FFFFFF"/>
                  <w:vAlign w:val="center"/>
                </w:tcPr>
                <w:p w14:paraId="6D8A068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NewRomanPSMT" w:hAnsi="TimesNewRomanPSMT" w:eastAsia="宋体"/>
                      <w:color w:val="auto"/>
                      <w:sz w:val="21"/>
                      <w:szCs w:val="21"/>
                      <w:u w:val="none" w:color="auto"/>
                      <w:lang w:val="en-US" w:eastAsia="zh-CN"/>
                    </w:rPr>
                  </w:pPr>
                  <w:r>
                    <w:rPr>
                      <w:rFonts w:hint="eastAsia" w:ascii="TimesNewRomanPSMT" w:hAnsi="TimesNewRomanPSMT"/>
                      <w:color w:val="auto"/>
                      <w:sz w:val="21"/>
                      <w:szCs w:val="21"/>
                      <w:u w:val="none" w:color="auto"/>
                      <w:lang w:val="en-US" w:eastAsia="zh-CN"/>
                    </w:rPr>
                    <w:t>污水处理</w:t>
                  </w:r>
                </w:p>
              </w:tc>
              <w:tc>
                <w:tcPr>
                  <w:tcW w:w="784" w:type="dxa"/>
                  <w:tcBorders>
                    <w:tl2br w:val="nil"/>
                    <w:tr2bl w:val="nil"/>
                  </w:tcBorders>
                  <w:shd w:val="clear" w:color="auto" w:fill="FFFFFF"/>
                  <w:vAlign w:val="center"/>
                </w:tcPr>
                <w:p w14:paraId="5637311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u w:val="none" w:color="auto"/>
                      <w:lang w:val="en-US" w:eastAsia="zh-CN"/>
                    </w:rPr>
                  </w:pPr>
                  <w:r>
                    <w:rPr>
                      <w:rFonts w:hint="eastAsia"/>
                      <w:color w:val="0000FF"/>
                      <w:sz w:val="21"/>
                      <w:szCs w:val="21"/>
                      <w:u w:val="none" w:color="auto"/>
                      <w:lang w:val="en-US" w:eastAsia="zh-CN"/>
                    </w:rPr>
                    <w:t>0.04</w:t>
                  </w:r>
                </w:p>
              </w:tc>
              <w:tc>
                <w:tcPr>
                  <w:tcW w:w="516" w:type="dxa"/>
                  <w:tcBorders>
                    <w:tl2br w:val="nil"/>
                    <w:tr2bl w:val="nil"/>
                  </w:tcBorders>
                  <w:shd w:val="clear" w:color="auto" w:fill="FFFFFF"/>
                  <w:vAlign w:val="center"/>
                </w:tcPr>
                <w:p w14:paraId="4104241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color w:val="auto"/>
                      <w:sz w:val="21"/>
                      <w:szCs w:val="21"/>
                      <w:u w:val="none" w:color="auto"/>
                      <w:lang w:val="en-US" w:eastAsia="zh-CN"/>
                    </w:rPr>
                  </w:pPr>
                  <w:r>
                    <w:rPr>
                      <w:rFonts w:hint="eastAsia"/>
                      <w:color w:val="auto"/>
                      <w:sz w:val="21"/>
                      <w:szCs w:val="21"/>
                      <w:u w:val="none" w:color="auto"/>
                      <w:lang w:val="en-US" w:eastAsia="zh-CN"/>
                    </w:rPr>
                    <w:t>固态</w:t>
                  </w:r>
                </w:p>
              </w:tc>
              <w:tc>
                <w:tcPr>
                  <w:tcW w:w="1366" w:type="dxa"/>
                  <w:tcBorders>
                    <w:tl2br w:val="nil"/>
                    <w:tr2bl w:val="nil"/>
                  </w:tcBorders>
                  <w:shd w:val="clear" w:color="auto" w:fill="FFFFFF"/>
                  <w:vAlign w:val="center"/>
                </w:tcPr>
                <w:p w14:paraId="7CC91C77">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宋体" w:hAnsi="宋体" w:eastAsia="宋体"/>
                      <w:color w:val="auto"/>
                      <w:sz w:val="21"/>
                      <w:szCs w:val="21"/>
                      <w:u w:val="none" w:color="auto"/>
                      <w:lang w:val="en-US" w:eastAsia="zh-CN"/>
                    </w:rPr>
                  </w:pPr>
                  <w:r>
                    <w:rPr>
                      <w:rFonts w:hint="eastAsia" w:ascii="宋体" w:hAnsi="宋体"/>
                      <w:color w:val="auto"/>
                      <w:sz w:val="21"/>
                      <w:szCs w:val="21"/>
                      <w:u w:val="none" w:color="auto"/>
                      <w:lang w:val="en-US" w:eastAsia="zh-CN"/>
                    </w:rPr>
                    <w:t>废含汞荧光灯管</w:t>
                  </w:r>
                </w:p>
              </w:tc>
              <w:tc>
                <w:tcPr>
                  <w:tcW w:w="840" w:type="dxa"/>
                  <w:tcBorders>
                    <w:tl2br w:val="nil"/>
                    <w:tr2bl w:val="nil"/>
                  </w:tcBorders>
                  <w:shd w:val="clear" w:color="auto" w:fill="FFFFFF"/>
                  <w:vAlign w:val="center"/>
                </w:tcPr>
                <w:p w14:paraId="067D63E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汞</w:t>
                  </w:r>
                </w:p>
              </w:tc>
              <w:tc>
                <w:tcPr>
                  <w:tcW w:w="233" w:type="dxa"/>
                  <w:tcBorders>
                    <w:tl2br w:val="nil"/>
                    <w:tr2bl w:val="nil"/>
                  </w:tcBorders>
                  <w:shd w:val="clear" w:color="auto" w:fill="FFFFFF"/>
                  <w:vAlign w:val="center"/>
                </w:tcPr>
                <w:p w14:paraId="38136ED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半年</w:t>
                  </w:r>
                </w:p>
              </w:tc>
              <w:tc>
                <w:tcPr>
                  <w:tcW w:w="327" w:type="dxa"/>
                  <w:tcBorders>
                    <w:tl2br w:val="nil"/>
                    <w:tr2bl w:val="nil"/>
                  </w:tcBorders>
                  <w:shd w:val="clear" w:color="auto" w:fill="FFFFFF"/>
                  <w:vAlign w:val="center"/>
                </w:tcPr>
                <w:p w14:paraId="751A95F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u w:val="none" w:color="auto"/>
                    </w:rPr>
                    <w:t>T</w:t>
                  </w:r>
                </w:p>
              </w:tc>
              <w:tc>
                <w:tcPr>
                  <w:tcW w:w="1313" w:type="dxa"/>
                  <w:tcBorders>
                    <w:tl2br w:val="nil"/>
                    <w:tr2bl w:val="nil"/>
                  </w:tcBorders>
                  <w:shd w:val="clear" w:color="auto" w:fill="FFFFFF"/>
                  <w:vAlign w:val="center"/>
                </w:tcPr>
                <w:p w14:paraId="59D88A3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u w:val="none" w:color="auto"/>
                    </w:rPr>
                  </w:pPr>
                  <w:r>
                    <w:rPr>
                      <w:color w:val="auto"/>
                      <w:sz w:val="21"/>
                      <w:szCs w:val="21"/>
                      <w:highlight w:val="none"/>
                      <w:u w:val="none" w:color="auto"/>
                    </w:rPr>
                    <w:t>暂存</w:t>
                  </w:r>
                  <w:r>
                    <w:rPr>
                      <w:rFonts w:hint="eastAsia"/>
                      <w:color w:val="auto"/>
                      <w:sz w:val="21"/>
                      <w:szCs w:val="21"/>
                      <w:highlight w:val="none"/>
                      <w:u w:val="none" w:color="auto"/>
                      <w:lang w:val="en-US" w:eastAsia="zh-CN"/>
                    </w:rPr>
                    <w:t>于危险废物暂</w:t>
                  </w:r>
                  <w:r>
                    <w:rPr>
                      <w:color w:val="auto"/>
                      <w:sz w:val="21"/>
                      <w:szCs w:val="21"/>
                      <w:highlight w:val="none"/>
                      <w:u w:val="none" w:color="auto"/>
                    </w:rPr>
                    <w:t>存间内、定期交由有</w:t>
                  </w:r>
                  <w:r>
                    <w:rPr>
                      <w:rFonts w:hint="eastAsia"/>
                      <w:color w:val="auto"/>
                      <w:sz w:val="21"/>
                      <w:szCs w:val="21"/>
                      <w:highlight w:val="none"/>
                      <w:u w:val="none" w:color="auto"/>
                      <w:lang w:val="en-US" w:eastAsia="zh-CN"/>
                    </w:rPr>
                    <w:t>相应危险废物处置</w:t>
                  </w:r>
                  <w:r>
                    <w:rPr>
                      <w:color w:val="auto"/>
                      <w:sz w:val="21"/>
                      <w:szCs w:val="21"/>
                      <w:highlight w:val="none"/>
                      <w:u w:val="none" w:color="auto"/>
                    </w:rPr>
                    <w:t>资质单位处理。</w:t>
                  </w:r>
                </w:p>
              </w:tc>
            </w:tr>
          </w:tbl>
          <w:p w14:paraId="4697F61D">
            <w:pPr>
              <w:pStyle w:val="21"/>
              <w:rPr>
                <w:rFonts w:hint="default" w:eastAsia="宋体"/>
                <w:color w:val="auto"/>
                <w:u w:val="none" w:color="auto"/>
                <w:lang w:val="en-US" w:eastAsia="zh-CN"/>
              </w:rPr>
            </w:pPr>
            <w:r>
              <w:rPr>
                <w:rFonts w:hint="eastAsia" w:ascii="Times New Roman" w:hAnsi="Times New Roman" w:cs="Times New Roman"/>
                <w:bCs/>
                <w:color w:val="auto"/>
                <w:sz w:val="24"/>
                <w:u w:val="none" w:color="auto"/>
                <w:lang w:eastAsia="zh-CN"/>
              </w:rPr>
              <w:t>（</w:t>
            </w:r>
            <w:r>
              <w:rPr>
                <w:rFonts w:hint="eastAsia" w:ascii="Times New Roman" w:hAnsi="Times New Roman" w:cs="Times New Roman"/>
                <w:bCs/>
                <w:color w:val="auto"/>
                <w:sz w:val="24"/>
                <w:u w:val="none" w:color="auto"/>
                <w:lang w:val="en-US" w:eastAsia="zh-CN"/>
              </w:rPr>
              <w:t>1</w:t>
            </w:r>
            <w:r>
              <w:rPr>
                <w:rFonts w:hint="eastAsia" w:ascii="Times New Roman" w:hAnsi="Times New Roman" w:cs="Times New Roman"/>
                <w:bCs/>
                <w:color w:val="auto"/>
                <w:sz w:val="24"/>
                <w:u w:val="none" w:color="auto"/>
                <w:lang w:eastAsia="zh-CN"/>
              </w:rPr>
              <w:t>）</w:t>
            </w:r>
            <w:r>
              <w:rPr>
                <w:rFonts w:hint="eastAsia" w:ascii="Times New Roman" w:hAnsi="Times New Roman" w:cs="Times New Roman"/>
                <w:bCs/>
                <w:color w:val="auto"/>
                <w:sz w:val="24"/>
                <w:u w:val="none" w:color="auto"/>
                <w:lang w:val="en-US" w:eastAsia="zh-CN"/>
              </w:rPr>
              <w:t>医疗废物</w:t>
            </w:r>
          </w:p>
          <w:p w14:paraId="6E78E4B1">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default" w:ascii="宋体" w:hAnsi="宋体" w:eastAsia="宋体" w:cs="宋体"/>
                <w:i w:val="0"/>
                <w:iCs w:val="0"/>
                <w:caps w:val="0"/>
                <w:color w:val="auto"/>
                <w:spacing w:val="0"/>
                <w:sz w:val="24"/>
                <w:szCs w:val="24"/>
                <w:u w:val="none" w:color="auto"/>
                <w:shd w:val="clear" w:fill="FFFFFF"/>
                <w:lang w:val="en-US" w:eastAsia="zh-CN"/>
              </w:rPr>
            </w:pPr>
            <w:r>
              <w:rPr>
                <w:rFonts w:hint="eastAsia" w:cs="宋体"/>
                <w:i w:val="0"/>
                <w:iCs w:val="0"/>
                <w:caps w:val="0"/>
                <w:color w:val="auto"/>
                <w:spacing w:val="0"/>
                <w:sz w:val="24"/>
                <w:szCs w:val="24"/>
                <w:u w:val="none" w:color="auto"/>
                <w:shd w:val="clear" w:fill="FFFFFF"/>
                <w:lang w:val="en-US" w:eastAsia="zh-CN"/>
              </w:rPr>
              <w:t>①收集</w:t>
            </w:r>
          </w:p>
          <w:p w14:paraId="266F1002">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auto"/>
                <w:spacing w:val="0"/>
                <w:sz w:val="24"/>
                <w:szCs w:val="24"/>
                <w:u w:val="none" w:color="auto"/>
              </w:rPr>
            </w:pPr>
            <w:r>
              <w:rPr>
                <w:rFonts w:hint="eastAsia" w:ascii="宋体" w:hAnsi="宋体" w:eastAsia="宋体" w:cs="宋体"/>
                <w:i w:val="0"/>
                <w:iCs w:val="0"/>
                <w:caps w:val="0"/>
                <w:color w:val="auto"/>
                <w:spacing w:val="0"/>
                <w:sz w:val="24"/>
                <w:szCs w:val="24"/>
                <w:u w:val="none" w:color="auto"/>
                <w:shd w:val="clear" w:fill="FFFFFF"/>
              </w:rPr>
              <w:t>医疗卫生机构应当根据《医疗废物分类目录》，对医疗废物实施分类管理。医疗卫生机构应当按照以下要求，及时分类收集医疗废物：</w:t>
            </w:r>
          </w:p>
          <w:p w14:paraId="641910DF">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auto"/>
                <w:spacing w:val="0"/>
                <w:sz w:val="24"/>
                <w:szCs w:val="24"/>
                <w:u w:val="none" w:color="auto"/>
              </w:rPr>
            </w:pPr>
            <w:r>
              <w:rPr>
                <w:rFonts w:hint="eastAsia" w:cs="宋体"/>
                <w:i w:val="0"/>
                <w:iCs w:val="0"/>
                <w:caps w:val="0"/>
                <w:color w:val="auto"/>
                <w:spacing w:val="0"/>
                <w:sz w:val="24"/>
                <w:szCs w:val="24"/>
                <w:u w:val="none" w:color="auto"/>
                <w:shd w:val="clear" w:fill="FFFFFF"/>
                <w:lang w:val="en-US" w:eastAsia="zh-CN"/>
              </w:rPr>
              <w:t>A.</w:t>
            </w:r>
            <w:r>
              <w:rPr>
                <w:rFonts w:hint="eastAsia" w:ascii="宋体" w:hAnsi="宋体" w:eastAsia="宋体" w:cs="宋体"/>
                <w:i w:val="0"/>
                <w:iCs w:val="0"/>
                <w:caps w:val="0"/>
                <w:color w:val="auto"/>
                <w:spacing w:val="0"/>
                <w:sz w:val="24"/>
                <w:szCs w:val="24"/>
                <w:u w:val="none" w:color="auto"/>
                <w:shd w:val="clear" w:fill="FFFFFF"/>
              </w:rPr>
              <w:t>根据医疗废物的类别，将医疗废物分置于符合《医疗废物专用包装物、容器的标准和警示标识的规定》的包装物或者容器内；</w:t>
            </w:r>
          </w:p>
          <w:p w14:paraId="18A33C2A">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auto"/>
                <w:spacing w:val="0"/>
                <w:sz w:val="24"/>
                <w:szCs w:val="24"/>
                <w:u w:val="none" w:color="auto"/>
              </w:rPr>
            </w:pPr>
            <w:r>
              <w:rPr>
                <w:rFonts w:hint="eastAsia" w:cs="宋体"/>
                <w:i w:val="0"/>
                <w:iCs w:val="0"/>
                <w:caps w:val="0"/>
                <w:color w:val="auto"/>
                <w:spacing w:val="0"/>
                <w:sz w:val="24"/>
                <w:szCs w:val="24"/>
                <w:u w:val="none" w:color="auto"/>
                <w:shd w:val="clear" w:fill="FFFFFF"/>
                <w:lang w:val="en-US" w:eastAsia="zh-CN"/>
              </w:rPr>
              <w:t>B.</w:t>
            </w:r>
            <w:r>
              <w:rPr>
                <w:rFonts w:hint="eastAsia" w:ascii="宋体" w:hAnsi="宋体" w:eastAsia="宋体" w:cs="宋体"/>
                <w:i w:val="0"/>
                <w:iCs w:val="0"/>
                <w:caps w:val="0"/>
                <w:color w:val="auto"/>
                <w:spacing w:val="0"/>
                <w:sz w:val="24"/>
                <w:szCs w:val="24"/>
                <w:u w:val="none" w:color="auto"/>
                <w:shd w:val="clear" w:fill="FFFFFF"/>
              </w:rPr>
              <w:t>在盛装医疗废物前，应当对医疗废物包装物或者容器进行认真检查，确保无破损、渗漏和其他缺陷；</w:t>
            </w:r>
          </w:p>
          <w:p w14:paraId="44EC313E">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auto"/>
                <w:spacing w:val="0"/>
                <w:sz w:val="24"/>
                <w:szCs w:val="24"/>
                <w:u w:val="none" w:color="auto"/>
              </w:rPr>
            </w:pPr>
            <w:r>
              <w:rPr>
                <w:rFonts w:hint="eastAsia" w:cs="宋体"/>
                <w:i w:val="0"/>
                <w:iCs w:val="0"/>
                <w:caps w:val="0"/>
                <w:color w:val="auto"/>
                <w:spacing w:val="0"/>
                <w:sz w:val="24"/>
                <w:szCs w:val="24"/>
                <w:u w:val="none" w:color="auto"/>
                <w:shd w:val="clear" w:fill="FFFFFF"/>
                <w:lang w:val="en-US" w:eastAsia="zh-CN"/>
              </w:rPr>
              <w:t>C.</w:t>
            </w:r>
            <w:r>
              <w:rPr>
                <w:rFonts w:hint="eastAsia" w:ascii="宋体" w:hAnsi="宋体" w:eastAsia="宋体" w:cs="宋体"/>
                <w:i w:val="0"/>
                <w:iCs w:val="0"/>
                <w:caps w:val="0"/>
                <w:color w:val="auto"/>
                <w:spacing w:val="0"/>
                <w:sz w:val="24"/>
                <w:szCs w:val="24"/>
                <w:u w:val="none" w:color="auto"/>
                <w:shd w:val="clear" w:fill="FFFFFF"/>
              </w:rPr>
              <w:t>感染性废物、病理性废物、损伤性废物、药物性废物及化学性废物不能混合收集。少量的药物性废物可以混入感染性废物，但应当在标签上注明；</w:t>
            </w:r>
          </w:p>
          <w:p w14:paraId="5862196C">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auto"/>
                <w:spacing w:val="0"/>
                <w:sz w:val="24"/>
                <w:szCs w:val="24"/>
                <w:u w:val="none" w:color="auto"/>
              </w:rPr>
            </w:pPr>
            <w:r>
              <w:rPr>
                <w:rFonts w:hint="eastAsia" w:cs="宋体"/>
                <w:i w:val="0"/>
                <w:iCs w:val="0"/>
                <w:caps w:val="0"/>
                <w:color w:val="auto"/>
                <w:spacing w:val="0"/>
                <w:sz w:val="24"/>
                <w:szCs w:val="24"/>
                <w:u w:val="none" w:color="auto"/>
                <w:shd w:val="clear" w:fill="FFFFFF"/>
                <w:lang w:val="en-US" w:eastAsia="zh-CN"/>
              </w:rPr>
              <w:t>D.</w:t>
            </w:r>
            <w:r>
              <w:rPr>
                <w:rFonts w:hint="eastAsia" w:ascii="宋体" w:hAnsi="宋体" w:eastAsia="宋体" w:cs="宋体"/>
                <w:i w:val="0"/>
                <w:iCs w:val="0"/>
                <w:caps w:val="0"/>
                <w:color w:val="auto"/>
                <w:spacing w:val="0"/>
                <w:sz w:val="24"/>
                <w:szCs w:val="24"/>
                <w:u w:val="none" w:color="auto"/>
                <w:shd w:val="clear" w:fill="FFFFFF"/>
              </w:rPr>
              <w:t>废弃的麻醉、精神、放射性、毒性等药品及其相关的废物的管理，依照有关法律、行政法规和国家有关规定、标准执行；</w:t>
            </w:r>
          </w:p>
          <w:p w14:paraId="32C90AEA">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auto"/>
                <w:spacing w:val="0"/>
                <w:sz w:val="24"/>
                <w:szCs w:val="24"/>
                <w:u w:val="none" w:color="auto"/>
              </w:rPr>
            </w:pPr>
            <w:r>
              <w:rPr>
                <w:rFonts w:hint="eastAsia" w:cs="宋体"/>
                <w:i w:val="0"/>
                <w:iCs w:val="0"/>
                <w:caps w:val="0"/>
                <w:color w:val="auto"/>
                <w:spacing w:val="0"/>
                <w:sz w:val="24"/>
                <w:szCs w:val="24"/>
                <w:u w:val="none" w:color="auto"/>
                <w:shd w:val="clear" w:fill="FFFFFF"/>
                <w:lang w:val="en-US" w:eastAsia="zh-CN"/>
              </w:rPr>
              <w:t>E.</w:t>
            </w:r>
            <w:r>
              <w:rPr>
                <w:rFonts w:hint="eastAsia" w:ascii="宋体" w:hAnsi="宋体" w:eastAsia="宋体" w:cs="宋体"/>
                <w:i w:val="0"/>
                <w:iCs w:val="0"/>
                <w:caps w:val="0"/>
                <w:color w:val="auto"/>
                <w:spacing w:val="0"/>
                <w:sz w:val="24"/>
                <w:szCs w:val="24"/>
                <w:u w:val="none" w:color="auto"/>
                <w:shd w:val="clear" w:fill="FFFFFF"/>
              </w:rPr>
              <w:t>化学性废物中批量的废化学试剂、废消毒剂应当交由专门机构处置；</w:t>
            </w:r>
          </w:p>
          <w:p w14:paraId="4A768560">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auto"/>
                <w:spacing w:val="0"/>
                <w:sz w:val="24"/>
                <w:szCs w:val="24"/>
                <w:u w:val="none" w:color="auto"/>
              </w:rPr>
            </w:pPr>
            <w:r>
              <w:rPr>
                <w:rFonts w:hint="eastAsia" w:cs="宋体"/>
                <w:i w:val="0"/>
                <w:iCs w:val="0"/>
                <w:caps w:val="0"/>
                <w:color w:val="auto"/>
                <w:spacing w:val="0"/>
                <w:sz w:val="24"/>
                <w:szCs w:val="24"/>
                <w:u w:val="none" w:color="auto"/>
                <w:shd w:val="clear" w:fill="FFFFFF"/>
                <w:lang w:val="en-US" w:eastAsia="zh-CN"/>
              </w:rPr>
              <w:t>F.</w:t>
            </w:r>
            <w:r>
              <w:rPr>
                <w:rFonts w:hint="eastAsia" w:ascii="宋体" w:hAnsi="宋体" w:eastAsia="宋体" w:cs="宋体"/>
                <w:i w:val="0"/>
                <w:iCs w:val="0"/>
                <w:caps w:val="0"/>
                <w:color w:val="auto"/>
                <w:spacing w:val="0"/>
                <w:sz w:val="24"/>
                <w:szCs w:val="24"/>
                <w:u w:val="none" w:color="auto"/>
                <w:shd w:val="clear" w:fill="FFFFFF"/>
              </w:rPr>
              <w:t>批量的含有汞的体温计、血压计等医疗器具报废时，应当交由专门机构处置；</w:t>
            </w:r>
          </w:p>
          <w:p w14:paraId="7015F187">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auto"/>
                <w:spacing w:val="0"/>
                <w:sz w:val="24"/>
                <w:szCs w:val="24"/>
                <w:u w:val="none" w:color="auto"/>
              </w:rPr>
            </w:pPr>
            <w:r>
              <w:rPr>
                <w:rFonts w:hint="eastAsia" w:cs="宋体"/>
                <w:i w:val="0"/>
                <w:iCs w:val="0"/>
                <w:caps w:val="0"/>
                <w:color w:val="auto"/>
                <w:spacing w:val="0"/>
                <w:sz w:val="24"/>
                <w:szCs w:val="24"/>
                <w:u w:val="none" w:color="auto"/>
                <w:shd w:val="clear" w:fill="FFFFFF"/>
                <w:lang w:val="en-US" w:eastAsia="zh-CN"/>
              </w:rPr>
              <w:t>G.</w:t>
            </w:r>
            <w:r>
              <w:rPr>
                <w:rFonts w:hint="eastAsia" w:ascii="宋体" w:hAnsi="宋体" w:eastAsia="宋体" w:cs="宋体"/>
                <w:i w:val="0"/>
                <w:iCs w:val="0"/>
                <w:caps w:val="0"/>
                <w:color w:val="auto"/>
                <w:spacing w:val="0"/>
                <w:sz w:val="24"/>
                <w:szCs w:val="24"/>
                <w:u w:val="none" w:color="auto"/>
                <w:shd w:val="clear" w:fill="FFFFFF"/>
              </w:rPr>
              <w:t>医疗废物中病原体的培养基、标本和菌种、毒种保存液等高危险废物，应当首先在产生地点进行压力蒸汽灭菌或者化学消毒处理，然后按感染性废物收集处理；</w:t>
            </w:r>
          </w:p>
          <w:p w14:paraId="0BAC1A28">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auto"/>
                <w:spacing w:val="0"/>
                <w:sz w:val="24"/>
                <w:szCs w:val="24"/>
                <w:u w:val="none" w:color="auto"/>
              </w:rPr>
            </w:pPr>
            <w:r>
              <w:rPr>
                <w:rFonts w:hint="eastAsia" w:cs="宋体"/>
                <w:i w:val="0"/>
                <w:iCs w:val="0"/>
                <w:caps w:val="0"/>
                <w:color w:val="auto"/>
                <w:spacing w:val="0"/>
                <w:sz w:val="24"/>
                <w:szCs w:val="24"/>
                <w:u w:val="none" w:color="auto"/>
                <w:shd w:val="clear" w:fill="FFFFFF"/>
                <w:lang w:val="en-US" w:eastAsia="zh-CN"/>
              </w:rPr>
              <w:t>H.</w:t>
            </w:r>
            <w:r>
              <w:rPr>
                <w:rFonts w:hint="eastAsia" w:ascii="宋体" w:hAnsi="宋体" w:eastAsia="宋体" w:cs="宋体"/>
                <w:i w:val="0"/>
                <w:iCs w:val="0"/>
                <w:caps w:val="0"/>
                <w:color w:val="auto"/>
                <w:spacing w:val="0"/>
                <w:sz w:val="24"/>
                <w:szCs w:val="24"/>
                <w:u w:val="none" w:color="auto"/>
                <w:shd w:val="clear" w:fill="FFFFFF"/>
              </w:rPr>
              <w:t>隔离的传染病病人或者疑似传染病病人产生的具有传染性的排泄物，应当按照国家规定严格消毒，达到国家规定的排放标准后方可排入污水处理系统；</w:t>
            </w:r>
          </w:p>
          <w:p w14:paraId="61F1AB25">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auto"/>
                <w:spacing w:val="0"/>
                <w:sz w:val="24"/>
                <w:szCs w:val="24"/>
                <w:u w:val="none" w:color="auto"/>
              </w:rPr>
            </w:pPr>
            <w:r>
              <w:rPr>
                <w:rFonts w:hint="eastAsia" w:cs="宋体"/>
                <w:i w:val="0"/>
                <w:iCs w:val="0"/>
                <w:caps w:val="0"/>
                <w:color w:val="auto"/>
                <w:spacing w:val="0"/>
                <w:sz w:val="24"/>
                <w:szCs w:val="24"/>
                <w:u w:val="none" w:color="auto"/>
                <w:shd w:val="clear" w:fill="FFFFFF"/>
                <w:lang w:val="en-US" w:eastAsia="zh-CN"/>
              </w:rPr>
              <w:t>I.</w:t>
            </w:r>
            <w:r>
              <w:rPr>
                <w:rFonts w:hint="eastAsia" w:ascii="宋体" w:hAnsi="宋体" w:eastAsia="宋体" w:cs="宋体"/>
                <w:i w:val="0"/>
                <w:iCs w:val="0"/>
                <w:caps w:val="0"/>
                <w:color w:val="auto"/>
                <w:spacing w:val="0"/>
                <w:sz w:val="24"/>
                <w:szCs w:val="24"/>
                <w:u w:val="none" w:color="auto"/>
                <w:shd w:val="clear" w:fill="FFFFFF"/>
              </w:rPr>
              <w:t>隔离的传染病病人或者疑似传染病病人产生的医疗废物应当使用双层包装物，并及时密封；</w:t>
            </w:r>
          </w:p>
          <w:p w14:paraId="337CE147">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auto"/>
                <w:spacing w:val="0"/>
                <w:sz w:val="24"/>
                <w:szCs w:val="24"/>
                <w:u w:val="none" w:color="auto"/>
              </w:rPr>
            </w:pPr>
            <w:r>
              <w:rPr>
                <w:rFonts w:hint="eastAsia" w:cs="宋体"/>
                <w:i w:val="0"/>
                <w:iCs w:val="0"/>
                <w:caps w:val="0"/>
                <w:color w:val="auto"/>
                <w:spacing w:val="0"/>
                <w:sz w:val="24"/>
                <w:szCs w:val="24"/>
                <w:u w:val="none" w:color="auto"/>
                <w:shd w:val="clear" w:fill="FFFFFF"/>
                <w:lang w:val="en-US" w:eastAsia="zh-CN"/>
              </w:rPr>
              <w:t>J.</w:t>
            </w:r>
            <w:r>
              <w:rPr>
                <w:rFonts w:hint="eastAsia" w:ascii="宋体" w:hAnsi="宋体" w:eastAsia="宋体" w:cs="宋体"/>
                <w:i w:val="0"/>
                <w:iCs w:val="0"/>
                <w:caps w:val="0"/>
                <w:color w:val="auto"/>
                <w:spacing w:val="0"/>
                <w:sz w:val="24"/>
                <w:szCs w:val="24"/>
                <w:u w:val="none" w:color="auto"/>
                <w:shd w:val="clear" w:fill="FFFFFF"/>
              </w:rPr>
              <w:t>放入包装物或者容器内的感染性废物、病理性废物、损伤性废物不得取出。</w:t>
            </w:r>
          </w:p>
          <w:p w14:paraId="529AB31B">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auto"/>
                <w:spacing w:val="0"/>
                <w:sz w:val="24"/>
                <w:szCs w:val="24"/>
                <w:u w:val="none" w:color="auto"/>
              </w:rPr>
            </w:pPr>
            <w:r>
              <w:rPr>
                <w:rFonts w:hint="eastAsia" w:ascii="宋体" w:hAnsi="宋体" w:eastAsia="宋体" w:cs="宋体"/>
                <w:i w:val="0"/>
                <w:iCs w:val="0"/>
                <w:caps w:val="0"/>
                <w:color w:val="auto"/>
                <w:spacing w:val="0"/>
                <w:sz w:val="24"/>
                <w:szCs w:val="24"/>
                <w:u w:val="none" w:color="auto"/>
                <w:shd w:val="clear" w:fill="FFFFFF"/>
                <w:lang w:val="en-US" w:eastAsia="zh-CN"/>
              </w:rPr>
              <w:t>此外，</w:t>
            </w:r>
            <w:r>
              <w:rPr>
                <w:rFonts w:hint="eastAsia" w:ascii="宋体" w:hAnsi="宋体" w:eastAsia="宋体" w:cs="宋体"/>
                <w:i w:val="0"/>
                <w:iCs w:val="0"/>
                <w:caps w:val="0"/>
                <w:color w:val="auto"/>
                <w:spacing w:val="0"/>
                <w:sz w:val="24"/>
                <w:szCs w:val="24"/>
                <w:u w:val="none" w:color="auto"/>
                <w:shd w:val="clear" w:fill="FFFFFF"/>
              </w:rPr>
              <w:t>医疗卫生机构内医疗废物产生地点应当有医疗废物分类收集方法的示意图或者文字说明</w:t>
            </w:r>
            <w:r>
              <w:rPr>
                <w:rFonts w:hint="eastAsia" w:ascii="宋体" w:hAnsi="宋体" w:eastAsia="宋体" w:cs="宋体"/>
                <w:i w:val="0"/>
                <w:iCs w:val="0"/>
                <w:caps w:val="0"/>
                <w:color w:val="auto"/>
                <w:spacing w:val="0"/>
                <w:sz w:val="24"/>
                <w:szCs w:val="24"/>
                <w:u w:val="none" w:color="auto"/>
                <w:shd w:val="clear" w:fill="FFFFFF"/>
                <w:lang w:eastAsia="zh-CN"/>
              </w:rPr>
              <w:t>；</w:t>
            </w:r>
            <w:r>
              <w:rPr>
                <w:rFonts w:hint="eastAsia" w:ascii="宋体" w:hAnsi="宋体" w:eastAsia="宋体" w:cs="宋体"/>
                <w:i w:val="0"/>
                <w:iCs w:val="0"/>
                <w:caps w:val="0"/>
                <w:color w:val="auto"/>
                <w:spacing w:val="0"/>
                <w:sz w:val="24"/>
                <w:szCs w:val="24"/>
                <w:u w:val="none" w:color="auto"/>
                <w:shd w:val="clear" w:fill="FFFFFF"/>
              </w:rPr>
              <w:t>盛装的医疗废物达到包装物或者容器的3/4时，应当使用有效的封口方式，使包装物或者容器的封口紧实、严密</w:t>
            </w:r>
            <w:r>
              <w:rPr>
                <w:rFonts w:hint="eastAsia" w:ascii="宋体" w:hAnsi="宋体" w:eastAsia="宋体" w:cs="宋体"/>
                <w:i w:val="0"/>
                <w:iCs w:val="0"/>
                <w:caps w:val="0"/>
                <w:color w:val="auto"/>
                <w:spacing w:val="0"/>
                <w:sz w:val="24"/>
                <w:szCs w:val="24"/>
                <w:u w:val="none" w:color="auto"/>
                <w:shd w:val="clear" w:fill="FFFFFF"/>
                <w:lang w:eastAsia="zh-CN"/>
              </w:rPr>
              <w:t>；</w:t>
            </w:r>
            <w:r>
              <w:rPr>
                <w:rFonts w:hint="eastAsia" w:ascii="宋体" w:hAnsi="宋体" w:eastAsia="宋体" w:cs="宋体"/>
                <w:i w:val="0"/>
                <w:iCs w:val="0"/>
                <w:caps w:val="0"/>
                <w:color w:val="auto"/>
                <w:spacing w:val="0"/>
                <w:sz w:val="24"/>
                <w:szCs w:val="24"/>
                <w:u w:val="none" w:color="auto"/>
                <w:shd w:val="clear" w:fill="FFFFFF"/>
              </w:rPr>
              <w:t>包装物或者容器的外表面被感染性废物污染时，应当对被污染处进行消毒处理或者增加一层包装</w:t>
            </w:r>
            <w:r>
              <w:rPr>
                <w:rFonts w:hint="eastAsia" w:ascii="宋体" w:hAnsi="宋体" w:eastAsia="宋体" w:cs="宋体"/>
                <w:i w:val="0"/>
                <w:iCs w:val="0"/>
                <w:caps w:val="0"/>
                <w:color w:val="auto"/>
                <w:spacing w:val="0"/>
                <w:sz w:val="24"/>
                <w:szCs w:val="24"/>
                <w:u w:val="none" w:color="auto"/>
                <w:shd w:val="clear" w:fill="FFFFFF"/>
                <w:lang w:eastAsia="zh-CN"/>
              </w:rPr>
              <w:t>；</w:t>
            </w:r>
            <w:r>
              <w:rPr>
                <w:rFonts w:hint="eastAsia" w:ascii="宋体" w:hAnsi="宋体" w:eastAsia="宋体" w:cs="宋体"/>
                <w:i w:val="0"/>
                <w:iCs w:val="0"/>
                <w:caps w:val="0"/>
                <w:color w:val="auto"/>
                <w:spacing w:val="0"/>
                <w:sz w:val="24"/>
                <w:szCs w:val="24"/>
                <w:u w:val="none" w:color="auto"/>
                <w:shd w:val="clear" w:fill="FFFFFF"/>
              </w:rPr>
              <w:t>盛装医疗废物的每个包装物、容器外表面应当有警示标识，在每个包装物、容器上应当系中文标签，中文标签的内容应当包括：医疗废物产生单位、产生日期、类别及需要的特别说明等</w:t>
            </w:r>
            <w:r>
              <w:rPr>
                <w:rFonts w:hint="eastAsia" w:ascii="宋体" w:hAnsi="宋体" w:eastAsia="宋体" w:cs="宋体"/>
                <w:i w:val="0"/>
                <w:iCs w:val="0"/>
                <w:caps w:val="0"/>
                <w:color w:val="auto"/>
                <w:spacing w:val="0"/>
                <w:sz w:val="24"/>
                <w:szCs w:val="24"/>
                <w:u w:val="none" w:color="auto"/>
                <w:shd w:val="clear" w:fill="FFFFFF"/>
                <w:lang w:eastAsia="zh-CN"/>
              </w:rPr>
              <w:t>；</w:t>
            </w:r>
            <w:r>
              <w:rPr>
                <w:rFonts w:hint="eastAsia" w:ascii="宋体" w:hAnsi="宋体" w:eastAsia="宋体" w:cs="宋体"/>
                <w:i w:val="0"/>
                <w:iCs w:val="0"/>
                <w:caps w:val="0"/>
                <w:color w:val="auto"/>
                <w:spacing w:val="0"/>
                <w:sz w:val="24"/>
                <w:szCs w:val="24"/>
                <w:u w:val="none" w:color="auto"/>
                <w:shd w:val="clear" w:fill="FFFFFF"/>
              </w:rPr>
              <w:t>运送人员每天从医疗废物产生地点将分类包装的医疗废物按照规定的时间和路线运送至内部指定的暂时贮存地点</w:t>
            </w:r>
            <w:r>
              <w:rPr>
                <w:rFonts w:hint="eastAsia" w:ascii="宋体" w:hAnsi="宋体" w:eastAsia="宋体" w:cs="宋体"/>
                <w:i w:val="0"/>
                <w:iCs w:val="0"/>
                <w:caps w:val="0"/>
                <w:color w:val="auto"/>
                <w:spacing w:val="0"/>
                <w:sz w:val="24"/>
                <w:szCs w:val="24"/>
                <w:u w:val="none" w:color="auto"/>
                <w:shd w:val="clear" w:fill="FFFFFF"/>
                <w:lang w:eastAsia="zh-CN"/>
              </w:rPr>
              <w:t>；</w:t>
            </w:r>
            <w:r>
              <w:rPr>
                <w:rFonts w:hint="eastAsia" w:ascii="宋体" w:hAnsi="宋体" w:eastAsia="宋体" w:cs="宋体"/>
                <w:i w:val="0"/>
                <w:iCs w:val="0"/>
                <w:caps w:val="0"/>
                <w:color w:val="auto"/>
                <w:spacing w:val="0"/>
                <w:sz w:val="24"/>
                <w:szCs w:val="24"/>
                <w:u w:val="none" w:color="auto"/>
                <w:shd w:val="clear" w:fill="FFFFFF"/>
              </w:rPr>
              <w:t>运送人员在运送医疗废物前，应当检查包装物或者容器的标识、标签及封口是否符合要求，不得将不符合要求的医疗废物运送至暂时贮存地点</w:t>
            </w:r>
            <w:r>
              <w:rPr>
                <w:rFonts w:hint="eastAsia" w:ascii="宋体" w:hAnsi="宋体" w:eastAsia="宋体" w:cs="宋体"/>
                <w:i w:val="0"/>
                <w:iCs w:val="0"/>
                <w:caps w:val="0"/>
                <w:color w:val="auto"/>
                <w:spacing w:val="0"/>
                <w:sz w:val="24"/>
                <w:szCs w:val="24"/>
                <w:u w:val="none" w:color="auto"/>
                <w:shd w:val="clear" w:fill="FFFFFF"/>
                <w:lang w:eastAsia="zh-CN"/>
              </w:rPr>
              <w:t>；</w:t>
            </w:r>
            <w:r>
              <w:rPr>
                <w:rFonts w:hint="eastAsia" w:ascii="宋体" w:hAnsi="宋体" w:eastAsia="宋体" w:cs="宋体"/>
                <w:i w:val="0"/>
                <w:iCs w:val="0"/>
                <w:caps w:val="0"/>
                <w:color w:val="auto"/>
                <w:spacing w:val="0"/>
                <w:sz w:val="24"/>
                <w:szCs w:val="24"/>
                <w:u w:val="none" w:color="auto"/>
                <w:shd w:val="clear" w:fill="FFFFFF"/>
              </w:rPr>
              <w:t>运送人员在运送医疗废物时，应当防止造成包装物或容器破损和医疗废物的流失、泄漏和扩散，并防止医疗废物直接接触身体</w:t>
            </w:r>
            <w:r>
              <w:rPr>
                <w:rFonts w:hint="eastAsia" w:ascii="宋体" w:hAnsi="宋体" w:eastAsia="宋体" w:cs="宋体"/>
                <w:i w:val="0"/>
                <w:iCs w:val="0"/>
                <w:caps w:val="0"/>
                <w:color w:val="auto"/>
                <w:spacing w:val="0"/>
                <w:sz w:val="24"/>
                <w:szCs w:val="24"/>
                <w:u w:val="none" w:color="auto"/>
                <w:shd w:val="clear" w:fill="FFFFFF"/>
                <w:lang w:eastAsia="zh-CN"/>
              </w:rPr>
              <w:t>；</w:t>
            </w:r>
            <w:r>
              <w:rPr>
                <w:rFonts w:hint="eastAsia" w:ascii="宋体" w:hAnsi="宋体" w:eastAsia="宋体" w:cs="宋体"/>
                <w:i w:val="0"/>
                <w:iCs w:val="0"/>
                <w:caps w:val="0"/>
                <w:color w:val="auto"/>
                <w:spacing w:val="0"/>
                <w:sz w:val="24"/>
                <w:szCs w:val="24"/>
                <w:u w:val="none" w:color="auto"/>
                <w:shd w:val="clear" w:fill="FFFFFF"/>
              </w:rPr>
              <w:t>运送医疗废物应当使用防渗漏、防遗撒、无锐利边角、易于装卸和清洁的专用运送工具</w:t>
            </w:r>
            <w:r>
              <w:rPr>
                <w:rFonts w:hint="eastAsia" w:ascii="宋体" w:hAnsi="宋体" w:eastAsia="宋体" w:cs="宋体"/>
                <w:i w:val="0"/>
                <w:iCs w:val="0"/>
                <w:caps w:val="0"/>
                <w:color w:val="auto"/>
                <w:spacing w:val="0"/>
                <w:sz w:val="24"/>
                <w:szCs w:val="24"/>
                <w:u w:val="none" w:color="auto"/>
                <w:shd w:val="clear" w:fill="FFFFFF"/>
                <w:lang w:eastAsia="zh-CN"/>
              </w:rPr>
              <w:t>；</w:t>
            </w:r>
            <w:r>
              <w:rPr>
                <w:rFonts w:hint="eastAsia" w:ascii="宋体" w:hAnsi="宋体" w:eastAsia="宋体" w:cs="宋体"/>
                <w:i w:val="0"/>
                <w:iCs w:val="0"/>
                <w:caps w:val="0"/>
                <w:color w:val="auto"/>
                <w:spacing w:val="0"/>
                <w:sz w:val="24"/>
                <w:szCs w:val="24"/>
                <w:u w:val="none" w:color="auto"/>
                <w:shd w:val="clear" w:fill="FFFFFF"/>
              </w:rPr>
              <w:t>每天运送工作结束后，应当对运送工具及时进行清洁和消毒。</w:t>
            </w:r>
          </w:p>
          <w:p w14:paraId="634DD97B">
            <w:pPr>
              <w:adjustRightInd w:val="0"/>
              <w:snapToGrid w:val="0"/>
              <w:ind w:firstLine="480"/>
              <w:rPr>
                <w:rFonts w:hint="default" w:ascii="Times New Roman" w:hAnsi="Times New Roman" w:eastAsia="宋体" w:cs="Times New Roman"/>
                <w:bCs/>
                <w:color w:val="auto"/>
                <w:sz w:val="24"/>
                <w:u w:val="none" w:color="auto"/>
                <w:lang w:val="en-US" w:eastAsia="zh-CN"/>
              </w:rPr>
            </w:pPr>
            <w:r>
              <w:rPr>
                <w:rFonts w:hint="eastAsia" w:cs="Times New Roman"/>
                <w:bCs/>
                <w:color w:val="auto"/>
                <w:sz w:val="24"/>
                <w:u w:val="none" w:color="auto"/>
                <w:lang w:val="en-US" w:eastAsia="zh-CN"/>
              </w:rPr>
              <w:t>②医疗废物暂存间的设置</w:t>
            </w:r>
          </w:p>
          <w:p w14:paraId="67692876">
            <w:pPr>
              <w:spacing w:beforeLines="0" w:afterLines="0"/>
              <w:jc w:val="left"/>
              <w:rPr>
                <w:rFonts w:hint="default" w:ascii="宋体" w:hAnsi="宋体" w:eastAsia="宋体"/>
                <w:color w:val="auto"/>
                <w:sz w:val="24"/>
                <w:szCs w:val="24"/>
                <w:u w:val="none" w:color="auto"/>
                <w:lang w:val="en-US" w:eastAsia="zh-CN"/>
              </w:rPr>
            </w:pPr>
            <w:r>
              <w:rPr>
                <w:rFonts w:hint="eastAsia" w:ascii="Times New Roman" w:hAnsi="Times New Roman" w:eastAsia="宋体" w:cs="Times New Roman"/>
                <w:bCs/>
                <w:color w:val="auto"/>
                <w:sz w:val="24"/>
                <w:u w:val="none" w:color="auto"/>
              </w:rPr>
              <w:t>项目于</w:t>
            </w:r>
            <w:r>
              <w:rPr>
                <w:rFonts w:hint="eastAsia" w:ascii="Times New Roman" w:hAnsi="Times New Roman" w:eastAsia="宋体" w:cs="Times New Roman"/>
                <w:bCs/>
                <w:color w:val="auto"/>
                <w:sz w:val="24"/>
                <w:u w:val="none" w:color="auto"/>
                <w:lang w:val="en-US" w:eastAsia="zh-CN"/>
              </w:rPr>
              <w:t>场地东南角</w:t>
            </w:r>
            <w:r>
              <w:rPr>
                <w:rFonts w:hint="eastAsia" w:ascii="Times New Roman" w:hAnsi="Times New Roman" w:eastAsia="宋体" w:cs="Times New Roman"/>
                <w:bCs/>
                <w:color w:val="auto"/>
                <w:sz w:val="24"/>
                <w:u w:val="none" w:color="auto"/>
              </w:rPr>
              <w:t>设置</w:t>
            </w:r>
            <w:r>
              <w:rPr>
                <w:rFonts w:hint="eastAsia" w:cs="Times New Roman"/>
                <w:bCs/>
                <w:color w:val="auto"/>
                <w:sz w:val="24"/>
                <w:u w:val="none" w:color="auto"/>
                <w:lang w:val="en-US" w:eastAsia="zh-CN"/>
              </w:rPr>
              <w:t>一处</w:t>
            </w:r>
            <w:r>
              <w:rPr>
                <w:rFonts w:hint="eastAsia" w:cs="Times New Roman"/>
                <w:bCs/>
                <w:color w:val="auto"/>
                <w:sz w:val="24"/>
                <w:u w:val="none" w:color="auto"/>
                <w:lang w:eastAsia="zh-CN"/>
              </w:rPr>
              <w:t>医疗废物暂存间</w:t>
            </w:r>
            <w:r>
              <w:rPr>
                <w:rFonts w:hint="eastAsia" w:ascii="Times New Roman" w:hAnsi="Times New Roman" w:eastAsia="宋体" w:cs="Times New Roman"/>
                <w:bCs/>
                <w:color w:val="auto"/>
                <w:sz w:val="24"/>
                <w:u w:val="none" w:color="auto"/>
              </w:rPr>
              <w:t>，面积</w:t>
            </w:r>
            <w:r>
              <w:rPr>
                <w:rFonts w:hint="eastAsia" w:cs="Times New Roman"/>
                <w:bCs/>
                <w:color w:val="auto"/>
                <w:sz w:val="24"/>
                <w:u w:val="none" w:color="auto"/>
                <w:lang w:val="en-US" w:eastAsia="zh-CN"/>
              </w:rPr>
              <w:t>20</w:t>
            </w:r>
            <w:r>
              <w:rPr>
                <w:rFonts w:hint="eastAsia" w:ascii="Times New Roman" w:hAnsi="Times New Roman" w:eastAsia="宋体" w:cs="Times New Roman"/>
                <w:bCs/>
                <w:color w:val="auto"/>
                <w:sz w:val="24"/>
                <w:u w:val="none" w:color="auto"/>
              </w:rPr>
              <w:t>m</w:t>
            </w:r>
            <w:r>
              <w:rPr>
                <w:rFonts w:hint="eastAsia" w:ascii="Times New Roman" w:hAnsi="Times New Roman" w:eastAsia="宋体" w:cs="Times New Roman"/>
                <w:bCs/>
                <w:color w:val="auto"/>
                <w:sz w:val="24"/>
                <w:u w:val="none" w:color="auto"/>
                <w:vertAlign w:val="superscript"/>
              </w:rPr>
              <w:t>2</w:t>
            </w:r>
            <w:r>
              <w:rPr>
                <w:rFonts w:hint="eastAsia" w:ascii="Times New Roman" w:hAnsi="Times New Roman" w:eastAsia="宋体" w:cs="Times New Roman"/>
                <w:bCs/>
                <w:color w:val="auto"/>
                <w:sz w:val="24"/>
                <w:u w:val="none" w:color="auto"/>
              </w:rPr>
              <w:t>，日常最大储存量</w:t>
            </w:r>
            <w:r>
              <w:rPr>
                <w:rFonts w:hint="eastAsia" w:cs="Times New Roman"/>
                <w:bCs/>
                <w:color w:val="auto"/>
                <w:sz w:val="24"/>
                <w:u w:val="none" w:color="auto"/>
                <w:lang w:val="en-US" w:eastAsia="zh-CN"/>
              </w:rPr>
              <w:t>5.0</w:t>
            </w:r>
            <w:r>
              <w:rPr>
                <w:rFonts w:hint="eastAsia" w:ascii="Times New Roman" w:hAnsi="Times New Roman" w:eastAsia="宋体" w:cs="Times New Roman"/>
                <w:bCs/>
                <w:color w:val="auto"/>
                <w:sz w:val="24"/>
                <w:u w:val="none" w:color="auto"/>
              </w:rPr>
              <w:t>t。</w:t>
            </w:r>
            <w:r>
              <w:rPr>
                <w:rFonts w:hint="eastAsia" w:ascii="宋体" w:hAnsi="宋体"/>
                <w:color w:val="auto"/>
                <w:sz w:val="24"/>
                <w:szCs w:val="24"/>
                <w:u w:val="none" w:color="auto"/>
                <w:lang w:val="en-US" w:eastAsia="zh-CN"/>
              </w:rPr>
              <w:t>根据</w:t>
            </w:r>
            <w:r>
              <w:rPr>
                <w:rFonts w:hint="eastAsia" w:cs="Times New Roman"/>
                <w:bCs/>
                <w:color w:val="auto"/>
                <w:sz w:val="24"/>
                <w:u w:val="none" w:color="auto"/>
                <w:lang w:eastAsia="zh-CN"/>
              </w:rPr>
              <w:t>《医疗卫生机构医疗废物管理办法》，</w:t>
            </w:r>
            <w:r>
              <w:rPr>
                <w:rFonts w:hint="eastAsia" w:ascii="宋体" w:hAnsi="宋体" w:eastAsia="宋体" w:cs="宋体"/>
                <w:i w:val="0"/>
                <w:iCs w:val="0"/>
                <w:caps w:val="0"/>
                <w:color w:val="auto"/>
                <w:spacing w:val="0"/>
                <w:sz w:val="24"/>
                <w:szCs w:val="24"/>
                <w:u w:val="none" w:color="auto"/>
                <w:shd w:val="clear" w:fill="FFFFFF"/>
              </w:rPr>
              <w:t>医疗卫生机构建立的医疗废物暂时贮存设施、设备应当达到以下要求：</w:t>
            </w:r>
          </w:p>
          <w:p w14:paraId="63E87B2C">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auto"/>
                <w:spacing w:val="0"/>
                <w:sz w:val="24"/>
                <w:szCs w:val="24"/>
                <w:u w:val="none" w:color="auto"/>
              </w:rPr>
            </w:pPr>
            <w:r>
              <w:rPr>
                <w:rFonts w:hint="eastAsia" w:cs="宋体"/>
                <w:i w:val="0"/>
                <w:iCs w:val="0"/>
                <w:caps w:val="0"/>
                <w:color w:val="auto"/>
                <w:spacing w:val="0"/>
                <w:sz w:val="24"/>
                <w:szCs w:val="24"/>
                <w:u w:val="none" w:color="auto"/>
                <w:shd w:val="clear" w:fill="FFFFFF"/>
                <w:lang w:val="en-US" w:eastAsia="zh-CN"/>
              </w:rPr>
              <w:t>A.</w:t>
            </w:r>
            <w:r>
              <w:rPr>
                <w:rFonts w:hint="eastAsia" w:ascii="宋体" w:hAnsi="宋体" w:eastAsia="宋体" w:cs="宋体"/>
                <w:i w:val="0"/>
                <w:iCs w:val="0"/>
                <w:caps w:val="0"/>
                <w:color w:val="auto"/>
                <w:spacing w:val="0"/>
                <w:sz w:val="24"/>
                <w:szCs w:val="24"/>
                <w:u w:val="none" w:color="auto"/>
                <w:shd w:val="clear" w:fill="FFFFFF"/>
              </w:rPr>
              <w:t>远离医疗区、食品加工区、人员活动区和生活垃圾存放场所，方便医疗废物运送人员及运送工具、车辆的出入；</w:t>
            </w:r>
          </w:p>
          <w:p w14:paraId="4A02C18E">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auto"/>
                <w:spacing w:val="0"/>
                <w:sz w:val="24"/>
                <w:szCs w:val="24"/>
                <w:u w:val="none" w:color="auto"/>
              </w:rPr>
            </w:pPr>
            <w:r>
              <w:rPr>
                <w:rFonts w:hint="eastAsia" w:cs="宋体"/>
                <w:i w:val="0"/>
                <w:iCs w:val="0"/>
                <w:caps w:val="0"/>
                <w:color w:val="auto"/>
                <w:spacing w:val="0"/>
                <w:sz w:val="24"/>
                <w:szCs w:val="24"/>
                <w:u w:val="none" w:color="auto"/>
                <w:shd w:val="clear" w:fill="FFFFFF"/>
                <w:lang w:val="en-US" w:eastAsia="zh-CN"/>
              </w:rPr>
              <w:t>B.</w:t>
            </w:r>
            <w:r>
              <w:rPr>
                <w:rFonts w:hint="eastAsia" w:ascii="宋体" w:hAnsi="宋体" w:eastAsia="宋体" w:cs="宋体"/>
                <w:i w:val="0"/>
                <w:iCs w:val="0"/>
                <w:caps w:val="0"/>
                <w:color w:val="auto"/>
                <w:spacing w:val="0"/>
                <w:sz w:val="24"/>
                <w:szCs w:val="24"/>
                <w:u w:val="none" w:color="auto"/>
                <w:shd w:val="clear" w:fill="FFFFFF"/>
              </w:rPr>
              <w:t>有严密的封闭措施，设专(兼)职人员管理，防止非工作人员接触医疗废物；</w:t>
            </w:r>
          </w:p>
          <w:p w14:paraId="39436BC9">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auto"/>
                <w:spacing w:val="0"/>
                <w:sz w:val="24"/>
                <w:szCs w:val="24"/>
                <w:u w:val="none" w:color="auto"/>
              </w:rPr>
            </w:pPr>
            <w:r>
              <w:rPr>
                <w:rFonts w:hint="eastAsia" w:cs="宋体"/>
                <w:i w:val="0"/>
                <w:iCs w:val="0"/>
                <w:caps w:val="0"/>
                <w:color w:val="auto"/>
                <w:spacing w:val="0"/>
                <w:sz w:val="24"/>
                <w:szCs w:val="24"/>
                <w:u w:val="none" w:color="auto"/>
                <w:shd w:val="clear" w:fill="FFFFFF"/>
                <w:lang w:val="en-US" w:eastAsia="zh-CN"/>
              </w:rPr>
              <w:t>C.</w:t>
            </w:r>
            <w:r>
              <w:rPr>
                <w:rFonts w:hint="eastAsia" w:ascii="宋体" w:hAnsi="宋体" w:eastAsia="宋体" w:cs="宋体"/>
                <w:i w:val="0"/>
                <w:iCs w:val="0"/>
                <w:caps w:val="0"/>
                <w:color w:val="auto"/>
                <w:spacing w:val="0"/>
                <w:sz w:val="24"/>
                <w:szCs w:val="24"/>
                <w:u w:val="none" w:color="auto"/>
                <w:shd w:val="clear" w:fill="FFFFFF"/>
              </w:rPr>
              <w:t>有防鼠、防蚊蝇、防蟑螂的安全措施；</w:t>
            </w:r>
          </w:p>
          <w:p w14:paraId="3B8E8B1A">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auto"/>
                <w:spacing w:val="0"/>
                <w:sz w:val="24"/>
                <w:szCs w:val="24"/>
                <w:u w:val="none" w:color="auto"/>
              </w:rPr>
            </w:pPr>
            <w:r>
              <w:rPr>
                <w:rFonts w:hint="eastAsia" w:cs="宋体"/>
                <w:i w:val="0"/>
                <w:iCs w:val="0"/>
                <w:caps w:val="0"/>
                <w:color w:val="auto"/>
                <w:spacing w:val="0"/>
                <w:sz w:val="24"/>
                <w:szCs w:val="24"/>
                <w:u w:val="none" w:color="auto"/>
                <w:shd w:val="clear" w:fill="FFFFFF"/>
                <w:lang w:val="en-US" w:eastAsia="zh-CN"/>
              </w:rPr>
              <w:t>E.</w:t>
            </w:r>
            <w:r>
              <w:rPr>
                <w:rFonts w:hint="eastAsia" w:ascii="宋体" w:hAnsi="宋体" w:eastAsia="宋体" w:cs="宋体"/>
                <w:i w:val="0"/>
                <w:iCs w:val="0"/>
                <w:caps w:val="0"/>
                <w:color w:val="auto"/>
                <w:spacing w:val="0"/>
                <w:sz w:val="24"/>
                <w:szCs w:val="24"/>
                <w:u w:val="none" w:color="auto"/>
                <w:shd w:val="clear" w:fill="FFFFFF"/>
              </w:rPr>
              <w:t>防止渗漏和雨水冲刷；</w:t>
            </w:r>
          </w:p>
          <w:p w14:paraId="3A2ED4AB">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auto"/>
                <w:spacing w:val="0"/>
                <w:sz w:val="24"/>
                <w:szCs w:val="24"/>
                <w:u w:val="none" w:color="auto"/>
              </w:rPr>
            </w:pPr>
            <w:r>
              <w:rPr>
                <w:rFonts w:hint="eastAsia" w:cs="宋体"/>
                <w:i w:val="0"/>
                <w:iCs w:val="0"/>
                <w:caps w:val="0"/>
                <w:color w:val="auto"/>
                <w:spacing w:val="0"/>
                <w:sz w:val="24"/>
                <w:szCs w:val="24"/>
                <w:u w:val="none" w:color="auto"/>
                <w:shd w:val="clear" w:fill="FFFFFF"/>
                <w:lang w:val="en-US" w:eastAsia="zh-CN"/>
              </w:rPr>
              <w:t>F.</w:t>
            </w:r>
            <w:r>
              <w:rPr>
                <w:rFonts w:hint="eastAsia" w:ascii="宋体" w:hAnsi="宋体" w:eastAsia="宋体" w:cs="宋体"/>
                <w:i w:val="0"/>
                <w:iCs w:val="0"/>
                <w:caps w:val="0"/>
                <w:color w:val="auto"/>
                <w:spacing w:val="0"/>
                <w:sz w:val="24"/>
                <w:szCs w:val="24"/>
                <w:u w:val="none" w:color="auto"/>
                <w:shd w:val="clear" w:fill="FFFFFF"/>
              </w:rPr>
              <w:t>易于清洁和消毒；</w:t>
            </w:r>
          </w:p>
          <w:p w14:paraId="68FFC4B0">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auto"/>
                <w:spacing w:val="0"/>
                <w:sz w:val="24"/>
                <w:szCs w:val="24"/>
                <w:u w:val="none" w:color="auto"/>
              </w:rPr>
            </w:pPr>
            <w:r>
              <w:rPr>
                <w:rFonts w:hint="eastAsia" w:cs="宋体"/>
                <w:i w:val="0"/>
                <w:iCs w:val="0"/>
                <w:caps w:val="0"/>
                <w:color w:val="auto"/>
                <w:spacing w:val="0"/>
                <w:sz w:val="24"/>
                <w:szCs w:val="24"/>
                <w:u w:val="none" w:color="auto"/>
                <w:shd w:val="clear" w:fill="FFFFFF"/>
                <w:lang w:val="en-US" w:eastAsia="zh-CN"/>
              </w:rPr>
              <w:t>G.</w:t>
            </w:r>
            <w:r>
              <w:rPr>
                <w:rFonts w:hint="eastAsia" w:ascii="宋体" w:hAnsi="宋体" w:eastAsia="宋体" w:cs="宋体"/>
                <w:i w:val="0"/>
                <w:iCs w:val="0"/>
                <w:caps w:val="0"/>
                <w:color w:val="auto"/>
                <w:spacing w:val="0"/>
                <w:sz w:val="24"/>
                <w:szCs w:val="24"/>
                <w:u w:val="none" w:color="auto"/>
                <w:shd w:val="clear" w:fill="FFFFFF"/>
              </w:rPr>
              <w:t>避免阳光直射；</w:t>
            </w:r>
          </w:p>
          <w:p w14:paraId="1A8C8DAB">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auto"/>
                <w:spacing w:val="0"/>
                <w:sz w:val="24"/>
                <w:szCs w:val="24"/>
                <w:u w:val="none" w:color="auto"/>
                <w:shd w:val="clear" w:fill="FFFFFF"/>
              </w:rPr>
            </w:pPr>
            <w:r>
              <w:rPr>
                <w:rFonts w:hint="eastAsia" w:cs="宋体"/>
                <w:i w:val="0"/>
                <w:iCs w:val="0"/>
                <w:caps w:val="0"/>
                <w:color w:val="auto"/>
                <w:spacing w:val="0"/>
                <w:sz w:val="24"/>
                <w:szCs w:val="24"/>
                <w:u w:val="none" w:color="auto"/>
                <w:shd w:val="clear" w:fill="FFFFFF"/>
                <w:lang w:val="en-US" w:eastAsia="zh-CN"/>
              </w:rPr>
              <w:t>H.</w:t>
            </w:r>
            <w:r>
              <w:rPr>
                <w:rFonts w:hint="eastAsia" w:ascii="宋体" w:hAnsi="宋体" w:eastAsia="宋体" w:cs="宋体"/>
                <w:i w:val="0"/>
                <w:iCs w:val="0"/>
                <w:caps w:val="0"/>
                <w:color w:val="auto"/>
                <w:spacing w:val="0"/>
                <w:sz w:val="24"/>
                <w:szCs w:val="24"/>
                <w:u w:val="none" w:color="auto"/>
                <w:shd w:val="clear" w:fill="FFFFFF"/>
              </w:rPr>
              <w:t>设有明显的医疗废物警示标识和“禁止吸烟、饮食”的警示标识。</w:t>
            </w:r>
          </w:p>
          <w:p w14:paraId="42F312EB">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cs="宋体"/>
                <w:i w:val="0"/>
                <w:iCs w:val="0"/>
                <w:caps w:val="0"/>
                <w:color w:val="auto"/>
                <w:spacing w:val="0"/>
                <w:sz w:val="24"/>
                <w:szCs w:val="24"/>
                <w:u w:val="none" w:color="auto"/>
                <w:shd w:val="clear" w:fill="FFFFFF"/>
                <w:lang w:val="en-US" w:eastAsia="zh-CN"/>
              </w:rPr>
            </w:pPr>
            <w:r>
              <w:rPr>
                <w:rFonts w:hint="eastAsia" w:cs="宋体"/>
                <w:i w:val="0"/>
                <w:iCs w:val="0"/>
                <w:caps w:val="0"/>
                <w:color w:val="auto"/>
                <w:spacing w:val="0"/>
                <w:sz w:val="24"/>
                <w:szCs w:val="24"/>
                <w:u w:val="none" w:color="auto"/>
                <w:shd w:val="clear" w:fill="FFFFFF"/>
                <w:lang w:val="en-US" w:eastAsia="zh-CN"/>
              </w:rPr>
              <w:t>③医疗废物外运</w:t>
            </w:r>
          </w:p>
          <w:p w14:paraId="4CD86D42">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default" w:cs="宋体"/>
                <w:i w:val="0"/>
                <w:iCs w:val="0"/>
                <w:caps w:val="0"/>
                <w:color w:val="auto"/>
                <w:spacing w:val="0"/>
                <w:sz w:val="24"/>
                <w:szCs w:val="24"/>
                <w:u w:val="none" w:color="auto"/>
                <w:shd w:val="clear" w:fill="FFFFFF"/>
                <w:lang w:val="en-US" w:eastAsia="zh-CN"/>
              </w:rPr>
            </w:pPr>
            <w:r>
              <w:rPr>
                <w:rFonts w:hint="default" w:cs="Times New Roman"/>
                <w:bCs/>
                <w:color w:val="auto"/>
                <w:sz w:val="24"/>
                <w:u w:val="none" w:color="auto"/>
                <w:lang w:val="en-US" w:eastAsia="zh-CN"/>
              </w:rPr>
              <w:t>危险废物外运管理要严格执行《危险废物转移管理办法》（部令第23号）的规定，并严格按照《危险废物产生单位管理计划制定指南》要求建立危险废物管理台账，产废单位结合自身实际情况，与生产记录相结合，如实记载危险废物的种类、产生量、流向、贮存、利用处置等信息。</w:t>
            </w:r>
          </w:p>
          <w:p w14:paraId="0CE7AF8C">
            <w:pPr>
              <w:numPr>
                <w:ilvl w:val="0"/>
                <w:numId w:val="13"/>
              </w:numPr>
              <w:adjustRightInd w:val="0"/>
              <w:snapToGrid w:val="0"/>
              <w:ind w:left="902" w:leftChars="0" w:hanging="420" w:firstLineChars="0"/>
              <w:rPr>
                <w:rFonts w:hint="eastAsia" w:cs="Times New Roman"/>
                <w:bCs/>
                <w:color w:val="auto"/>
                <w:sz w:val="24"/>
                <w:u w:val="none" w:color="auto"/>
                <w:lang w:val="en-US" w:eastAsia="zh-CN"/>
              </w:rPr>
            </w:pPr>
            <w:r>
              <w:rPr>
                <w:rFonts w:hint="eastAsia" w:cs="Times New Roman"/>
                <w:bCs/>
                <w:color w:val="auto"/>
                <w:sz w:val="24"/>
                <w:u w:val="none" w:color="auto"/>
                <w:lang w:val="en-US" w:eastAsia="zh-CN"/>
              </w:rPr>
              <w:t>危险废物</w:t>
            </w:r>
          </w:p>
          <w:p w14:paraId="4A56645C">
            <w:pPr>
              <w:adjustRightInd w:val="0"/>
              <w:snapToGrid w:val="0"/>
              <w:ind w:firstLine="480"/>
              <w:rPr>
                <w:rFonts w:hint="default" w:cs="Times New Roman"/>
                <w:bCs/>
                <w:color w:val="auto"/>
                <w:sz w:val="24"/>
                <w:u w:val="none" w:color="auto"/>
                <w:lang w:val="en-US" w:eastAsia="zh-CN"/>
              </w:rPr>
            </w:pPr>
            <w:r>
              <w:rPr>
                <w:rFonts w:hint="eastAsia" w:cs="Times New Roman"/>
                <w:bCs/>
                <w:color w:val="auto"/>
                <w:sz w:val="24"/>
                <w:u w:val="none" w:color="auto"/>
                <w:lang w:val="en-US" w:eastAsia="zh-CN"/>
              </w:rPr>
              <w:t>危险废物</w:t>
            </w:r>
            <w:r>
              <w:rPr>
                <w:rFonts w:hint="default" w:cs="Times New Roman"/>
                <w:bCs/>
                <w:color w:val="auto"/>
                <w:sz w:val="24"/>
                <w:u w:val="none" w:color="auto"/>
                <w:lang w:val="en-US" w:eastAsia="zh-CN"/>
              </w:rPr>
              <w:t>暂存间按照《危险废物贮存污染控制标准》（GB18597-2023）的规定进行建设，采取防渗、防淋、设置危险废物堆放点的标志牌等措施，收集的危险废物置于专用的密闭容器内，危险废物外运管理要严格执行《危险废物转移管理办法》（部令第23号）的规定，并严格按照《危险废物产生单位管理计划制定指南》要求建立危险废物管理台账，产废单位结合自身实际情况，与生产记录相结合，如实记载危险废物的种类、产生量、流向、贮存、利用处置等信息。</w:t>
            </w:r>
          </w:p>
          <w:p w14:paraId="1FAFC818">
            <w:pPr>
              <w:pStyle w:val="21"/>
              <w:numPr>
                <w:ilvl w:val="0"/>
                <w:numId w:val="0"/>
              </w:numPr>
              <w:ind w:left="482" w:leftChars="0"/>
              <w:rPr>
                <w:rFonts w:hint="default"/>
                <w:color w:val="auto"/>
                <w:u w:val="none" w:color="auto"/>
                <w:lang w:val="en-US" w:eastAsia="zh-CN"/>
              </w:rPr>
            </w:pPr>
          </w:p>
          <w:p w14:paraId="3A766653">
            <w:pPr>
              <w:adjustRightInd w:val="0"/>
              <w:snapToGrid w:val="0"/>
              <w:ind w:firstLine="480"/>
              <w:rPr>
                <w:rFonts w:hint="eastAsia" w:ascii="Times New Roman" w:hAnsi="Times New Roman" w:eastAsia="宋体" w:cs="Times New Roman"/>
                <w:bCs/>
                <w:color w:val="auto"/>
                <w:sz w:val="24"/>
                <w:u w:val="none" w:color="auto"/>
                <w:lang w:eastAsia="zh-CN"/>
              </w:rPr>
            </w:pPr>
            <w:r>
              <w:rPr>
                <w:rFonts w:hint="eastAsia" w:cs="Times New Roman"/>
                <w:bCs/>
                <w:color w:val="auto"/>
                <w:sz w:val="24"/>
                <w:u w:val="none" w:color="auto"/>
                <w:lang w:val="en-US" w:eastAsia="zh-CN"/>
              </w:rPr>
              <w:t>项目选址符合上述要求，将按上述要求进行建设。</w:t>
            </w:r>
            <w:r>
              <w:rPr>
                <w:rFonts w:hint="eastAsia" w:ascii="Times New Roman" w:hAnsi="Times New Roman" w:eastAsia="宋体" w:cs="Times New Roman"/>
                <w:bCs/>
                <w:color w:val="auto"/>
                <w:sz w:val="24"/>
                <w:u w:val="none" w:color="auto"/>
                <w:lang w:val="zh-TW"/>
              </w:rPr>
              <w:t>危险废物贮存场所（设施）基本情况表</w:t>
            </w:r>
            <w:r>
              <w:rPr>
                <w:rFonts w:hint="eastAsia" w:ascii="Times New Roman" w:hAnsi="Times New Roman" w:eastAsia="宋体" w:cs="Times New Roman"/>
                <w:bCs/>
                <w:color w:val="auto"/>
                <w:sz w:val="24"/>
                <w:u w:val="none" w:color="auto"/>
              </w:rPr>
              <w:t>如下表所示</w:t>
            </w:r>
            <w:r>
              <w:rPr>
                <w:rFonts w:hint="eastAsia" w:ascii="Times New Roman" w:hAnsi="Times New Roman" w:eastAsia="宋体" w:cs="Times New Roman"/>
                <w:bCs/>
                <w:color w:val="auto"/>
                <w:sz w:val="24"/>
                <w:u w:val="none" w:color="auto"/>
                <w:lang w:eastAsia="zh-CN"/>
              </w:rPr>
              <w:t>：</w:t>
            </w:r>
          </w:p>
          <w:p w14:paraId="2ABFCCC6">
            <w:pPr>
              <w:pStyle w:val="10"/>
              <w:numPr>
                <w:ilvl w:val="0"/>
                <w:numId w:val="3"/>
              </w:numPr>
              <w:ind w:left="0" w:firstLine="0" w:firstLineChars="0"/>
              <w:jc w:val="center"/>
              <w:rPr>
                <w:rFonts w:hint="eastAsia" w:ascii="黑体" w:hAnsi="黑体" w:eastAsia="黑体"/>
                <w:b w:val="0"/>
                <w:color w:val="auto"/>
                <w:u w:val="none" w:color="auto"/>
              </w:rPr>
            </w:pPr>
            <w:r>
              <w:rPr>
                <w:rFonts w:hint="eastAsia" w:ascii="黑体" w:hAnsi="黑体" w:eastAsia="黑体"/>
                <w:b w:val="0"/>
                <w:color w:val="auto"/>
                <w:u w:val="none" w:color="auto"/>
              </w:rPr>
              <w:t>建设项目危险废物贮存场所（设施）基本情况</w:t>
            </w:r>
          </w:p>
          <w:tbl>
            <w:tblPr>
              <w:tblStyle w:val="22"/>
              <w:tblW w:w="87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3"/>
              <w:gridCol w:w="1035"/>
              <w:gridCol w:w="978"/>
              <w:gridCol w:w="828"/>
              <w:gridCol w:w="1281"/>
              <w:gridCol w:w="754"/>
              <w:gridCol w:w="723"/>
              <w:gridCol w:w="894"/>
              <w:gridCol w:w="659"/>
              <w:gridCol w:w="1164"/>
            </w:tblGrid>
            <w:tr w14:paraId="3F59BF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3" w:type="dxa"/>
                  <w:tcBorders>
                    <w:top w:val="single" w:color="auto" w:sz="4" w:space="0"/>
                    <w:left w:val="single" w:color="auto" w:sz="0" w:space="0"/>
                  </w:tcBorders>
                  <w:vAlign w:val="center"/>
                </w:tcPr>
                <w:p w14:paraId="7B4D9C18">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序号</w:t>
                  </w:r>
                </w:p>
              </w:tc>
              <w:tc>
                <w:tcPr>
                  <w:tcW w:w="1035" w:type="dxa"/>
                  <w:tcBorders>
                    <w:top w:val="single" w:color="auto" w:sz="4" w:space="0"/>
                  </w:tcBorders>
                  <w:vAlign w:val="center"/>
                </w:tcPr>
                <w:p w14:paraId="461FFA00">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贮存场所（设施）名称</w:t>
                  </w:r>
                </w:p>
              </w:tc>
              <w:tc>
                <w:tcPr>
                  <w:tcW w:w="978" w:type="dxa"/>
                  <w:tcBorders>
                    <w:top w:val="single" w:color="auto" w:sz="4" w:space="0"/>
                  </w:tcBorders>
                  <w:vAlign w:val="center"/>
                </w:tcPr>
                <w:p w14:paraId="6966697F">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eastAsia" w:cs="Times New Roman"/>
                      <w:color w:val="auto"/>
                      <w:kern w:val="0"/>
                      <w:sz w:val="21"/>
                      <w:szCs w:val="21"/>
                      <w:u w:val="none" w:color="auto"/>
                      <w:lang w:val="en-US" w:eastAsia="zh-CN"/>
                    </w:rPr>
                    <w:t>物质</w:t>
                  </w:r>
                  <w:r>
                    <w:rPr>
                      <w:rFonts w:hint="default" w:ascii="Times New Roman" w:hAnsi="Times New Roman" w:eastAsia="宋体" w:cs="Times New Roman"/>
                      <w:color w:val="auto"/>
                      <w:kern w:val="0"/>
                      <w:sz w:val="21"/>
                      <w:szCs w:val="21"/>
                      <w:u w:val="none" w:color="auto"/>
                    </w:rPr>
                    <w:t>名称</w:t>
                  </w:r>
                </w:p>
              </w:tc>
              <w:tc>
                <w:tcPr>
                  <w:tcW w:w="828" w:type="dxa"/>
                  <w:tcBorders>
                    <w:top w:val="single" w:color="auto" w:sz="4" w:space="0"/>
                  </w:tcBorders>
                  <w:vAlign w:val="center"/>
                </w:tcPr>
                <w:p w14:paraId="4932EE47">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危险废物类别</w:t>
                  </w:r>
                </w:p>
              </w:tc>
              <w:tc>
                <w:tcPr>
                  <w:tcW w:w="1281" w:type="dxa"/>
                  <w:tcBorders>
                    <w:top w:val="single" w:color="auto" w:sz="4" w:space="0"/>
                  </w:tcBorders>
                  <w:vAlign w:val="center"/>
                </w:tcPr>
                <w:p w14:paraId="58362CFC">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危险废物代码</w:t>
                  </w:r>
                </w:p>
              </w:tc>
              <w:tc>
                <w:tcPr>
                  <w:tcW w:w="754" w:type="dxa"/>
                  <w:tcBorders>
                    <w:top w:val="single" w:color="auto" w:sz="4" w:space="0"/>
                  </w:tcBorders>
                  <w:vAlign w:val="center"/>
                </w:tcPr>
                <w:p w14:paraId="1CEEE04C">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位置</w:t>
                  </w:r>
                </w:p>
              </w:tc>
              <w:tc>
                <w:tcPr>
                  <w:tcW w:w="723" w:type="dxa"/>
                  <w:tcBorders>
                    <w:top w:val="single" w:color="auto" w:sz="4" w:space="0"/>
                  </w:tcBorders>
                  <w:vAlign w:val="center"/>
                </w:tcPr>
                <w:p w14:paraId="30E79F04">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占地面积</w:t>
                  </w:r>
                </w:p>
              </w:tc>
              <w:tc>
                <w:tcPr>
                  <w:tcW w:w="894" w:type="dxa"/>
                  <w:tcBorders>
                    <w:top w:val="single" w:color="auto" w:sz="4" w:space="0"/>
                  </w:tcBorders>
                  <w:vAlign w:val="center"/>
                </w:tcPr>
                <w:p w14:paraId="40E30216">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贮存方式</w:t>
                  </w:r>
                </w:p>
              </w:tc>
              <w:tc>
                <w:tcPr>
                  <w:tcW w:w="659" w:type="dxa"/>
                  <w:tcBorders>
                    <w:top w:val="single" w:color="auto" w:sz="4" w:space="0"/>
                  </w:tcBorders>
                  <w:vAlign w:val="center"/>
                </w:tcPr>
                <w:p w14:paraId="75E88C4F">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贮存</w:t>
                  </w:r>
                </w:p>
                <w:p w14:paraId="07B0B7F7">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能力</w:t>
                  </w:r>
                </w:p>
              </w:tc>
              <w:tc>
                <w:tcPr>
                  <w:tcW w:w="1164" w:type="dxa"/>
                  <w:tcBorders>
                    <w:top w:val="single" w:color="auto" w:sz="4" w:space="0"/>
                    <w:right w:val="single" w:color="auto" w:sz="4" w:space="0"/>
                  </w:tcBorders>
                  <w:vAlign w:val="center"/>
                </w:tcPr>
                <w:p w14:paraId="774F82D5">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贮存</w:t>
                  </w:r>
                </w:p>
                <w:p w14:paraId="71C5511F">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周期</w:t>
                  </w:r>
                </w:p>
              </w:tc>
            </w:tr>
            <w:tr w14:paraId="2759F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3" w:type="dxa"/>
                  <w:tcBorders>
                    <w:left w:val="single" w:color="auto" w:sz="4" w:space="0"/>
                  </w:tcBorders>
                  <w:vAlign w:val="center"/>
                </w:tcPr>
                <w:p w14:paraId="467E6BDE">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1</w:t>
                  </w:r>
                </w:p>
              </w:tc>
              <w:tc>
                <w:tcPr>
                  <w:tcW w:w="1035" w:type="dxa"/>
                  <w:vMerge w:val="restart"/>
                  <w:vAlign w:val="center"/>
                </w:tcPr>
                <w:p w14:paraId="15B669AC">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0"/>
                      <w:sz w:val="21"/>
                      <w:szCs w:val="21"/>
                      <w:u w:val="none" w:color="auto"/>
                      <w:lang w:eastAsia="zh-CN"/>
                    </w:rPr>
                  </w:pPr>
                  <w:r>
                    <w:rPr>
                      <w:rFonts w:hint="eastAsia" w:cs="Times New Roman"/>
                      <w:color w:val="auto"/>
                      <w:kern w:val="0"/>
                      <w:sz w:val="21"/>
                      <w:szCs w:val="21"/>
                      <w:u w:val="none" w:color="auto"/>
                      <w:lang w:val="en-US" w:eastAsia="zh-CN"/>
                    </w:rPr>
                    <w:t>医疗废物</w:t>
                  </w:r>
                  <w:r>
                    <w:rPr>
                      <w:rFonts w:hint="default" w:ascii="Times New Roman" w:hAnsi="Times New Roman" w:eastAsia="宋体" w:cs="Times New Roman"/>
                      <w:color w:val="auto"/>
                      <w:kern w:val="0"/>
                      <w:sz w:val="21"/>
                      <w:szCs w:val="21"/>
                      <w:u w:val="none" w:color="auto"/>
                    </w:rPr>
                    <w:t>暂存</w:t>
                  </w:r>
                  <w:r>
                    <w:rPr>
                      <w:rFonts w:hint="eastAsia" w:ascii="Times New Roman" w:hAnsi="Times New Roman" w:eastAsia="宋体" w:cs="Times New Roman"/>
                      <w:color w:val="auto"/>
                      <w:kern w:val="0"/>
                      <w:sz w:val="21"/>
                      <w:szCs w:val="21"/>
                      <w:u w:val="none" w:color="auto"/>
                      <w:lang w:val="en-US" w:eastAsia="zh-CN"/>
                    </w:rPr>
                    <w:t>间</w:t>
                  </w:r>
                </w:p>
              </w:tc>
              <w:tc>
                <w:tcPr>
                  <w:tcW w:w="978" w:type="dxa"/>
                  <w:vAlign w:val="center"/>
                </w:tcPr>
                <w:p w14:paraId="75E4DA29">
                  <w:pPr>
                    <w:keepNext w:val="0"/>
                    <w:keepLines w:val="0"/>
                    <w:pageBreakBefore w:val="0"/>
                    <w:widowControl w:val="0"/>
                    <w:kinsoku/>
                    <w:wordWrap/>
                    <w:overflowPunct/>
                    <w:autoSpaceDE/>
                    <w:autoSpaceDN/>
                    <w:bidi w:val="0"/>
                    <w:spacing w:line="320" w:lineRule="exact"/>
                    <w:ind w:firstLine="0" w:firstLineChars="0"/>
                    <w:jc w:val="center"/>
                    <w:textAlignment w:val="auto"/>
                    <w:rPr>
                      <w:rFonts w:hint="default" w:ascii="Times New Roman" w:hAnsi="Times New Roman" w:eastAsia="宋体" w:cs="Times New Roman"/>
                      <w:b w:val="0"/>
                      <w:bCs/>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医疗废物</w:t>
                  </w:r>
                </w:p>
              </w:tc>
              <w:tc>
                <w:tcPr>
                  <w:tcW w:w="828" w:type="dxa"/>
                  <w:vAlign w:val="center"/>
                </w:tcPr>
                <w:p w14:paraId="4AA1A2CE">
                  <w:pPr>
                    <w:pStyle w:val="53"/>
                    <w:keepNext w:val="0"/>
                    <w:keepLines w:val="0"/>
                    <w:pageBreakBefore w:val="0"/>
                    <w:widowControl w:val="0"/>
                    <w:kinsoku/>
                    <w:wordWrap/>
                    <w:overflowPunct/>
                    <w:autoSpaceDE/>
                    <w:autoSpaceDN/>
                    <w:bidi w:val="0"/>
                    <w:snapToGrid w:val="0"/>
                    <w:spacing w:before="0" w:after="0" w:line="320" w:lineRule="exact"/>
                    <w:ind w:right="0" w:rightChars="0" w:firstLine="0" w:firstLineChars="0"/>
                    <w:textAlignment w:val="auto"/>
                    <w:rPr>
                      <w:rFonts w:hint="default" w:ascii="Times New Roman" w:hAnsi="Times New Roman" w:eastAsia="宋体" w:cs="Times New Roman"/>
                      <w:b w:val="0"/>
                      <w:bCs/>
                      <w:color w:val="auto"/>
                      <w:sz w:val="21"/>
                      <w:szCs w:val="21"/>
                      <w:u w:val="none" w:color="auto"/>
                      <w:lang w:val="en-US" w:eastAsia="zh-CN"/>
                    </w:rPr>
                  </w:pPr>
                  <w:r>
                    <w:rPr>
                      <w:rFonts w:hint="default" w:ascii="Times New Roman" w:hAnsi="Times New Roman" w:eastAsia="宋体" w:cs="Times New Roman"/>
                      <w:b w:val="0"/>
                      <w:bCs/>
                      <w:color w:val="auto"/>
                      <w:sz w:val="21"/>
                      <w:szCs w:val="21"/>
                      <w:u w:val="none" w:color="auto"/>
                      <w:lang w:val="en-US" w:eastAsia="zh-CN"/>
                    </w:rPr>
                    <w:t>HW0</w:t>
                  </w:r>
                  <w:r>
                    <w:rPr>
                      <w:rFonts w:hint="eastAsia" w:ascii="Times New Roman" w:hAnsi="Times New Roman" w:eastAsia="宋体" w:cs="Times New Roman"/>
                      <w:b w:val="0"/>
                      <w:bCs/>
                      <w:color w:val="auto"/>
                      <w:sz w:val="21"/>
                      <w:szCs w:val="21"/>
                      <w:u w:val="none" w:color="auto"/>
                      <w:lang w:val="en-US" w:eastAsia="zh-CN"/>
                    </w:rPr>
                    <w:t>1</w:t>
                  </w:r>
                </w:p>
              </w:tc>
              <w:tc>
                <w:tcPr>
                  <w:tcW w:w="1281" w:type="dxa"/>
                  <w:vAlign w:val="center"/>
                </w:tcPr>
                <w:p w14:paraId="7E72403A">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841-001-01</w:t>
                  </w:r>
                </w:p>
                <w:p w14:paraId="75635DA0">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841-002-01</w:t>
                  </w:r>
                </w:p>
                <w:p w14:paraId="244A8238">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841-003-01</w:t>
                  </w:r>
                </w:p>
                <w:p w14:paraId="7AF79017">
                  <w:pPr>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841-004-01</w:t>
                  </w:r>
                </w:p>
                <w:p w14:paraId="5F53E0C5">
                  <w:pPr>
                    <w:spacing w:line="240" w:lineRule="auto"/>
                    <w:ind w:firstLine="0" w:firstLineChars="0"/>
                    <w:jc w:val="center"/>
                    <w:rPr>
                      <w:rFonts w:hint="default" w:ascii="Times New Roman" w:hAnsi="Times New Roman" w:eastAsia="宋体" w:cs="Times New Roman"/>
                      <w:b w:val="0"/>
                      <w:bCs/>
                      <w:color w:val="auto"/>
                      <w:sz w:val="21"/>
                      <w:szCs w:val="21"/>
                      <w:u w:val="none" w:color="auto"/>
                      <w:lang w:val="en-US" w:eastAsia="zh-CN"/>
                    </w:rPr>
                  </w:pPr>
                  <w:r>
                    <w:rPr>
                      <w:rFonts w:hint="eastAsia"/>
                      <w:color w:val="auto"/>
                      <w:sz w:val="21"/>
                      <w:szCs w:val="21"/>
                      <w:u w:val="none" w:color="auto"/>
                    </w:rPr>
                    <w:t>841-005-01</w:t>
                  </w:r>
                </w:p>
              </w:tc>
              <w:tc>
                <w:tcPr>
                  <w:tcW w:w="754" w:type="dxa"/>
                  <w:vMerge w:val="restart"/>
                  <w:vAlign w:val="center"/>
                </w:tcPr>
                <w:p w14:paraId="4D9137C1">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lang w:eastAsia="zh-CN"/>
                    </w:rPr>
                  </w:pPr>
                  <w:r>
                    <w:rPr>
                      <w:rFonts w:hint="eastAsia" w:cs="Times New Roman"/>
                      <w:color w:val="auto"/>
                      <w:sz w:val="21"/>
                      <w:szCs w:val="21"/>
                      <w:highlight w:val="none"/>
                      <w:u w:val="none" w:color="auto"/>
                      <w:lang w:val="en-US" w:eastAsia="zh-CN"/>
                    </w:rPr>
                    <w:t>场地东南角</w:t>
                  </w:r>
                </w:p>
              </w:tc>
              <w:tc>
                <w:tcPr>
                  <w:tcW w:w="723" w:type="dxa"/>
                  <w:vMerge w:val="restart"/>
                  <w:vAlign w:val="center"/>
                </w:tcPr>
                <w:p w14:paraId="5B7F6075">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eastAsia" w:cs="Times New Roman"/>
                      <w:color w:val="auto"/>
                      <w:kern w:val="0"/>
                      <w:sz w:val="21"/>
                      <w:szCs w:val="21"/>
                      <w:u w:val="none" w:color="auto"/>
                      <w:lang w:val="en-US" w:eastAsia="zh-CN"/>
                    </w:rPr>
                    <w:t>20</w:t>
                  </w:r>
                  <w:r>
                    <w:rPr>
                      <w:rFonts w:hint="default" w:ascii="Times New Roman" w:hAnsi="Times New Roman" w:eastAsia="宋体" w:cs="Times New Roman"/>
                      <w:color w:val="auto"/>
                      <w:kern w:val="0"/>
                      <w:sz w:val="21"/>
                      <w:szCs w:val="21"/>
                      <w:u w:val="none" w:color="auto"/>
                    </w:rPr>
                    <w:t>m</w:t>
                  </w:r>
                  <w:r>
                    <w:rPr>
                      <w:rFonts w:hint="default" w:ascii="Times New Roman" w:hAnsi="Times New Roman" w:eastAsia="宋体" w:cs="Times New Roman"/>
                      <w:color w:val="auto"/>
                      <w:kern w:val="0"/>
                      <w:sz w:val="21"/>
                      <w:szCs w:val="21"/>
                      <w:u w:val="none" w:color="auto"/>
                      <w:vertAlign w:val="superscript"/>
                    </w:rPr>
                    <w:t>2</w:t>
                  </w:r>
                </w:p>
              </w:tc>
              <w:tc>
                <w:tcPr>
                  <w:tcW w:w="894" w:type="dxa"/>
                  <w:vMerge w:val="restart"/>
                  <w:vAlign w:val="center"/>
                </w:tcPr>
                <w:p w14:paraId="2CCCF3D1">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采用分区堆存方式，不进行混堆。</w:t>
                  </w:r>
                </w:p>
              </w:tc>
              <w:tc>
                <w:tcPr>
                  <w:tcW w:w="659" w:type="dxa"/>
                  <w:vMerge w:val="restart"/>
                  <w:vAlign w:val="center"/>
                </w:tcPr>
                <w:p w14:paraId="5B3DEA55">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eastAsia" w:cs="Times New Roman"/>
                      <w:color w:val="auto"/>
                      <w:kern w:val="0"/>
                      <w:sz w:val="21"/>
                      <w:szCs w:val="21"/>
                      <w:u w:val="none" w:color="auto"/>
                      <w:lang w:val="en-US" w:eastAsia="zh-CN"/>
                    </w:rPr>
                    <w:t>5.0</w:t>
                  </w:r>
                  <w:r>
                    <w:rPr>
                      <w:rFonts w:hint="default" w:ascii="Times New Roman" w:hAnsi="Times New Roman" w:eastAsia="宋体" w:cs="Times New Roman"/>
                      <w:color w:val="auto"/>
                      <w:kern w:val="0"/>
                      <w:sz w:val="21"/>
                      <w:szCs w:val="21"/>
                      <w:u w:val="none" w:color="auto"/>
                    </w:rPr>
                    <w:t>t</w:t>
                  </w:r>
                </w:p>
              </w:tc>
              <w:tc>
                <w:tcPr>
                  <w:tcW w:w="1164" w:type="dxa"/>
                  <w:vMerge w:val="restart"/>
                  <w:tcBorders>
                    <w:right w:val="single" w:color="auto" w:sz="4" w:space="0"/>
                  </w:tcBorders>
                  <w:vAlign w:val="center"/>
                </w:tcPr>
                <w:p w14:paraId="33CD6A01">
                  <w:pPr>
                    <w:keepNext w:val="0"/>
                    <w:keepLines w:val="0"/>
                    <w:pageBreakBefore w:val="0"/>
                    <w:widowControl w:val="0"/>
                    <w:kinsoku/>
                    <w:wordWrap/>
                    <w:overflowPunct/>
                    <w:autoSpaceDE/>
                    <w:autoSpaceDN/>
                    <w:bidi w:val="0"/>
                    <w:spacing w:line="320" w:lineRule="exact"/>
                    <w:ind w:firstLine="0" w:firstLineChars="0"/>
                    <w:jc w:val="center"/>
                    <w:textAlignment w:val="auto"/>
                    <w:rPr>
                      <w:rFonts w:hint="eastAsia"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rPr>
                    <w:t>医疗废物暂时贮存的时间不得超过2天</w:t>
                  </w:r>
                  <w:r>
                    <w:rPr>
                      <w:rFonts w:hint="eastAsia" w:ascii="Times New Roman" w:hAnsi="Times New Roman" w:eastAsia="宋体" w:cs="Times New Roman"/>
                      <w:color w:val="auto"/>
                      <w:sz w:val="21"/>
                      <w:szCs w:val="21"/>
                      <w:u w:val="none" w:color="auto"/>
                      <w:lang w:eastAsia="zh-CN"/>
                    </w:rPr>
                    <w:t>。</w:t>
                  </w:r>
                </w:p>
              </w:tc>
            </w:tr>
            <w:tr w14:paraId="5D9917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3" w:type="dxa"/>
                  <w:tcBorders>
                    <w:left w:val="single" w:color="auto" w:sz="4" w:space="0"/>
                  </w:tcBorders>
                  <w:vAlign w:val="center"/>
                </w:tcPr>
                <w:p w14:paraId="73E57F12">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2</w:t>
                  </w:r>
                </w:p>
              </w:tc>
              <w:tc>
                <w:tcPr>
                  <w:tcW w:w="1035" w:type="dxa"/>
                  <w:vMerge w:val="continue"/>
                  <w:vAlign w:val="center"/>
                </w:tcPr>
                <w:p w14:paraId="16A8EBE3">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p>
              </w:tc>
              <w:tc>
                <w:tcPr>
                  <w:tcW w:w="978" w:type="dxa"/>
                  <w:vAlign w:val="center"/>
                </w:tcPr>
                <w:p w14:paraId="26A208B6">
                  <w:pPr>
                    <w:keepNext w:val="0"/>
                    <w:keepLines w:val="0"/>
                    <w:pageBreakBefore w:val="0"/>
                    <w:widowControl w:val="0"/>
                    <w:kinsoku/>
                    <w:wordWrap/>
                    <w:overflowPunct/>
                    <w:autoSpaceDE/>
                    <w:autoSpaceDN/>
                    <w:bidi w:val="0"/>
                    <w:spacing w:line="320" w:lineRule="exact"/>
                    <w:ind w:firstLine="0" w:firstLineChars="0"/>
                    <w:jc w:val="center"/>
                    <w:textAlignment w:val="auto"/>
                    <w:rPr>
                      <w:rFonts w:hint="default" w:ascii="Times New Roman" w:hAnsi="Times New Roman" w:eastAsia="宋体" w:cs="Times New Roman"/>
                      <w:b w:val="0"/>
                      <w:bCs/>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废水处理栅渣、污泥</w:t>
                  </w:r>
                  <w:r>
                    <w:rPr>
                      <w:rFonts w:hint="eastAsia" w:cs="Times New Roman"/>
                      <w:color w:val="auto"/>
                      <w:sz w:val="21"/>
                      <w:szCs w:val="21"/>
                      <w:u w:val="none" w:color="auto"/>
                      <w:lang w:val="en-US" w:eastAsia="zh-CN"/>
                    </w:rPr>
                    <w:t>等</w:t>
                  </w:r>
                </w:p>
              </w:tc>
              <w:tc>
                <w:tcPr>
                  <w:tcW w:w="828" w:type="dxa"/>
                  <w:vAlign w:val="center"/>
                </w:tcPr>
                <w:p w14:paraId="05586E4D">
                  <w:pPr>
                    <w:pStyle w:val="53"/>
                    <w:keepNext w:val="0"/>
                    <w:keepLines w:val="0"/>
                    <w:pageBreakBefore w:val="0"/>
                    <w:widowControl w:val="0"/>
                    <w:kinsoku/>
                    <w:wordWrap/>
                    <w:overflowPunct/>
                    <w:autoSpaceDE/>
                    <w:autoSpaceDN/>
                    <w:bidi w:val="0"/>
                    <w:snapToGrid w:val="0"/>
                    <w:spacing w:before="0" w:after="0" w:line="320" w:lineRule="exact"/>
                    <w:ind w:right="0" w:rightChars="0" w:firstLine="0" w:firstLineChars="0"/>
                    <w:textAlignment w:val="auto"/>
                    <w:rPr>
                      <w:rFonts w:hint="default" w:ascii="Times New Roman" w:hAnsi="Times New Roman" w:eastAsia="宋体" w:cs="Times New Roman"/>
                      <w:b w:val="0"/>
                      <w:bCs/>
                      <w:color w:val="auto"/>
                      <w:sz w:val="21"/>
                      <w:szCs w:val="21"/>
                      <w:u w:val="none" w:color="auto"/>
                      <w:lang w:val="en-US" w:eastAsia="zh-CN"/>
                    </w:rPr>
                  </w:pPr>
                  <w:r>
                    <w:rPr>
                      <w:rFonts w:hint="default" w:ascii="Times New Roman" w:hAnsi="Times New Roman" w:eastAsia="宋体" w:cs="Times New Roman"/>
                      <w:b w:val="0"/>
                      <w:bCs/>
                      <w:color w:val="auto"/>
                      <w:sz w:val="21"/>
                      <w:szCs w:val="21"/>
                      <w:u w:val="none" w:color="auto"/>
                      <w:lang w:val="en-US" w:eastAsia="zh-CN"/>
                    </w:rPr>
                    <w:t>HW0</w:t>
                  </w:r>
                  <w:r>
                    <w:rPr>
                      <w:rFonts w:hint="eastAsia" w:ascii="Times New Roman" w:hAnsi="Times New Roman" w:eastAsia="宋体" w:cs="Times New Roman"/>
                      <w:b w:val="0"/>
                      <w:bCs/>
                      <w:color w:val="auto"/>
                      <w:sz w:val="21"/>
                      <w:szCs w:val="21"/>
                      <w:u w:val="none" w:color="auto"/>
                      <w:lang w:val="en-US" w:eastAsia="zh-CN"/>
                    </w:rPr>
                    <w:t>1</w:t>
                  </w:r>
                </w:p>
              </w:tc>
              <w:tc>
                <w:tcPr>
                  <w:tcW w:w="1281" w:type="dxa"/>
                  <w:vAlign w:val="center"/>
                </w:tcPr>
                <w:p w14:paraId="25C42E65">
                  <w:pPr>
                    <w:spacing w:line="240" w:lineRule="auto"/>
                    <w:ind w:firstLine="0" w:firstLineChars="0"/>
                    <w:jc w:val="center"/>
                    <w:rPr>
                      <w:rFonts w:hint="default" w:ascii="Times New Roman" w:hAnsi="Times New Roman" w:eastAsia="宋体" w:cs="Times New Roman"/>
                      <w:b w:val="0"/>
                      <w:bCs/>
                      <w:color w:val="auto"/>
                      <w:sz w:val="21"/>
                      <w:szCs w:val="21"/>
                      <w:u w:val="none" w:color="auto"/>
                      <w:lang w:val="en-US" w:eastAsia="zh-CN"/>
                    </w:rPr>
                  </w:pPr>
                  <w:r>
                    <w:rPr>
                      <w:rFonts w:hint="eastAsia" w:ascii="TimesNewRomanPSMT" w:hAnsi="TimesNewRomanPSMT" w:eastAsia="TimesNewRomanPSMT"/>
                      <w:color w:val="auto"/>
                      <w:sz w:val="21"/>
                      <w:szCs w:val="24"/>
                      <w:u w:val="none" w:color="auto"/>
                    </w:rPr>
                    <w:t>841-001-01</w:t>
                  </w:r>
                </w:p>
              </w:tc>
              <w:tc>
                <w:tcPr>
                  <w:tcW w:w="754" w:type="dxa"/>
                  <w:vMerge w:val="continue"/>
                  <w:vAlign w:val="center"/>
                </w:tcPr>
                <w:p w14:paraId="179216F5">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p>
              </w:tc>
              <w:tc>
                <w:tcPr>
                  <w:tcW w:w="723" w:type="dxa"/>
                  <w:vMerge w:val="continue"/>
                  <w:vAlign w:val="center"/>
                </w:tcPr>
                <w:p w14:paraId="46A84145">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p>
              </w:tc>
              <w:tc>
                <w:tcPr>
                  <w:tcW w:w="894" w:type="dxa"/>
                  <w:vMerge w:val="continue"/>
                  <w:vAlign w:val="center"/>
                </w:tcPr>
                <w:p w14:paraId="52094A2B">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p>
              </w:tc>
              <w:tc>
                <w:tcPr>
                  <w:tcW w:w="659" w:type="dxa"/>
                  <w:vMerge w:val="continue"/>
                  <w:vAlign w:val="center"/>
                </w:tcPr>
                <w:p w14:paraId="0779E0EE">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p>
              </w:tc>
              <w:tc>
                <w:tcPr>
                  <w:tcW w:w="1164" w:type="dxa"/>
                  <w:vMerge w:val="continue"/>
                  <w:tcBorders>
                    <w:right w:val="single" w:color="auto" w:sz="4" w:space="0"/>
                  </w:tcBorders>
                  <w:vAlign w:val="center"/>
                </w:tcPr>
                <w:p w14:paraId="1B46101E">
                  <w:pPr>
                    <w:keepNext w:val="0"/>
                    <w:keepLines w:val="0"/>
                    <w:pageBreakBefore w:val="0"/>
                    <w:widowControl w:val="0"/>
                    <w:kinsoku/>
                    <w:wordWrap/>
                    <w:overflowPunct/>
                    <w:autoSpaceDE/>
                    <w:autoSpaceDN/>
                    <w:bidi w:val="0"/>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p>
              </w:tc>
            </w:tr>
            <w:tr w14:paraId="1C1D2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3" w:type="dxa"/>
                  <w:tcBorders>
                    <w:left w:val="single" w:color="auto" w:sz="4" w:space="0"/>
                  </w:tcBorders>
                  <w:vAlign w:val="center"/>
                </w:tcPr>
                <w:p w14:paraId="48E57382">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w:t>
                  </w:r>
                </w:p>
              </w:tc>
              <w:tc>
                <w:tcPr>
                  <w:tcW w:w="1035" w:type="dxa"/>
                  <w:vMerge w:val="continue"/>
                  <w:vAlign w:val="center"/>
                </w:tcPr>
                <w:p w14:paraId="37F00735">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p>
              </w:tc>
              <w:tc>
                <w:tcPr>
                  <w:tcW w:w="978" w:type="dxa"/>
                  <w:vAlign w:val="center"/>
                </w:tcPr>
                <w:p w14:paraId="02DADE6E">
                  <w:pPr>
                    <w:keepNext w:val="0"/>
                    <w:keepLines w:val="0"/>
                    <w:pageBreakBefore w:val="0"/>
                    <w:widowControl w:val="0"/>
                    <w:kinsoku/>
                    <w:wordWrap/>
                    <w:overflowPunct/>
                    <w:autoSpaceDE/>
                    <w:autoSpaceDN/>
                    <w:bidi w:val="0"/>
                    <w:spacing w:line="320" w:lineRule="exac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化粪池污泥</w:t>
                  </w:r>
                </w:p>
              </w:tc>
              <w:tc>
                <w:tcPr>
                  <w:tcW w:w="828" w:type="dxa"/>
                  <w:vAlign w:val="center"/>
                </w:tcPr>
                <w:p w14:paraId="10C96F79">
                  <w:pPr>
                    <w:pStyle w:val="53"/>
                    <w:keepNext w:val="0"/>
                    <w:keepLines w:val="0"/>
                    <w:pageBreakBefore w:val="0"/>
                    <w:widowControl w:val="0"/>
                    <w:kinsoku/>
                    <w:wordWrap/>
                    <w:overflowPunct/>
                    <w:autoSpaceDE/>
                    <w:autoSpaceDN/>
                    <w:bidi w:val="0"/>
                    <w:snapToGrid w:val="0"/>
                    <w:spacing w:before="0" w:after="0" w:line="320" w:lineRule="exact"/>
                    <w:ind w:right="0" w:rightChars="0" w:firstLine="0" w:firstLineChars="0"/>
                    <w:textAlignment w:val="auto"/>
                    <w:rPr>
                      <w:rFonts w:hint="default" w:ascii="Times New Roman" w:hAnsi="Times New Roman" w:eastAsia="宋体" w:cs="Times New Roman"/>
                      <w:b w:val="0"/>
                      <w:bCs/>
                      <w:color w:val="auto"/>
                      <w:sz w:val="21"/>
                      <w:szCs w:val="21"/>
                      <w:u w:val="none" w:color="auto"/>
                      <w:lang w:val="en-US" w:eastAsia="zh-CN"/>
                    </w:rPr>
                  </w:pPr>
                  <w:r>
                    <w:rPr>
                      <w:rFonts w:hint="default" w:ascii="Times New Roman" w:hAnsi="Times New Roman" w:eastAsia="宋体" w:cs="Times New Roman"/>
                      <w:b w:val="0"/>
                      <w:bCs/>
                      <w:color w:val="auto"/>
                      <w:sz w:val="21"/>
                      <w:szCs w:val="21"/>
                      <w:u w:val="none" w:color="auto"/>
                      <w:lang w:val="en-US" w:eastAsia="zh-CN"/>
                    </w:rPr>
                    <w:t>HW0</w:t>
                  </w:r>
                  <w:r>
                    <w:rPr>
                      <w:rFonts w:hint="eastAsia" w:ascii="Times New Roman" w:hAnsi="Times New Roman" w:eastAsia="宋体" w:cs="Times New Roman"/>
                      <w:b w:val="0"/>
                      <w:bCs/>
                      <w:color w:val="auto"/>
                      <w:sz w:val="21"/>
                      <w:szCs w:val="21"/>
                      <w:u w:val="none" w:color="auto"/>
                      <w:lang w:val="en-US" w:eastAsia="zh-CN"/>
                    </w:rPr>
                    <w:t>1</w:t>
                  </w:r>
                </w:p>
              </w:tc>
              <w:tc>
                <w:tcPr>
                  <w:tcW w:w="1281" w:type="dxa"/>
                  <w:vAlign w:val="center"/>
                </w:tcPr>
                <w:p w14:paraId="300615CA">
                  <w:pPr>
                    <w:spacing w:line="240" w:lineRule="auto"/>
                    <w:ind w:firstLine="0" w:firstLineChars="0"/>
                    <w:jc w:val="center"/>
                    <w:rPr>
                      <w:rFonts w:hint="eastAsia" w:ascii="TimesNewRomanPSMT" w:hAnsi="TimesNewRomanPSMT" w:eastAsia="TimesNewRomanPSMT"/>
                      <w:color w:val="auto"/>
                      <w:sz w:val="21"/>
                      <w:szCs w:val="24"/>
                      <w:u w:val="none" w:color="auto"/>
                    </w:rPr>
                  </w:pPr>
                  <w:r>
                    <w:rPr>
                      <w:rFonts w:hint="eastAsia" w:ascii="TimesNewRomanPSMT" w:hAnsi="TimesNewRomanPSMT" w:eastAsia="TimesNewRomanPSMT"/>
                      <w:color w:val="auto"/>
                      <w:sz w:val="21"/>
                      <w:szCs w:val="24"/>
                      <w:u w:val="none" w:color="auto"/>
                    </w:rPr>
                    <w:t>841-001-01</w:t>
                  </w:r>
                </w:p>
              </w:tc>
              <w:tc>
                <w:tcPr>
                  <w:tcW w:w="754" w:type="dxa"/>
                  <w:vMerge w:val="continue"/>
                  <w:vAlign w:val="center"/>
                </w:tcPr>
                <w:p w14:paraId="131C9367">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p>
              </w:tc>
              <w:tc>
                <w:tcPr>
                  <w:tcW w:w="723" w:type="dxa"/>
                  <w:vMerge w:val="continue"/>
                  <w:vAlign w:val="center"/>
                </w:tcPr>
                <w:p w14:paraId="7DE02906">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p>
              </w:tc>
              <w:tc>
                <w:tcPr>
                  <w:tcW w:w="894" w:type="dxa"/>
                  <w:vMerge w:val="continue"/>
                  <w:vAlign w:val="center"/>
                </w:tcPr>
                <w:p w14:paraId="3B81D6E2">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p>
              </w:tc>
              <w:tc>
                <w:tcPr>
                  <w:tcW w:w="659" w:type="dxa"/>
                  <w:vMerge w:val="continue"/>
                  <w:vAlign w:val="center"/>
                </w:tcPr>
                <w:p w14:paraId="3539E069">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p>
              </w:tc>
              <w:tc>
                <w:tcPr>
                  <w:tcW w:w="1164" w:type="dxa"/>
                  <w:vMerge w:val="continue"/>
                  <w:tcBorders>
                    <w:right w:val="single" w:color="auto" w:sz="4" w:space="0"/>
                  </w:tcBorders>
                  <w:vAlign w:val="center"/>
                </w:tcPr>
                <w:p w14:paraId="556E409D">
                  <w:pPr>
                    <w:keepNext w:val="0"/>
                    <w:keepLines w:val="0"/>
                    <w:pageBreakBefore w:val="0"/>
                    <w:widowControl w:val="0"/>
                    <w:kinsoku/>
                    <w:wordWrap/>
                    <w:overflowPunct/>
                    <w:autoSpaceDE/>
                    <w:autoSpaceDN/>
                    <w:bidi w:val="0"/>
                    <w:spacing w:line="320" w:lineRule="exact"/>
                    <w:ind w:firstLine="0" w:firstLineChars="0"/>
                    <w:jc w:val="center"/>
                    <w:textAlignment w:val="auto"/>
                    <w:rPr>
                      <w:rFonts w:hint="default" w:ascii="Times New Roman" w:hAnsi="Times New Roman" w:eastAsia="宋体" w:cs="Times New Roman"/>
                      <w:color w:val="auto"/>
                      <w:sz w:val="21"/>
                      <w:szCs w:val="21"/>
                      <w:u w:val="none" w:color="auto"/>
                    </w:rPr>
                  </w:pPr>
                </w:p>
              </w:tc>
            </w:tr>
            <w:tr w14:paraId="2CCBC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3" w:type="dxa"/>
                  <w:tcBorders>
                    <w:left w:val="single" w:color="auto" w:sz="4" w:space="0"/>
                    <w:bottom w:val="single" w:color="auto" w:sz="4" w:space="0"/>
                  </w:tcBorders>
                  <w:vAlign w:val="center"/>
                </w:tcPr>
                <w:p w14:paraId="47456D53">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w:t>
                  </w:r>
                </w:p>
              </w:tc>
              <w:tc>
                <w:tcPr>
                  <w:tcW w:w="1035" w:type="dxa"/>
                  <w:tcBorders>
                    <w:bottom w:val="single" w:color="auto" w:sz="4" w:space="0"/>
                  </w:tcBorders>
                  <w:vAlign w:val="center"/>
                </w:tcPr>
                <w:p w14:paraId="7938FE63">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危险废物暂存间</w:t>
                  </w:r>
                </w:p>
              </w:tc>
              <w:tc>
                <w:tcPr>
                  <w:tcW w:w="978" w:type="dxa"/>
                  <w:tcBorders>
                    <w:bottom w:val="single" w:color="auto" w:sz="4" w:space="0"/>
                  </w:tcBorders>
                  <w:vAlign w:val="center"/>
                </w:tcPr>
                <w:p w14:paraId="7B46AC8C">
                  <w:pPr>
                    <w:keepNext w:val="0"/>
                    <w:keepLines w:val="0"/>
                    <w:pageBreakBefore w:val="0"/>
                    <w:widowControl w:val="0"/>
                    <w:kinsoku/>
                    <w:wordWrap/>
                    <w:overflowPunct/>
                    <w:autoSpaceDE/>
                    <w:autoSpaceDN/>
                    <w:bidi w:val="0"/>
                    <w:spacing w:line="320" w:lineRule="exac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废紫外线灯</w:t>
                  </w:r>
                </w:p>
              </w:tc>
              <w:tc>
                <w:tcPr>
                  <w:tcW w:w="828" w:type="dxa"/>
                  <w:tcBorders>
                    <w:bottom w:val="single" w:color="auto" w:sz="4" w:space="0"/>
                  </w:tcBorders>
                  <w:vAlign w:val="center"/>
                </w:tcPr>
                <w:p w14:paraId="7B4E2D15">
                  <w:pPr>
                    <w:pStyle w:val="53"/>
                    <w:keepNext w:val="0"/>
                    <w:keepLines w:val="0"/>
                    <w:pageBreakBefore w:val="0"/>
                    <w:widowControl w:val="0"/>
                    <w:kinsoku/>
                    <w:wordWrap/>
                    <w:overflowPunct/>
                    <w:autoSpaceDE/>
                    <w:autoSpaceDN/>
                    <w:bidi w:val="0"/>
                    <w:snapToGrid w:val="0"/>
                    <w:spacing w:before="0" w:after="0" w:line="320" w:lineRule="exact"/>
                    <w:ind w:right="0" w:rightChars="0" w:firstLine="0" w:firstLineChars="0"/>
                    <w:textAlignment w:val="auto"/>
                    <w:rPr>
                      <w:rFonts w:hint="default" w:ascii="Times New Roman" w:hAnsi="Times New Roman" w:eastAsia="宋体" w:cs="Times New Roman"/>
                      <w:b w:val="0"/>
                      <w:bCs/>
                      <w:color w:val="auto"/>
                      <w:sz w:val="21"/>
                      <w:szCs w:val="21"/>
                      <w:u w:val="none" w:color="auto"/>
                      <w:lang w:val="en-US" w:eastAsia="zh-CN"/>
                    </w:rPr>
                  </w:pPr>
                  <w:r>
                    <w:rPr>
                      <w:rFonts w:hint="default" w:ascii="Times New Roman" w:hAnsi="Times New Roman" w:eastAsia="宋体" w:cs="Times New Roman"/>
                      <w:b w:val="0"/>
                      <w:bCs/>
                      <w:color w:val="auto"/>
                      <w:sz w:val="21"/>
                      <w:szCs w:val="21"/>
                      <w:u w:val="none" w:color="auto"/>
                      <w:lang w:val="en-US" w:eastAsia="zh-CN"/>
                    </w:rPr>
                    <w:t>HW</w:t>
                  </w:r>
                  <w:r>
                    <w:rPr>
                      <w:rFonts w:hint="eastAsia" w:ascii="Times New Roman" w:eastAsia="宋体" w:cs="Times New Roman"/>
                      <w:b w:val="0"/>
                      <w:bCs/>
                      <w:color w:val="auto"/>
                      <w:sz w:val="21"/>
                      <w:szCs w:val="21"/>
                      <w:u w:val="none" w:color="auto"/>
                      <w:lang w:val="en-US" w:eastAsia="zh-CN"/>
                    </w:rPr>
                    <w:t>29</w:t>
                  </w:r>
                </w:p>
              </w:tc>
              <w:tc>
                <w:tcPr>
                  <w:tcW w:w="1281" w:type="dxa"/>
                  <w:tcBorders>
                    <w:bottom w:val="single" w:color="auto" w:sz="4" w:space="0"/>
                  </w:tcBorders>
                  <w:vAlign w:val="center"/>
                </w:tcPr>
                <w:p w14:paraId="0FBFE62D">
                  <w:pPr>
                    <w:spacing w:line="240" w:lineRule="auto"/>
                    <w:ind w:firstLine="0" w:firstLineChars="0"/>
                    <w:jc w:val="center"/>
                    <w:rPr>
                      <w:rFonts w:hint="eastAsia" w:ascii="TimesNewRomanPSMT" w:hAnsi="TimesNewRomanPSMT" w:eastAsia="TimesNewRomanPSMT"/>
                      <w:color w:val="auto"/>
                      <w:sz w:val="21"/>
                      <w:szCs w:val="24"/>
                      <w:u w:val="none" w:color="auto"/>
                    </w:rPr>
                  </w:pPr>
                  <w:r>
                    <w:rPr>
                      <w:rFonts w:hint="eastAsia" w:ascii="TimesNewRomanPSMT" w:hAnsi="TimesNewRomanPSMT" w:eastAsia="TimesNewRomanPSMT"/>
                      <w:color w:val="auto"/>
                      <w:sz w:val="21"/>
                      <w:szCs w:val="21"/>
                      <w:u w:val="none" w:color="auto"/>
                    </w:rPr>
                    <w:t>900-023-29</w:t>
                  </w:r>
                </w:p>
              </w:tc>
              <w:tc>
                <w:tcPr>
                  <w:tcW w:w="754" w:type="dxa"/>
                  <w:tcBorders>
                    <w:bottom w:val="single" w:color="auto" w:sz="4" w:space="0"/>
                  </w:tcBorders>
                  <w:vAlign w:val="center"/>
                </w:tcPr>
                <w:p w14:paraId="0148208C">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eastAsia" w:cs="Times New Roman"/>
                      <w:color w:val="auto"/>
                      <w:sz w:val="21"/>
                      <w:szCs w:val="21"/>
                      <w:highlight w:val="none"/>
                      <w:u w:val="none" w:color="auto"/>
                      <w:lang w:val="en-US" w:eastAsia="zh-CN"/>
                    </w:rPr>
                    <w:t>场地东南角</w:t>
                  </w:r>
                </w:p>
              </w:tc>
              <w:tc>
                <w:tcPr>
                  <w:tcW w:w="723" w:type="dxa"/>
                  <w:tcBorders>
                    <w:bottom w:val="single" w:color="auto" w:sz="4" w:space="0"/>
                  </w:tcBorders>
                  <w:vAlign w:val="center"/>
                </w:tcPr>
                <w:p w14:paraId="4CE52999">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5</w:t>
                  </w:r>
                  <w:r>
                    <w:rPr>
                      <w:rFonts w:hint="default" w:ascii="Times New Roman" w:hAnsi="Times New Roman" w:eastAsia="宋体" w:cs="Times New Roman"/>
                      <w:color w:val="auto"/>
                      <w:kern w:val="0"/>
                      <w:sz w:val="21"/>
                      <w:szCs w:val="21"/>
                      <w:u w:val="none" w:color="auto"/>
                    </w:rPr>
                    <w:t>m</w:t>
                  </w:r>
                  <w:r>
                    <w:rPr>
                      <w:rFonts w:hint="default" w:ascii="Times New Roman" w:hAnsi="Times New Roman" w:eastAsia="宋体" w:cs="Times New Roman"/>
                      <w:color w:val="auto"/>
                      <w:kern w:val="0"/>
                      <w:sz w:val="21"/>
                      <w:szCs w:val="21"/>
                      <w:u w:val="none" w:color="auto"/>
                      <w:vertAlign w:val="superscript"/>
                    </w:rPr>
                    <w:t>2</w:t>
                  </w:r>
                </w:p>
              </w:tc>
              <w:tc>
                <w:tcPr>
                  <w:tcW w:w="894" w:type="dxa"/>
                  <w:tcBorders>
                    <w:bottom w:val="single" w:color="auto" w:sz="4" w:space="0"/>
                  </w:tcBorders>
                  <w:vAlign w:val="center"/>
                </w:tcPr>
                <w:p w14:paraId="54345426">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使用</w:t>
                  </w:r>
                  <w:r>
                    <w:rPr>
                      <w:rFonts w:hint="eastAsia" w:cs="Times New Roman"/>
                      <w:color w:val="auto"/>
                      <w:kern w:val="0"/>
                      <w:sz w:val="21"/>
                      <w:szCs w:val="21"/>
                      <w:u w:val="none" w:color="auto"/>
                      <w:lang w:val="en-US" w:eastAsia="zh-CN"/>
                    </w:rPr>
                    <w:t>专用</w:t>
                  </w:r>
                  <w:r>
                    <w:rPr>
                      <w:rFonts w:hint="default" w:ascii="Times New Roman" w:hAnsi="Times New Roman" w:eastAsia="宋体" w:cs="Times New Roman"/>
                      <w:color w:val="auto"/>
                      <w:kern w:val="0"/>
                      <w:sz w:val="21"/>
                      <w:szCs w:val="21"/>
                      <w:u w:val="none" w:color="auto"/>
                    </w:rPr>
                    <w:t>容器单独收集</w:t>
                  </w:r>
                </w:p>
              </w:tc>
              <w:tc>
                <w:tcPr>
                  <w:tcW w:w="659" w:type="dxa"/>
                  <w:tcBorders>
                    <w:bottom w:val="single" w:color="auto" w:sz="4" w:space="0"/>
                  </w:tcBorders>
                  <w:vAlign w:val="center"/>
                </w:tcPr>
                <w:p w14:paraId="44D5DBD5">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1.0t</w:t>
                  </w:r>
                </w:p>
              </w:tc>
              <w:tc>
                <w:tcPr>
                  <w:tcW w:w="1164" w:type="dxa"/>
                  <w:tcBorders>
                    <w:bottom w:val="single" w:color="auto" w:sz="4" w:space="0"/>
                    <w:right w:val="single" w:color="auto" w:sz="4" w:space="0"/>
                  </w:tcBorders>
                  <w:vAlign w:val="center"/>
                </w:tcPr>
                <w:p w14:paraId="08F0DA4F">
                  <w:pPr>
                    <w:keepNext w:val="0"/>
                    <w:keepLines w:val="0"/>
                    <w:pageBreakBefore w:val="0"/>
                    <w:widowControl w:val="0"/>
                    <w:kinsoku/>
                    <w:wordWrap/>
                    <w:overflowPunct/>
                    <w:autoSpaceDE/>
                    <w:autoSpaceDN/>
                    <w:bidi w:val="0"/>
                    <w:spacing w:line="320" w:lineRule="exac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≤1.0年</w:t>
                  </w:r>
                </w:p>
              </w:tc>
            </w:tr>
          </w:tbl>
          <w:p w14:paraId="6E8B5B81">
            <w:pPr>
              <w:spacing w:beforeLines="0" w:afterLines="0"/>
              <w:jc w:val="left"/>
              <w:rPr>
                <w:rFonts w:hint="eastAsia" w:ascii="宋体" w:hAnsi="宋体" w:eastAsia="宋体"/>
                <w:color w:val="auto"/>
                <w:sz w:val="24"/>
                <w:szCs w:val="24"/>
                <w:u w:val="none" w:color="auto"/>
              </w:rPr>
            </w:pPr>
          </w:p>
          <w:p w14:paraId="35EF5091">
            <w:pPr>
              <w:spacing w:beforeLines="0" w:afterLines="0"/>
              <w:jc w:val="left"/>
              <w:rPr>
                <w:rFonts w:hint="eastAsia"/>
                <w:color w:val="auto"/>
                <w:u w:val="none" w:color="auto"/>
                <w:lang w:val="en-US" w:eastAsia="zh-CN"/>
              </w:rPr>
            </w:pPr>
            <w:r>
              <w:rPr>
                <w:rFonts w:hint="eastAsia" w:ascii="宋体" w:hAnsi="宋体" w:eastAsia="宋体"/>
                <w:color w:val="auto"/>
                <w:sz w:val="24"/>
                <w:szCs w:val="24"/>
                <w:u w:val="none" w:color="auto"/>
              </w:rPr>
              <w:t>综上所述，本工程所产生的固体废物均得到</w:t>
            </w:r>
            <w:r>
              <w:rPr>
                <w:rFonts w:hint="eastAsia" w:ascii="宋体" w:hAnsi="宋体" w:eastAsia="宋体"/>
                <w:color w:val="auto"/>
                <w:sz w:val="24"/>
                <w:szCs w:val="24"/>
                <w:u w:val="none" w:color="auto"/>
                <w:lang w:val="en-US" w:eastAsia="zh-CN"/>
              </w:rPr>
              <w:t>妥善处理</w:t>
            </w:r>
            <w:r>
              <w:rPr>
                <w:rFonts w:hint="eastAsia" w:ascii="宋体" w:hAnsi="宋体" w:eastAsia="宋体"/>
                <w:color w:val="auto"/>
                <w:sz w:val="24"/>
                <w:szCs w:val="24"/>
                <w:u w:val="none" w:color="auto"/>
              </w:rPr>
              <w:t>，方法可行，对环境影响不大。</w:t>
            </w:r>
          </w:p>
          <w:p w14:paraId="28C16F65">
            <w:pPr>
              <w:numPr>
                <w:ilvl w:val="0"/>
                <w:numId w:val="0"/>
              </w:numPr>
              <w:ind w:left="480" w:leftChars="0"/>
              <w:rPr>
                <w:rFonts w:hint="eastAsia"/>
                <w:b/>
                <w:color w:val="auto"/>
                <w:u w:val="none" w:color="auto"/>
                <w:lang w:val="en-US" w:eastAsia="zh-CN"/>
              </w:rPr>
            </w:pPr>
          </w:p>
          <w:p w14:paraId="33E3BC5A">
            <w:pPr>
              <w:numPr>
                <w:ilvl w:val="0"/>
                <w:numId w:val="0"/>
              </w:numPr>
              <w:ind w:left="480" w:leftChars="0"/>
              <w:rPr>
                <w:b/>
                <w:color w:val="auto"/>
                <w:u w:val="none" w:color="auto"/>
              </w:rPr>
            </w:pPr>
            <w:r>
              <w:rPr>
                <w:rFonts w:hint="eastAsia"/>
                <w:b/>
                <w:color w:val="auto"/>
                <w:u w:val="none" w:color="auto"/>
                <w:lang w:val="en-US" w:eastAsia="zh-CN"/>
              </w:rPr>
              <w:t>五、</w:t>
            </w:r>
            <w:r>
              <w:rPr>
                <w:b/>
                <w:color w:val="auto"/>
                <w:u w:val="none" w:color="auto"/>
              </w:rPr>
              <w:t>环境风险</w:t>
            </w:r>
          </w:p>
          <w:p w14:paraId="5183800E">
            <w:pPr>
              <w:adjustRightInd w:val="0"/>
              <w:snapToGrid w:val="0"/>
              <w:ind w:left="480" w:leftChars="200" w:firstLine="0" w:firstLineChars="0"/>
              <w:rPr>
                <w:color w:val="auto"/>
                <w:u w:val="none" w:color="auto"/>
              </w:rPr>
            </w:pPr>
            <w:r>
              <w:rPr>
                <w:color w:val="auto"/>
                <w:u w:val="none" w:color="auto"/>
              </w:rPr>
              <w:t>（1）危险物质数量与临界量比值（Q）</w:t>
            </w:r>
          </w:p>
          <w:p w14:paraId="148434B3">
            <w:pPr>
              <w:adjustRightInd w:val="0"/>
              <w:snapToGrid w:val="0"/>
              <w:ind w:firstLine="480"/>
              <w:rPr>
                <w:color w:val="auto"/>
                <w:u w:val="none" w:color="auto"/>
              </w:rPr>
            </w:pPr>
            <w:r>
              <w:rPr>
                <w:color w:val="auto"/>
                <w:u w:val="none" w:color="auto"/>
              </w:rPr>
              <w:t>根据《建设项目环境风险评价技术导则》（HJ 169-2018）</w:t>
            </w:r>
            <w:r>
              <w:rPr>
                <w:rFonts w:hint="eastAsia"/>
                <w:color w:val="auto"/>
                <w:u w:val="none" w:color="auto"/>
                <w:lang w:eastAsia="zh-CN"/>
              </w:rPr>
              <w:t>，</w:t>
            </w:r>
            <w:r>
              <w:rPr>
                <w:color w:val="auto"/>
                <w:u w:val="none" w:color="auto"/>
              </w:rPr>
              <w:t>计算所涉及的每种危险物质在厂界内的最大存在总量与其在附录B中对应临界量的比值Q。在不同厂区的同一种物质，按其在厂界内的最大存在总量计算。当只涉及一种危险物质时，计算该物质的总量与其临界量比值，即为Q；</w:t>
            </w:r>
          </w:p>
          <w:p w14:paraId="77E54B73">
            <w:pPr>
              <w:adjustRightInd w:val="0"/>
              <w:snapToGrid w:val="0"/>
              <w:ind w:firstLine="480"/>
              <w:rPr>
                <w:color w:val="auto"/>
                <w:u w:val="none" w:color="auto"/>
              </w:rPr>
            </w:pPr>
            <w:r>
              <w:rPr>
                <w:color w:val="auto"/>
                <w:u w:val="none" w:color="auto"/>
              </w:rPr>
              <w:t>当存在多种危险物质时，则按下式计算物质总量与其临界量比值Q：</w:t>
            </w:r>
          </w:p>
          <w:p w14:paraId="74ED32B2">
            <w:pPr>
              <w:ind w:firstLine="420" w:firstLineChars="0"/>
              <w:jc w:val="center"/>
              <w:rPr>
                <w:color w:val="auto"/>
                <w:szCs w:val="28"/>
                <w:u w:val="none" w:color="auto"/>
              </w:rPr>
            </w:pPr>
            <w:r>
              <w:rPr>
                <w:color w:val="auto"/>
                <w:szCs w:val="28"/>
                <w:u w:val="none" w:color="auto"/>
              </w:rPr>
              <w:t>Q=∑qi/Qi</w:t>
            </w:r>
          </w:p>
          <w:p w14:paraId="39D7E0BB">
            <w:pPr>
              <w:spacing w:before="120" w:after="120"/>
              <w:ind w:firstLine="480"/>
              <w:rPr>
                <w:color w:val="auto"/>
                <w:u w:val="none" w:color="auto"/>
              </w:rPr>
            </w:pPr>
            <w:r>
              <w:rPr>
                <w:color w:val="auto"/>
                <w:u w:val="none" w:color="auto"/>
              </w:rPr>
              <w:t>式中：qi—每种危险物质的最大存在总量，t；</w:t>
            </w:r>
          </w:p>
          <w:p w14:paraId="2E3416B6">
            <w:pPr>
              <w:adjustRightInd w:val="0"/>
              <w:snapToGrid w:val="0"/>
              <w:ind w:firstLine="1200" w:firstLineChars="500"/>
              <w:rPr>
                <w:color w:val="auto"/>
                <w:u w:val="none" w:color="auto"/>
              </w:rPr>
            </w:pPr>
            <w:r>
              <w:rPr>
                <w:color w:val="auto"/>
                <w:u w:val="none" w:color="auto"/>
              </w:rPr>
              <w:t>Qi—每种危险物质的临界量，t。</w:t>
            </w:r>
          </w:p>
          <w:p w14:paraId="5690BB88">
            <w:pPr>
              <w:adjustRightInd w:val="0"/>
              <w:snapToGrid w:val="0"/>
              <w:ind w:firstLine="480"/>
              <w:rPr>
                <w:color w:val="auto"/>
                <w:u w:val="none" w:color="auto"/>
              </w:rPr>
            </w:pPr>
            <w:r>
              <w:rPr>
                <w:color w:val="auto"/>
                <w:u w:val="none" w:color="auto"/>
              </w:rPr>
              <w:t>当Q＜1时，该项目环境风险潜势为I。</w:t>
            </w:r>
          </w:p>
          <w:p w14:paraId="0250D5AD">
            <w:pPr>
              <w:adjustRightInd w:val="0"/>
              <w:snapToGrid w:val="0"/>
              <w:ind w:firstLine="480"/>
              <w:rPr>
                <w:color w:val="auto"/>
                <w:u w:val="none" w:color="auto"/>
              </w:rPr>
            </w:pPr>
            <w:r>
              <w:rPr>
                <w:color w:val="auto"/>
                <w:u w:val="none" w:color="auto"/>
              </w:rPr>
              <w:t>当Q≥1时，将Q值划分为：1≤Q＜10；10≤Q＜100；Q≥100。</w:t>
            </w:r>
          </w:p>
          <w:p w14:paraId="75269965">
            <w:pPr>
              <w:autoSpaceDE w:val="0"/>
              <w:autoSpaceDN w:val="0"/>
              <w:adjustRightInd w:val="0"/>
              <w:ind w:firstLine="480"/>
              <w:jc w:val="left"/>
              <w:rPr>
                <w:color w:val="auto"/>
                <w:kern w:val="0"/>
                <w:u w:val="none" w:color="auto"/>
              </w:rPr>
            </w:pPr>
            <w:r>
              <w:rPr>
                <w:rFonts w:hint="eastAsia"/>
                <w:color w:val="auto"/>
                <w:u w:val="none" w:color="auto"/>
                <w:lang w:val="en-US" w:eastAsia="zh-CN"/>
              </w:rPr>
              <w:t>项目所用物质不涉及</w:t>
            </w:r>
            <w:r>
              <w:rPr>
                <w:color w:val="auto"/>
                <w:u w:val="none" w:color="auto"/>
              </w:rPr>
              <w:t>《建设项目环境风险评价技术导则》（HJ 169-2018）及其附录B.1中危险物质</w:t>
            </w:r>
            <w:r>
              <w:rPr>
                <w:rFonts w:hint="eastAsia"/>
                <w:color w:val="auto"/>
                <w:u w:val="none" w:color="auto"/>
                <w:lang w:eastAsia="zh-CN"/>
              </w:rPr>
              <w:t>，</w:t>
            </w:r>
            <w:r>
              <w:rPr>
                <w:rFonts w:hint="eastAsia"/>
                <w:color w:val="auto"/>
                <w:u w:val="none" w:color="auto"/>
                <w:lang w:val="en-US" w:eastAsia="zh-CN"/>
              </w:rPr>
              <w:t>即Q</w:t>
            </w:r>
            <w:r>
              <w:rPr>
                <w:color w:val="auto"/>
                <w:u w:val="none" w:color="auto"/>
              </w:rPr>
              <w:t>＜1时，该项目环境风险潜势为I</w:t>
            </w:r>
            <w:r>
              <w:rPr>
                <w:rFonts w:hint="eastAsia"/>
                <w:color w:val="auto"/>
                <w:u w:val="none" w:color="auto"/>
                <w:lang w:eastAsia="zh-CN"/>
              </w:rPr>
              <w:t>，</w:t>
            </w:r>
            <w:r>
              <w:rPr>
                <w:rFonts w:hint="eastAsia"/>
                <w:color w:val="auto"/>
                <w:u w:val="none" w:color="auto"/>
                <w:lang w:val="en-US" w:eastAsia="zh-CN"/>
              </w:rPr>
              <w:t>为简单分析。</w:t>
            </w:r>
          </w:p>
          <w:p w14:paraId="51704277">
            <w:pPr>
              <w:spacing w:line="480" w:lineRule="exact"/>
              <w:ind w:firstLine="482" w:firstLineChars="200"/>
              <w:rPr>
                <w:rFonts w:hint="default" w:eastAsia="宋体"/>
                <w:b/>
                <w:bCs/>
                <w:color w:val="auto"/>
                <w:sz w:val="24"/>
                <w:u w:val="none" w:color="auto"/>
                <w:lang w:val="en-US" w:eastAsia="zh-CN"/>
              </w:rPr>
            </w:pPr>
            <w:r>
              <w:rPr>
                <w:rFonts w:hint="eastAsia"/>
                <w:b/>
                <w:bCs/>
                <w:color w:val="auto"/>
                <w:sz w:val="24"/>
                <w:u w:val="none" w:color="auto"/>
              </w:rPr>
              <w:t>（</w:t>
            </w:r>
            <w:r>
              <w:rPr>
                <w:rFonts w:hint="eastAsia"/>
                <w:b/>
                <w:bCs/>
                <w:color w:val="auto"/>
                <w:sz w:val="24"/>
                <w:u w:val="none" w:color="auto"/>
                <w:lang w:val="en-US" w:eastAsia="zh-CN"/>
              </w:rPr>
              <w:t>2</w:t>
            </w:r>
            <w:r>
              <w:rPr>
                <w:rFonts w:hint="eastAsia"/>
                <w:b/>
                <w:bCs/>
                <w:color w:val="auto"/>
                <w:sz w:val="24"/>
                <w:u w:val="none" w:color="auto"/>
              </w:rPr>
              <w:t>）</w:t>
            </w:r>
            <w:r>
              <w:rPr>
                <w:rFonts w:hint="eastAsia"/>
                <w:b/>
                <w:bCs/>
                <w:color w:val="auto"/>
                <w:sz w:val="24"/>
                <w:u w:val="none" w:color="auto"/>
                <w:lang w:val="en-US" w:eastAsia="zh-CN"/>
              </w:rPr>
              <w:t>环境风险识别</w:t>
            </w:r>
          </w:p>
          <w:p w14:paraId="254E7B72">
            <w:pPr>
              <w:spacing w:line="480" w:lineRule="exact"/>
              <w:ind w:firstLine="480" w:firstLineChars="200"/>
              <w:rPr>
                <w:color w:val="auto"/>
                <w:sz w:val="24"/>
                <w:u w:val="none" w:color="auto"/>
              </w:rPr>
            </w:pPr>
            <w:r>
              <w:rPr>
                <w:color w:val="auto"/>
                <w:sz w:val="24"/>
                <w:u w:val="none" w:color="auto"/>
              </w:rPr>
              <w:t>项目是</w:t>
            </w:r>
            <w:r>
              <w:rPr>
                <w:rFonts w:hint="eastAsia"/>
                <w:color w:val="auto"/>
                <w:sz w:val="24"/>
                <w:u w:val="none" w:color="auto"/>
                <w:lang w:val="en-US" w:eastAsia="zh-CN"/>
              </w:rPr>
              <w:t>精神病专科</w:t>
            </w:r>
            <w:r>
              <w:rPr>
                <w:color w:val="auto"/>
                <w:sz w:val="24"/>
                <w:u w:val="none" w:color="auto"/>
              </w:rPr>
              <w:t>医院，其</w:t>
            </w:r>
            <w:r>
              <w:rPr>
                <w:rFonts w:hint="eastAsia"/>
                <w:color w:val="auto"/>
                <w:sz w:val="24"/>
                <w:u w:val="none" w:color="auto"/>
              </w:rPr>
              <w:t>设施</w:t>
            </w:r>
            <w:r>
              <w:rPr>
                <w:color w:val="auto"/>
                <w:sz w:val="24"/>
                <w:u w:val="none" w:color="auto"/>
              </w:rPr>
              <w:t>日常运营存在的风险主要为：</w:t>
            </w:r>
          </w:p>
          <w:p w14:paraId="30BB5086">
            <w:pPr>
              <w:spacing w:line="480" w:lineRule="exact"/>
              <w:ind w:firstLine="480" w:firstLineChars="200"/>
              <w:rPr>
                <w:color w:val="auto"/>
                <w:sz w:val="24"/>
                <w:u w:val="none" w:color="auto"/>
              </w:rPr>
            </w:pPr>
            <w:r>
              <w:rPr>
                <w:rFonts w:hint="eastAsia"/>
                <w:color w:val="auto"/>
                <w:sz w:val="24"/>
                <w:u w:val="none" w:color="auto"/>
              </w:rPr>
              <w:t>①</w:t>
            </w:r>
            <w:r>
              <w:rPr>
                <w:color w:val="auto"/>
                <w:sz w:val="24"/>
                <w:u w:val="none" w:color="auto"/>
              </w:rPr>
              <w:t>污水处理站：医院污水处理设施发生故障导致带病原性微生物的含菌医疗废水没有得到及时处理</w:t>
            </w:r>
            <w:r>
              <w:rPr>
                <w:rFonts w:hint="eastAsia"/>
                <w:color w:val="auto"/>
                <w:sz w:val="24"/>
                <w:u w:val="none" w:color="auto"/>
                <w:lang w:eastAsia="zh-CN"/>
              </w:rPr>
              <w:t>，</w:t>
            </w:r>
            <w:r>
              <w:rPr>
                <w:rFonts w:hint="eastAsia"/>
                <w:color w:val="auto"/>
                <w:sz w:val="24"/>
                <w:u w:val="none" w:color="auto"/>
                <w:lang w:val="en-US" w:eastAsia="zh-CN"/>
              </w:rPr>
              <w:t>或者污水处理站发生泄漏，导致污水</w:t>
            </w:r>
            <w:r>
              <w:rPr>
                <w:color w:val="auto"/>
                <w:sz w:val="24"/>
                <w:u w:val="none" w:color="auto"/>
              </w:rPr>
              <w:t>排入</w:t>
            </w:r>
            <w:r>
              <w:rPr>
                <w:rFonts w:hint="eastAsia"/>
                <w:color w:val="auto"/>
                <w:sz w:val="24"/>
                <w:u w:val="none" w:color="auto"/>
                <w:lang w:val="en-US" w:eastAsia="zh-CN"/>
              </w:rPr>
              <w:t>地表水体</w:t>
            </w:r>
            <w:r>
              <w:rPr>
                <w:color w:val="auto"/>
                <w:sz w:val="24"/>
                <w:u w:val="none" w:color="auto"/>
              </w:rPr>
              <w:t>而造成的污染环境风险。</w:t>
            </w:r>
          </w:p>
          <w:p w14:paraId="6097FA6D">
            <w:pPr>
              <w:spacing w:line="480" w:lineRule="exact"/>
              <w:ind w:firstLine="480" w:firstLineChars="200"/>
              <w:rPr>
                <w:rFonts w:hint="eastAsia"/>
                <w:color w:val="auto"/>
                <w:sz w:val="24"/>
                <w:u w:val="none" w:color="auto"/>
              </w:rPr>
            </w:pPr>
            <w:r>
              <w:rPr>
                <w:rFonts w:hint="eastAsia"/>
                <w:color w:val="auto"/>
                <w:sz w:val="24"/>
                <w:u w:val="none" w:color="auto"/>
              </w:rPr>
              <w:t>②</w:t>
            </w:r>
            <w:r>
              <w:rPr>
                <w:rFonts w:hint="eastAsia"/>
                <w:color w:val="auto"/>
                <w:sz w:val="24"/>
                <w:u w:val="none" w:color="auto"/>
                <w:lang w:val="en-US" w:eastAsia="zh-CN"/>
              </w:rPr>
              <w:t>医疗废物、危险废物：</w:t>
            </w:r>
            <w:r>
              <w:rPr>
                <w:color w:val="auto"/>
                <w:sz w:val="24"/>
                <w:u w:val="none" w:color="auto"/>
              </w:rPr>
              <w:t>医院产生</w:t>
            </w:r>
            <w:r>
              <w:rPr>
                <w:rFonts w:hint="eastAsia"/>
                <w:color w:val="auto"/>
                <w:sz w:val="24"/>
                <w:u w:val="none" w:color="auto"/>
              </w:rPr>
              <w:t>的</w:t>
            </w:r>
            <w:r>
              <w:rPr>
                <w:color w:val="auto"/>
                <w:sz w:val="24"/>
                <w:u w:val="none" w:color="auto"/>
              </w:rPr>
              <w:t>医疗废物</w:t>
            </w:r>
            <w:r>
              <w:rPr>
                <w:rFonts w:hint="eastAsia"/>
                <w:color w:val="auto"/>
                <w:sz w:val="24"/>
                <w:u w:val="none" w:color="auto"/>
              </w:rPr>
              <w:t>得不到妥善、有效</w:t>
            </w:r>
            <w:r>
              <w:rPr>
                <w:rFonts w:hint="eastAsia"/>
                <w:color w:val="auto"/>
                <w:sz w:val="24"/>
                <w:u w:val="none" w:color="auto"/>
                <w:lang w:val="en-US" w:eastAsia="zh-CN"/>
              </w:rPr>
              <w:t>储存、</w:t>
            </w:r>
            <w:r>
              <w:rPr>
                <w:rFonts w:hint="eastAsia"/>
                <w:color w:val="auto"/>
                <w:sz w:val="24"/>
                <w:u w:val="none" w:color="auto"/>
              </w:rPr>
              <w:t>处置</w:t>
            </w:r>
            <w:r>
              <w:rPr>
                <w:color w:val="auto"/>
                <w:sz w:val="24"/>
                <w:u w:val="none" w:color="auto"/>
              </w:rPr>
              <w:t>存在着</w:t>
            </w:r>
            <w:r>
              <w:rPr>
                <w:rFonts w:hint="eastAsia"/>
                <w:color w:val="auto"/>
                <w:sz w:val="24"/>
                <w:u w:val="none" w:color="auto"/>
              </w:rPr>
              <w:t>泄漏</w:t>
            </w:r>
            <w:r>
              <w:rPr>
                <w:color w:val="auto"/>
                <w:sz w:val="24"/>
                <w:u w:val="none" w:color="auto"/>
              </w:rPr>
              <w:t>污染环境的风险。</w:t>
            </w:r>
          </w:p>
          <w:p w14:paraId="22B56D34">
            <w:pPr>
              <w:spacing w:line="480" w:lineRule="exact"/>
              <w:ind w:firstLine="482" w:firstLineChars="200"/>
              <w:rPr>
                <w:rFonts w:hint="default" w:eastAsia="宋体"/>
                <w:b/>
                <w:bCs/>
                <w:color w:val="auto"/>
                <w:sz w:val="24"/>
                <w:u w:val="none" w:color="auto"/>
                <w:lang w:val="en-US" w:eastAsia="zh-CN"/>
              </w:rPr>
            </w:pPr>
            <w:r>
              <w:rPr>
                <w:rFonts w:hint="eastAsia"/>
                <w:b/>
                <w:bCs/>
                <w:color w:val="auto"/>
                <w:sz w:val="24"/>
                <w:u w:val="none" w:color="auto"/>
              </w:rPr>
              <w:t>（</w:t>
            </w:r>
            <w:r>
              <w:rPr>
                <w:rFonts w:hint="eastAsia"/>
                <w:b/>
                <w:bCs/>
                <w:color w:val="auto"/>
                <w:sz w:val="24"/>
                <w:u w:val="none" w:color="auto"/>
                <w:lang w:val="en-US" w:eastAsia="zh-CN"/>
              </w:rPr>
              <w:t>3</w:t>
            </w:r>
            <w:r>
              <w:rPr>
                <w:rFonts w:hint="eastAsia"/>
                <w:b/>
                <w:bCs/>
                <w:color w:val="auto"/>
                <w:sz w:val="24"/>
                <w:u w:val="none" w:color="auto"/>
              </w:rPr>
              <w:t>）</w:t>
            </w:r>
            <w:r>
              <w:rPr>
                <w:rFonts w:hint="eastAsia" w:hAnsi="宋体"/>
                <w:b/>
                <w:bCs/>
                <w:color w:val="auto"/>
                <w:sz w:val="24"/>
                <w:u w:val="none" w:color="auto"/>
                <w:lang w:val="en-US" w:eastAsia="zh-CN"/>
              </w:rPr>
              <w:t>环境风险防范措施</w:t>
            </w:r>
          </w:p>
          <w:p w14:paraId="5DDBDA75">
            <w:pPr>
              <w:spacing w:line="500" w:lineRule="exact"/>
              <w:ind w:firstLine="482" w:firstLineChars="200"/>
              <w:rPr>
                <w:rFonts w:ascii="宋体" w:hAnsi="宋体"/>
                <w:b/>
                <w:bCs/>
                <w:color w:val="auto"/>
                <w:sz w:val="24"/>
                <w:u w:val="none" w:color="auto"/>
              </w:rPr>
            </w:pPr>
            <w:r>
              <w:rPr>
                <w:rFonts w:hint="eastAsia" w:ascii="宋体" w:hAnsi="宋体"/>
                <w:b/>
                <w:bCs/>
                <w:color w:val="auto"/>
                <w:sz w:val="24"/>
                <w:u w:val="none" w:color="auto"/>
              </w:rPr>
              <w:t>①</w:t>
            </w:r>
            <w:r>
              <w:rPr>
                <w:rFonts w:ascii="宋体" w:hAnsi="宋体"/>
                <w:b/>
                <w:bCs/>
                <w:color w:val="auto"/>
                <w:sz w:val="24"/>
                <w:u w:val="none" w:color="auto"/>
              </w:rPr>
              <w:t>污水处理站风险防范措施</w:t>
            </w:r>
          </w:p>
          <w:p w14:paraId="2C34B461">
            <w:pPr>
              <w:spacing w:line="500" w:lineRule="exact"/>
              <w:ind w:firstLine="480" w:firstLineChars="200"/>
              <w:rPr>
                <w:rFonts w:ascii="宋体" w:hAnsi="宋体"/>
                <w:color w:val="auto"/>
                <w:sz w:val="24"/>
                <w:u w:val="none" w:color="auto"/>
              </w:rPr>
            </w:pPr>
            <w:r>
              <w:rPr>
                <w:rFonts w:ascii="宋体" w:hAnsi="宋体"/>
                <w:color w:val="auto"/>
                <w:sz w:val="24"/>
                <w:u w:val="none" w:color="auto"/>
              </w:rPr>
              <w:t xml:space="preserve">污水处理站是医院污水处理的最后屏障，为了确保其正常、不出现停止运行的情况，防止环境风险的发生，需对污水处理提供双路电源和应急电源，保证污水处理站用电不间断，重要的设备需有备用，并备有应急用的消毒剂（固体次氯酸钠等），在万一设备停运情况下，直接人工投加消毒剂。 </w:t>
            </w:r>
          </w:p>
          <w:p w14:paraId="392138FE">
            <w:pPr>
              <w:spacing w:line="500" w:lineRule="exact"/>
              <w:ind w:firstLine="480" w:firstLineChars="200"/>
              <w:rPr>
                <w:rFonts w:ascii="宋体" w:hAnsi="宋体"/>
                <w:color w:val="auto"/>
                <w:sz w:val="24"/>
                <w:u w:val="none" w:color="auto"/>
              </w:rPr>
            </w:pPr>
            <w:r>
              <w:rPr>
                <w:rFonts w:hint="eastAsia" w:ascii="宋体" w:hAnsi="宋体"/>
                <w:color w:val="auto"/>
                <w:sz w:val="24"/>
                <w:u w:val="none" w:color="auto"/>
              </w:rPr>
              <w:t>A.做好防渗、</w:t>
            </w:r>
            <w:r>
              <w:rPr>
                <w:rFonts w:ascii="宋体" w:hAnsi="宋体"/>
                <w:color w:val="auto"/>
                <w:sz w:val="24"/>
                <w:u w:val="none" w:color="auto"/>
              </w:rPr>
              <w:t>加强污水处理站日常维护</w:t>
            </w:r>
            <w:r>
              <w:rPr>
                <w:rFonts w:hint="eastAsia" w:ascii="宋体" w:hAnsi="宋体"/>
                <w:color w:val="auto"/>
                <w:sz w:val="24"/>
                <w:u w:val="none" w:color="auto"/>
                <w:lang w:eastAsia="zh-CN"/>
              </w:rPr>
              <w:t>：</w:t>
            </w:r>
            <w:r>
              <w:rPr>
                <w:rFonts w:hint="eastAsia" w:ascii="宋体" w:hAnsi="宋体"/>
                <w:color w:val="auto"/>
                <w:sz w:val="24"/>
                <w:u w:val="none" w:color="auto"/>
              </w:rPr>
              <w:t>项目污水处理站建设初期应做好防渗措施，以减少后期发生泄漏的可能性；</w:t>
            </w:r>
            <w:r>
              <w:rPr>
                <w:rFonts w:ascii="宋体" w:hAnsi="宋体"/>
                <w:color w:val="auto"/>
                <w:sz w:val="24"/>
                <w:u w:val="none" w:color="auto"/>
              </w:rPr>
              <w:t>选用优质设备，必须选择质量优良、事故率低、便于维修的产品。关键设备应一备一用，易损部件要有备用件，在出现事故时能及时更换。加强事故苗头监控，定期</w:t>
            </w:r>
            <w:r>
              <w:rPr>
                <w:rFonts w:hint="eastAsia" w:ascii="宋体" w:hAnsi="宋体"/>
                <w:color w:val="auto"/>
                <w:sz w:val="24"/>
                <w:u w:val="none" w:color="auto"/>
              </w:rPr>
              <w:t>检查</w:t>
            </w:r>
            <w:r>
              <w:rPr>
                <w:rFonts w:ascii="宋体" w:hAnsi="宋体"/>
                <w:color w:val="auto"/>
                <w:sz w:val="24"/>
                <w:u w:val="none" w:color="auto"/>
              </w:rPr>
              <w:t>、调节、保养、维修</w:t>
            </w:r>
            <w:r>
              <w:rPr>
                <w:rFonts w:hint="eastAsia" w:ascii="宋体" w:hAnsi="宋体"/>
                <w:color w:val="auto"/>
                <w:sz w:val="24"/>
                <w:u w:val="none" w:color="auto"/>
              </w:rPr>
              <w:t>，</w:t>
            </w:r>
            <w:r>
              <w:rPr>
                <w:rFonts w:ascii="宋体" w:hAnsi="宋体"/>
                <w:color w:val="auto"/>
                <w:sz w:val="24"/>
                <w:u w:val="none" w:color="auto"/>
              </w:rPr>
              <w:t xml:space="preserve">及时发现有可能引起事故的异常运行苗头。严格控制处理单元的水量、水质、停留时间、负荷强度等工艺参数，确保处理效果的稳定性。如发现不正常现象，就需立即采取预防措施。建立安全操作规程，在平时严格按规程办事，加强运行管理和进出水的监测工作，未经处理达标的污水严禁外排。 </w:t>
            </w:r>
          </w:p>
          <w:p w14:paraId="390D1081">
            <w:pPr>
              <w:spacing w:line="500" w:lineRule="exact"/>
              <w:ind w:firstLine="480" w:firstLineChars="200"/>
              <w:rPr>
                <w:rFonts w:ascii="宋体" w:hAnsi="宋体"/>
                <w:color w:val="auto"/>
                <w:sz w:val="24"/>
                <w:u w:val="none" w:color="auto"/>
              </w:rPr>
            </w:pPr>
            <w:r>
              <w:rPr>
                <w:rFonts w:hint="eastAsia" w:ascii="宋体" w:hAnsi="宋体"/>
                <w:color w:val="auto"/>
                <w:sz w:val="24"/>
                <w:u w:val="none" w:color="auto"/>
              </w:rPr>
              <w:t>B.</w:t>
            </w:r>
            <w:r>
              <w:rPr>
                <w:rFonts w:ascii="宋体" w:hAnsi="宋体"/>
                <w:color w:val="auto"/>
                <w:sz w:val="24"/>
                <w:u w:val="none" w:color="auto"/>
              </w:rPr>
              <w:t>建设污水处理站应急事故池</w:t>
            </w:r>
          </w:p>
          <w:p w14:paraId="263B3B9A">
            <w:pPr>
              <w:spacing w:line="500" w:lineRule="exact"/>
              <w:ind w:firstLine="480" w:firstLineChars="200"/>
              <w:rPr>
                <w:rFonts w:ascii="宋体" w:hAnsi="宋体"/>
                <w:color w:val="auto"/>
                <w:sz w:val="24"/>
                <w:u w:val="none" w:color="auto"/>
              </w:rPr>
            </w:pPr>
            <w:r>
              <w:rPr>
                <w:rFonts w:ascii="宋体" w:hAnsi="宋体"/>
                <w:color w:val="auto"/>
                <w:sz w:val="24"/>
                <w:u w:val="none" w:color="auto"/>
              </w:rPr>
              <w:t>项目运营期废水均进入医院污水处理站处理，当污水处理设施发生故障，医院废水不经处理设施直接排放会造成废水污染物超标排放，因此应设置应急事故池。根据《医院污水处理工程技术规范》（HJ2029-2013），医院污水处理工程应设置</w:t>
            </w:r>
            <w:bookmarkStart w:id="24" w:name="OLE_LINK11"/>
            <w:r>
              <w:rPr>
                <w:rFonts w:ascii="宋体" w:hAnsi="宋体"/>
                <w:color w:val="auto"/>
                <w:sz w:val="24"/>
                <w:u w:val="none" w:color="auto"/>
              </w:rPr>
              <w:t>应急事故池</w:t>
            </w:r>
            <w:bookmarkEnd w:id="24"/>
            <w:r>
              <w:rPr>
                <w:rFonts w:ascii="宋体" w:hAnsi="宋体"/>
                <w:color w:val="auto"/>
                <w:sz w:val="24"/>
                <w:u w:val="none" w:color="auto"/>
              </w:rPr>
              <w:t>，传染病医院污水处理工程应急事故池不小于日排放量的100%，非传染病医院污水处理工程应急事故池不小于日排放量的30%，本项目为非传染病医院，</w:t>
            </w:r>
            <w:r>
              <w:rPr>
                <w:rFonts w:hint="eastAsia" w:ascii="宋体" w:hAnsi="宋体"/>
                <w:color w:val="auto"/>
                <w:sz w:val="24"/>
                <w:u w:val="none" w:color="auto"/>
                <w:lang w:val="en-US" w:eastAsia="zh-CN"/>
              </w:rPr>
              <w:t>医疗废水</w:t>
            </w:r>
            <w:r>
              <w:rPr>
                <w:rFonts w:ascii="宋体" w:hAnsi="宋体"/>
                <w:color w:val="auto"/>
                <w:sz w:val="24"/>
                <w:u w:val="none" w:color="auto"/>
              </w:rPr>
              <w:t>排放量约</w:t>
            </w:r>
            <w:r>
              <w:rPr>
                <w:rFonts w:hint="eastAsia" w:ascii="宋体" w:hAnsi="宋体"/>
                <w:color w:val="0000FF"/>
                <w:sz w:val="24"/>
                <w:u w:val="none" w:color="auto"/>
                <w:lang w:val="en-US" w:eastAsia="zh-CN"/>
              </w:rPr>
              <w:t>85.856</w:t>
            </w:r>
            <w:r>
              <w:rPr>
                <w:rFonts w:ascii="宋体" w:hAnsi="宋体"/>
                <w:color w:val="auto"/>
                <w:sz w:val="24"/>
                <w:u w:val="none" w:color="auto"/>
              </w:rPr>
              <w:t>m</w:t>
            </w:r>
            <w:r>
              <w:rPr>
                <w:rFonts w:ascii="宋体" w:hAnsi="宋体"/>
                <w:color w:val="auto"/>
                <w:sz w:val="24"/>
                <w:u w:val="none" w:color="auto"/>
                <w:vertAlign w:val="superscript"/>
              </w:rPr>
              <w:t>3</w:t>
            </w:r>
            <w:r>
              <w:rPr>
                <w:rFonts w:ascii="宋体" w:hAnsi="宋体"/>
                <w:color w:val="auto"/>
                <w:sz w:val="24"/>
                <w:u w:val="none" w:color="auto"/>
              </w:rPr>
              <w:t>/d</w:t>
            </w:r>
            <w:r>
              <w:rPr>
                <w:rFonts w:hint="eastAsia" w:ascii="宋体" w:hAnsi="宋体"/>
                <w:color w:val="auto"/>
                <w:sz w:val="24"/>
                <w:u w:val="none" w:color="auto"/>
              </w:rPr>
              <w:t>，</w:t>
            </w:r>
            <w:r>
              <w:rPr>
                <w:rFonts w:ascii="宋体" w:hAnsi="宋体"/>
                <w:color w:val="auto"/>
                <w:sz w:val="24"/>
                <w:u w:val="none" w:color="auto"/>
              </w:rPr>
              <w:t>应急事故池的设置规模</w:t>
            </w:r>
            <w:r>
              <w:rPr>
                <w:rFonts w:hint="eastAsia" w:ascii="宋体" w:hAnsi="宋体"/>
                <w:color w:val="auto"/>
                <w:sz w:val="24"/>
                <w:u w:val="none" w:color="auto"/>
              </w:rPr>
              <w:t>应不小于</w:t>
            </w:r>
            <w:r>
              <w:rPr>
                <w:rFonts w:hint="eastAsia" w:ascii="宋体" w:hAnsi="宋体"/>
                <w:color w:val="0000FF"/>
                <w:sz w:val="24"/>
                <w:u w:val="none" w:color="auto"/>
                <w:lang w:val="en-US" w:eastAsia="zh-CN"/>
              </w:rPr>
              <w:t>25.756</w:t>
            </w:r>
            <w:r>
              <w:rPr>
                <w:rFonts w:ascii="宋体" w:hAnsi="宋体"/>
                <w:color w:val="0000FF"/>
                <w:sz w:val="24"/>
                <w:u w:val="none" w:color="auto"/>
              </w:rPr>
              <w:t>m</w:t>
            </w:r>
            <w:r>
              <w:rPr>
                <w:rFonts w:ascii="宋体" w:hAnsi="宋体"/>
                <w:color w:val="0000FF"/>
                <w:sz w:val="24"/>
                <w:u w:val="none" w:color="auto"/>
                <w:vertAlign w:val="superscript"/>
              </w:rPr>
              <w:t>3</w:t>
            </w:r>
            <w:r>
              <w:rPr>
                <w:rFonts w:ascii="宋体" w:hAnsi="宋体"/>
                <w:color w:val="0000FF"/>
                <w:sz w:val="24"/>
                <w:u w:val="none" w:color="auto"/>
              </w:rPr>
              <w:t>，</w:t>
            </w:r>
            <w:r>
              <w:rPr>
                <w:rFonts w:hint="eastAsia" w:ascii="宋体" w:hAnsi="宋体"/>
                <w:color w:val="0000FF"/>
                <w:sz w:val="24"/>
                <w:u w:val="none" w:color="auto"/>
                <w:lang w:val="en-US" w:eastAsia="zh-CN"/>
              </w:rPr>
              <w:t>拟设应急事故池容积为26</w:t>
            </w:r>
            <w:r>
              <w:rPr>
                <w:rFonts w:ascii="宋体" w:hAnsi="宋体"/>
                <w:color w:val="0000FF"/>
                <w:sz w:val="24"/>
                <w:u w:val="none" w:color="auto"/>
              </w:rPr>
              <w:t>m</w:t>
            </w:r>
            <w:r>
              <w:rPr>
                <w:rFonts w:ascii="宋体" w:hAnsi="宋体"/>
                <w:color w:val="0000FF"/>
                <w:sz w:val="24"/>
                <w:u w:val="none" w:color="auto"/>
                <w:vertAlign w:val="superscript"/>
              </w:rPr>
              <w:t>3</w:t>
            </w:r>
            <w:r>
              <w:rPr>
                <w:rFonts w:hint="eastAsia" w:ascii="宋体" w:hAnsi="宋体"/>
                <w:color w:val="auto"/>
                <w:sz w:val="24"/>
                <w:u w:val="none" w:color="auto"/>
                <w:lang w:val="en-US" w:eastAsia="zh-CN"/>
              </w:rPr>
              <w:t>，</w:t>
            </w:r>
            <w:r>
              <w:rPr>
                <w:rFonts w:ascii="宋体" w:hAnsi="宋体"/>
                <w:color w:val="auto"/>
                <w:sz w:val="24"/>
                <w:u w:val="none" w:color="auto"/>
              </w:rPr>
              <w:t>可满足要求。医院在日常运营过程中一旦出现污水处理站运转异常现象，应立即将废水排入应急事故池，并对污水处理站进行检修。待事故结束后妥善处理。</w:t>
            </w:r>
          </w:p>
          <w:p w14:paraId="656EE4D2">
            <w:pPr>
              <w:spacing w:line="480" w:lineRule="exact"/>
              <w:ind w:firstLine="482" w:firstLineChars="200"/>
              <w:rPr>
                <w:rFonts w:ascii="Times New Roman" w:hAnsi="Times New Roman"/>
                <w:b/>
                <w:bCs/>
                <w:color w:val="auto"/>
                <w:sz w:val="24"/>
                <w:u w:val="none" w:color="auto"/>
              </w:rPr>
            </w:pPr>
            <w:r>
              <w:rPr>
                <w:rFonts w:ascii="Times New Roman" w:hAnsi="宋体"/>
                <w:b/>
                <w:bCs/>
                <w:color w:val="auto"/>
                <w:sz w:val="24"/>
                <w:u w:val="none" w:color="auto"/>
              </w:rPr>
              <w:t>②医疗废物风险防范措施</w:t>
            </w:r>
          </w:p>
          <w:p w14:paraId="03334A49">
            <w:pPr>
              <w:spacing w:line="480" w:lineRule="exact"/>
              <w:ind w:firstLine="480" w:firstLineChars="200"/>
              <w:rPr>
                <w:rFonts w:ascii="Times New Roman" w:hAnsi="Times New Roman"/>
                <w:color w:val="auto"/>
                <w:sz w:val="24"/>
                <w:u w:val="none" w:color="auto"/>
              </w:rPr>
            </w:pPr>
            <w:r>
              <w:rPr>
                <w:rFonts w:ascii="Times New Roman" w:hAnsi="Times New Roman"/>
                <w:color w:val="auto"/>
                <w:sz w:val="24"/>
                <w:u w:val="none" w:color="auto"/>
              </w:rPr>
              <w:t>A.</w:t>
            </w:r>
            <w:bookmarkStart w:id="25" w:name="OLE_LINK10"/>
            <w:r>
              <w:rPr>
                <w:rFonts w:ascii="Times New Roman" w:hAnsi="宋体"/>
                <w:color w:val="auto"/>
                <w:sz w:val="24"/>
                <w:u w:val="none" w:color="auto"/>
              </w:rPr>
              <w:t>医疗废物暂存</w:t>
            </w:r>
            <w:bookmarkEnd w:id="25"/>
            <w:r>
              <w:rPr>
                <w:rFonts w:ascii="Times New Roman" w:hAnsi="宋体"/>
                <w:color w:val="auto"/>
                <w:sz w:val="24"/>
                <w:u w:val="none" w:color="auto"/>
              </w:rPr>
              <w:t>场所的选址、安全间距、防护距离要求</w:t>
            </w:r>
            <w:r>
              <w:rPr>
                <w:rFonts w:ascii="Times New Roman" w:hAnsi="Times New Roman"/>
                <w:color w:val="auto"/>
                <w:sz w:val="24"/>
                <w:u w:val="none" w:color="auto"/>
              </w:rPr>
              <w:t xml:space="preserve"> </w:t>
            </w:r>
          </w:p>
          <w:p w14:paraId="718668A1">
            <w:pPr>
              <w:spacing w:line="480" w:lineRule="exact"/>
              <w:ind w:firstLine="480" w:firstLineChars="200"/>
              <w:rPr>
                <w:rFonts w:ascii="Times New Roman" w:hAnsi="Times New Roman"/>
                <w:color w:val="auto"/>
                <w:sz w:val="24"/>
                <w:u w:val="none" w:color="auto"/>
              </w:rPr>
            </w:pPr>
            <w:r>
              <w:rPr>
                <w:rFonts w:ascii="Times New Roman" w:hAnsi="宋体"/>
                <w:color w:val="auto"/>
                <w:sz w:val="24"/>
                <w:u w:val="none" w:color="auto"/>
              </w:rPr>
              <w:t>医疗废物暂存场所的选址和建设应根据中华人民共和国卫生部令第</w:t>
            </w:r>
            <w:r>
              <w:rPr>
                <w:rFonts w:ascii="Times New Roman" w:hAnsi="Times New Roman"/>
                <w:color w:val="auto"/>
                <w:sz w:val="24"/>
                <w:u w:val="none" w:color="auto"/>
              </w:rPr>
              <w:t>36</w:t>
            </w:r>
            <w:r>
              <w:rPr>
                <w:rFonts w:ascii="Times New Roman" w:hAnsi="宋体"/>
                <w:color w:val="auto"/>
                <w:sz w:val="24"/>
                <w:u w:val="none" w:color="auto"/>
              </w:rPr>
              <w:t>号《医疗卫生机构医疗废物管理办法》中的有关规定执行，医院及时收集本单位产生的医疗废物，并按照类别分置于防渗漏、防锐器穿透的专用包装物或者密闭的容器内，收集时严防洒漏和违反操作规程，医疗废物专用包装物、容器应当有明显的警示标志和警示说明，院应当建立医疗废物的临时贮存设施和设备，不得露天存放医疗废物，医疗废物暂时贮存的时间不得超过</w:t>
            </w:r>
            <w:r>
              <w:rPr>
                <w:rFonts w:ascii="Times New Roman" w:hAnsi="Times New Roman"/>
                <w:color w:val="auto"/>
                <w:sz w:val="24"/>
                <w:u w:val="none" w:color="auto"/>
              </w:rPr>
              <w:t>2</w:t>
            </w:r>
            <w:r>
              <w:rPr>
                <w:rFonts w:ascii="Times New Roman" w:hAnsi="宋体"/>
                <w:color w:val="auto"/>
                <w:sz w:val="24"/>
                <w:u w:val="none" w:color="auto"/>
              </w:rPr>
              <w:t>天。</w:t>
            </w:r>
          </w:p>
          <w:p w14:paraId="6805E4C7">
            <w:pPr>
              <w:spacing w:line="480" w:lineRule="exact"/>
              <w:ind w:firstLine="480" w:firstLineChars="200"/>
              <w:rPr>
                <w:rFonts w:ascii="Times New Roman" w:hAnsi="Times New Roman"/>
                <w:color w:val="auto"/>
                <w:sz w:val="24"/>
                <w:u w:val="none" w:color="auto"/>
              </w:rPr>
            </w:pPr>
            <w:r>
              <w:rPr>
                <w:rFonts w:ascii="Times New Roman" w:hAnsi="Times New Roman"/>
                <w:color w:val="auto"/>
                <w:sz w:val="24"/>
                <w:u w:val="none" w:color="auto"/>
              </w:rPr>
              <w:t>B.</w:t>
            </w:r>
            <w:r>
              <w:rPr>
                <w:rFonts w:ascii="Times New Roman" w:hAnsi="宋体"/>
                <w:color w:val="auto"/>
                <w:sz w:val="24"/>
                <w:u w:val="none" w:color="auto"/>
              </w:rPr>
              <w:t>卫生要求和管理制度</w:t>
            </w:r>
            <w:r>
              <w:rPr>
                <w:rFonts w:ascii="Times New Roman" w:hAnsi="Times New Roman"/>
                <w:color w:val="auto"/>
                <w:sz w:val="24"/>
                <w:u w:val="none" w:color="auto"/>
              </w:rPr>
              <w:t xml:space="preserve"> </w:t>
            </w:r>
          </w:p>
          <w:p w14:paraId="4ADA1C74">
            <w:pPr>
              <w:spacing w:line="480" w:lineRule="exact"/>
              <w:ind w:firstLine="480" w:firstLineChars="200"/>
              <w:rPr>
                <w:rFonts w:ascii="Times New Roman" w:hAnsi="Times New Roman"/>
                <w:color w:val="auto"/>
                <w:sz w:val="24"/>
                <w:u w:val="none" w:color="auto"/>
              </w:rPr>
            </w:pPr>
            <w:r>
              <w:rPr>
                <w:rFonts w:ascii="Times New Roman" w:hAnsi="Times New Roman"/>
                <w:color w:val="auto"/>
                <w:sz w:val="24"/>
                <w:u w:val="none" w:color="auto"/>
              </w:rPr>
              <w:t>a.</w:t>
            </w:r>
            <w:r>
              <w:rPr>
                <w:rFonts w:ascii="Times New Roman" w:hAnsi="宋体"/>
                <w:color w:val="auto"/>
                <w:sz w:val="24"/>
                <w:u w:val="none" w:color="auto"/>
              </w:rPr>
              <w:t>医疗废物暂时贮存库房每天应在废物清运之后消毒冲洗，冲洗水经消毒后，排入污水处理站进行处理。</w:t>
            </w:r>
            <w:r>
              <w:rPr>
                <w:rFonts w:ascii="Times New Roman" w:hAnsi="Times New Roman"/>
                <w:color w:val="auto"/>
                <w:sz w:val="24"/>
                <w:u w:val="none" w:color="auto"/>
              </w:rPr>
              <w:t xml:space="preserve"> </w:t>
            </w:r>
          </w:p>
          <w:p w14:paraId="1938916A">
            <w:pPr>
              <w:spacing w:line="480" w:lineRule="exact"/>
              <w:ind w:firstLine="480" w:firstLineChars="200"/>
              <w:rPr>
                <w:rFonts w:ascii="Times New Roman" w:hAnsi="Times New Roman"/>
                <w:color w:val="auto"/>
                <w:sz w:val="24"/>
                <w:u w:val="none" w:color="auto"/>
              </w:rPr>
            </w:pPr>
            <w:r>
              <w:rPr>
                <w:rFonts w:ascii="Times New Roman" w:hAnsi="Times New Roman"/>
                <w:color w:val="auto"/>
                <w:sz w:val="24"/>
                <w:u w:val="none" w:color="auto"/>
              </w:rPr>
              <w:t>b.</w:t>
            </w:r>
            <w:r>
              <w:rPr>
                <w:rFonts w:ascii="Times New Roman" w:hAnsi="宋体"/>
                <w:color w:val="auto"/>
                <w:sz w:val="24"/>
                <w:u w:val="none" w:color="auto"/>
              </w:rPr>
              <w:t>医疗废物暂时贮存柜（箱）应每天消毒一次。</w:t>
            </w:r>
            <w:r>
              <w:rPr>
                <w:rFonts w:ascii="Times New Roman" w:hAnsi="Times New Roman"/>
                <w:color w:val="auto"/>
                <w:sz w:val="24"/>
                <w:u w:val="none" w:color="auto"/>
              </w:rPr>
              <w:t xml:space="preserve"> </w:t>
            </w:r>
          </w:p>
          <w:p w14:paraId="2E5E4A78">
            <w:pPr>
              <w:spacing w:line="480" w:lineRule="exact"/>
              <w:ind w:firstLine="480" w:firstLineChars="200"/>
              <w:rPr>
                <w:rFonts w:ascii="Times New Roman" w:hAnsi="Times New Roman"/>
                <w:color w:val="auto"/>
                <w:sz w:val="24"/>
                <w:u w:val="none" w:color="auto"/>
              </w:rPr>
            </w:pPr>
            <w:r>
              <w:rPr>
                <w:rFonts w:ascii="Times New Roman" w:hAnsi="Times New Roman"/>
                <w:color w:val="auto"/>
                <w:sz w:val="24"/>
                <w:u w:val="none" w:color="auto"/>
              </w:rPr>
              <w:t>c.</w:t>
            </w:r>
            <w:r>
              <w:rPr>
                <w:rFonts w:ascii="Times New Roman" w:hAnsi="宋体"/>
                <w:color w:val="auto"/>
                <w:sz w:val="24"/>
                <w:u w:val="none" w:color="auto"/>
              </w:rPr>
              <w:t>应防止医疗废物在暂时贮存库房和专用暂时贮存柜（箱）中腐败散发恶臭，尽量做到日产日清。</w:t>
            </w:r>
            <w:r>
              <w:rPr>
                <w:rFonts w:ascii="Times New Roman" w:hAnsi="Times New Roman"/>
                <w:color w:val="auto"/>
                <w:sz w:val="24"/>
                <w:u w:val="none" w:color="auto"/>
              </w:rPr>
              <w:t xml:space="preserve"> </w:t>
            </w:r>
          </w:p>
          <w:p w14:paraId="198079DC">
            <w:pPr>
              <w:spacing w:line="480" w:lineRule="exact"/>
              <w:ind w:firstLine="480" w:firstLineChars="200"/>
              <w:rPr>
                <w:rFonts w:ascii="Times New Roman" w:hAnsi="Times New Roman"/>
                <w:color w:val="auto"/>
                <w:sz w:val="24"/>
                <w:u w:val="none" w:color="auto"/>
              </w:rPr>
            </w:pPr>
            <w:r>
              <w:rPr>
                <w:rFonts w:ascii="Times New Roman" w:hAnsi="Times New Roman"/>
                <w:color w:val="auto"/>
                <w:sz w:val="24"/>
                <w:u w:val="none" w:color="auto"/>
              </w:rPr>
              <w:t>d.</w:t>
            </w:r>
            <w:r>
              <w:rPr>
                <w:rFonts w:ascii="Times New Roman" w:hAnsi="宋体"/>
                <w:color w:val="auto"/>
                <w:sz w:val="24"/>
                <w:u w:val="none" w:color="auto"/>
              </w:rPr>
              <w:t>确实不能做到日产日清，且当地最高气温高于</w:t>
            </w:r>
            <w:r>
              <w:rPr>
                <w:rFonts w:ascii="Times New Roman" w:hAnsi="Times New Roman"/>
                <w:color w:val="auto"/>
                <w:sz w:val="24"/>
                <w:u w:val="none" w:color="auto"/>
              </w:rPr>
              <w:t>25°C</w:t>
            </w:r>
            <w:r>
              <w:rPr>
                <w:rFonts w:ascii="Times New Roman" w:hAnsi="宋体"/>
                <w:color w:val="auto"/>
                <w:sz w:val="24"/>
                <w:u w:val="none" w:color="auto"/>
              </w:rPr>
              <w:t>时，应将医疗废物低温暂时贮存，暂时贮存温度应低于</w:t>
            </w:r>
            <w:r>
              <w:rPr>
                <w:rFonts w:ascii="Times New Roman" w:hAnsi="Times New Roman"/>
                <w:color w:val="auto"/>
                <w:sz w:val="24"/>
                <w:u w:val="none" w:color="auto"/>
              </w:rPr>
              <w:t xml:space="preserve"> 20°C</w:t>
            </w:r>
            <w:r>
              <w:rPr>
                <w:rFonts w:ascii="Times New Roman" w:hAnsi="宋体"/>
                <w:color w:val="auto"/>
                <w:sz w:val="24"/>
                <w:u w:val="none" w:color="auto"/>
              </w:rPr>
              <w:t>，时间最长不超过</w:t>
            </w:r>
            <w:r>
              <w:rPr>
                <w:rFonts w:ascii="Times New Roman" w:hAnsi="Times New Roman"/>
                <w:color w:val="auto"/>
                <w:sz w:val="24"/>
                <w:u w:val="none" w:color="auto"/>
              </w:rPr>
              <w:t xml:space="preserve"> 48</w:t>
            </w:r>
            <w:r>
              <w:rPr>
                <w:rFonts w:ascii="Times New Roman" w:hAnsi="宋体"/>
                <w:color w:val="auto"/>
                <w:sz w:val="24"/>
                <w:u w:val="none" w:color="auto"/>
              </w:rPr>
              <w:t>小时。</w:t>
            </w:r>
            <w:r>
              <w:rPr>
                <w:rFonts w:ascii="Times New Roman" w:hAnsi="Times New Roman"/>
                <w:color w:val="auto"/>
                <w:sz w:val="24"/>
                <w:u w:val="none" w:color="auto"/>
              </w:rPr>
              <w:t xml:space="preserve"> </w:t>
            </w:r>
          </w:p>
          <w:p w14:paraId="481B8CF6">
            <w:pPr>
              <w:spacing w:line="480" w:lineRule="exact"/>
              <w:ind w:firstLine="480" w:firstLineChars="200"/>
              <w:rPr>
                <w:rFonts w:ascii="Times New Roman" w:hAnsi="Times New Roman"/>
                <w:color w:val="auto"/>
                <w:sz w:val="24"/>
                <w:u w:val="none" w:color="auto"/>
              </w:rPr>
            </w:pPr>
            <w:r>
              <w:rPr>
                <w:rFonts w:ascii="Times New Roman" w:hAnsi="Times New Roman"/>
                <w:color w:val="auto"/>
                <w:sz w:val="24"/>
                <w:u w:val="none" w:color="auto"/>
              </w:rPr>
              <w:t>e.</w:t>
            </w:r>
            <w:r>
              <w:rPr>
                <w:rFonts w:ascii="Times New Roman" w:hAnsi="宋体"/>
                <w:color w:val="auto"/>
                <w:sz w:val="24"/>
                <w:u w:val="none" w:color="auto"/>
              </w:rPr>
              <w:t>医疗卫生机构应制定医疗废物暂时贮存管理的有关规章制度、工作程序及应急处理措施。</w:t>
            </w:r>
            <w:r>
              <w:rPr>
                <w:rFonts w:ascii="Times New Roman" w:hAnsi="Times New Roman"/>
                <w:color w:val="auto"/>
                <w:sz w:val="24"/>
                <w:u w:val="none" w:color="auto"/>
              </w:rPr>
              <w:t xml:space="preserve"> </w:t>
            </w:r>
          </w:p>
          <w:p w14:paraId="0ACD7194">
            <w:pPr>
              <w:spacing w:line="480" w:lineRule="exact"/>
              <w:ind w:firstLine="480" w:firstLineChars="200"/>
              <w:rPr>
                <w:rFonts w:ascii="Times New Roman" w:hAnsi="Times New Roman"/>
                <w:color w:val="auto"/>
                <w:sz w:val="24"/>
                <w:u w:val="none" w:color="auto"/>
              </w:rPr>
            </w:pPr>
            <w:r>
              <w:rPr>
                <w:rFonts w:ascii="Times New Roman" w:hAnsi="Times New Roman"/>
                <w:color w:val="auto"/>
                <w:sz w:val="24"/>
                <w:u w:val="none" w:color="auto"/>
              </w:rPr>
              <w:t>f.</w:t>
            </w:r>
            <w:r>
              <w:rPr>
                <w:rFonts w:ascii="Times New Roman" w:hAnsi="宋体"/>
                <w:color w:val="auto"/>
                <w:sz w:val="24"/>
                <w:u w:val="none" w:color="auto"/>
              </w:rPr>
              <w:t>医疗卫生机构的暂时贮存库房和医疗废物专用暂时贮存柜（箱）存放地，应当接受当地环保和卫生主管部门的监督检查。</w:t>
            </w:r>
          </w:p>
          <w:p w14:paraId="663AB118">
            <w:pPr>
              <w:spacing w:line="480" w:lineRule="exact"/>
              <w:ind w:firstLine="480" w:firstLineChars="200"/>
              <w:rPr>
                <w:rFonts w:ascii="Times New Roman" w:hAnsi="Times New Roman"/>
                <w:color w:val="auto"/>
                <w:sz w:val="24"/>
                <w:u w:val="none" w:color="auto"/>
              </w:rPr>
            </w:pPr>
            <w:r>
              <w:rPr>
                <w:rFonts w:hint="eastAsia" w:ascii="Times New Roman" w:hAnsi="宋体"/>
                <w:color w:val="auto"/>
                <w:sz w:val="24"/>
                <w:u w:val="none" w:color="auto"/>
              </w:rPr>
              <w:t>C.</w:t>
            </w:r>
            <w:r>
              <w:rPr>
                <w:rFonts w:ascii="Times New Roman" w:hAnsi="宋体"/>
                <w:color w:val="auto"/>
                <w:sz w:val="24"/>
                <w:u w:val="none" w:color="auto"/>
              </w:rPr>
              <w:t>医疗卫生机构应当将医疗废物交由取得县级以上人民政府环境保护行政主管部门许可的医疗废物集中处置单位处置，依照危险废物转移联单制度填写和保存转移联单。医疗卫生机构应当对医疗废物进行登记，登记内容应当包括医疗废物的来源、种类、重量或者数量、交接时间、最终去向以及经办人签名等项目。登记资料至少保存</w:t>
            </w:r>
            <w:r>
              <w:rPr>
                <w:rFonts w:ascii="Times New Roman" w:hAnsi="Times New Roman"/>
                <w:color w:val="auto"/>
                <w:sz w:val="24"/>
                <w:u w:val="none" w:color="auto"/>
              </w:rPr>
              <w:t>3</w:t>
            </w:r>
            <w:r>
              <w:rPr>
                <w:rFonts w:ascii="Times New Roman" w:hAnsi="宋体"/>
                <w:color w:val="auto"/>
                <w:sz w:val="24"/>
                <w:u w:val="none" w:color="auto"/>
              </w:rPr>
              <w:t>年。医疗废物转交出去后，应当对暂时贮存地点、设施及时进行清洁和消毒处理。</w:t>
            </w:r>
          </w:p>
          <w:p w14:paraId="4DC6CEA5">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ascii="Times New Roman" w:hAnsi="Times New Roman"/>
                <w:color w:val="auto"/>
                <w:sz w:val="24"/>
                <w:u w:val="none" w:color="auto"/>
              </w:rPr>
            </w:pPr>
            <w:r>
              <w:rPr>
                <w:rFonts w:hint="eastAsia" w:ascii="Times New Roman" w:hAnsi="宋体"/>
                <w:color w:val="auto"/>
                <w:sz w:val="24"/>
                <w:u w:val="none" w:color="auto"/>
              </w:rPr>
              <w:t>D.</w:t>
            </w:r>
            <w:r>
              <w:rPr>
                <w:rFonts w:ascii="Times New Roman" w:hAnsi="宋体"/>
                <w:color w:val="auto"/>
                <w:sz w:val="24"/>
                <w:u w:val="none" w:color="auto"/>
              </w:rPr>
              <w:t>医疗废物运输过程中，运送人员每天从医疗废物储存点将分类包装的医疗废物按照规定的时间和路线运送至内部指定的暂时贮存地点。运送人员在运送医疗废物前，应当检查包装物或者容器的标识、标签及封口是否符合要求，不得将不符合要求的医疗废物运送至暂时贮存地点。运送人员在运送医疗废物时，应当防止造成包装物或容器破损和医疗废物的流失、泄漏和扩散，并防止医疗废物直接接触身体。运送医疗废物应当使用防渗漏、防遗撒、无锐利边角、易于装卸和清洁的专用运送工具。每天运送工作结束后，应当对运送工具及时进行清洁和消毒。</w:t>
            </w:r>
          </w:p>
          <w:p w14:paraId="4E58A55F">
            <w:pPr>
              <w:pStyle w:val="36"/>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textAlignment w:val="auto"/>
              <w:rPr>
                <w:rFonts w:hint="eastAsia"/>
                <w:color w:val="auto"/>
                <w:sz w:val="24"/>
                <w:u w:val="none" w:color="auto"/>
              </w:rPr>
            </w:pPr>
            <w:r>
              <w:rPr>
                <w:rFonts w:hint="eastAsia"/>
                <w:color w:val="auto"/>
                <w:sz w:val="24"/>
                <w:u w:val="none" w:color="auto"/>
              </w:rPr>
              <w:t>本项目具有潜在的事故风险主要有：医疗废物泄漏可能引发的环境风险、污水处理站设备故障可能引发的废水未经处理排放污染环境风险，在采取严格的防范措施后，事故发生概率较小，对人群健康及周围环境不会造成不良影响，项目的环境风险在可接受的程度和范围内。</w:t>
            </w:r>
          </w:p>
          <w:p w14:paraId="270D5C1E">
            <w:pPr>
              <w:pStyle w:val="36"/>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textAlignment w:val="auto"/>
              <w:rPr>
                <w:rFonts w:hint="eastAsia"/>
                <w:color w:val="auto"/>
                <w:sz w:val="24"/>
                <w:u w:val="none" w:color="auto"/>
                <w:lang w:val="en-US" w:eastAsia="zh-CN"/>
              </w:rPr>
            </w:pPr>
            <w:r>
              <w:rPr>
                <w:rFonts w:hint="eastAsia"/>
                <w:color w:val="auto"/>
                <w:sz w:val="24"/>
                <w:u w:val="none" w:color="auto"/>
                <w:lang w:val="en-US" w:eastAsia="zh-CN"/>
              </w:rPr>
              <w:t>项目环境风险简单分析情况如下：</w:t>
            </w:r>
          </w:p>
          <w:p w14:paraId="3DCA2EE5">
            <w:pPr>
              <w:pStyle w:val="10"/>
              <w:numPr>
                <w:ilvl w:val="0"/>
                <w:numId w:val="3"/>
              </w:numPr>
              <w:ind w:left="0" w:firstLine="0" w:firstLineChars="0"/>
              <w:jc w:val="center"/>
              <w:rPr>
                <w:rFonts w:ascii="黑体" w:hAnsi="黑体" w:eastAsia="黑体"/>
                <w:b w:val="0"/>
                <w:color w:val="auto"/>
                <w:u w:val="none" w:color="auto"/>
              </w:rPr>
            </w:pPr>
            <w:r>
              <w:rPr>
                <w:rFonts w:ascii="黑体" w:hAnsi="黑体" w:eastAsia="黑体"/>
                <w:b w:val="0"/>
                <w:color w:val="auto"/>
                <w:u w:val="none" w:color="auto"/>
              </w:rPr>
              <w:t>建设项目环境风险简单分析内容表</w:t>
            </w:r>
          </w:p>
          <w:tbl>
            <w:tblPr>
              <w:tblStyle w:val="22"/>
              <w:tblW w:w="923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05"/>
              <w:gridCol w:w="6629"/>
            </w:tblGrid>
            <w:tr w14:paraId="56A896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605" w:type="dxa"/>
                  <w:vAlign w:val="center"/>
                </w:tcPr>
                <w:p w14:paraId="3E6C4A8A">
                  <w:pPr>
                    <w:spacing w:line="240" w:lineRule="auto"/>
                    <w:ind w:left="480" w:leftChars="200" w:firstLine="0" w:firstLineChars="0"/>
                    <w:jc w:val="center"/>
                    <w:rPr>
                      <w:b/>
                      <w:bCs/>
                      <w:color w:val="auto"/>
                      <w:sz w:val="21"/>
                      <w:szCs w:val="21"/>
                      <w:u w:val="none" w:color="auto"/>
                    </w:rPr>
                  </w:pPr>
                  <w:r>
                    <w:rPr>
                      <w:b/>
                      <w:bCs/>
                      <w:color w:val="auto"/>
                      <w:sz w:val="21"/>
                      <w:szCs w:val="21"/>
                      <w:u w:val="none" w:color="auto"/>
                    </w:rPr>
                    <w:t>建设项目名称</w:t>
                  </w:r>
                </w:p>
              </w:tc>
              <w:tc>
                <w:tcPr>
                  <w:tcW w:w="6629" w:type="dxa"/>
                  <w:vAlign w:val="center"/>
                </w:tcPr>
                <w:p w14:paraId="3E483F86">
                  <w:pPr>
                    <w:spacing w:line="240" w:lineRule="auto"/>
                    <w:ind w:left="480" w:leftChars="200" w:firstLine="0" w:firstLineChars="0"/>
                    <w:jc w:val="center"/>
                    <w:rPr>
                      <w:color w:val="auto"/>
                      <w:sz w:val="21"/>
                      <w:szCs w:val="21"/>
                      <w:highlight w:val="yellow"/>
                      <w:u w:val="none" w:color="auto"/>
                    </w:rPr>
                  </w:pPr>
                  <w:r>
                    <w:rPr>
                      <w:rFonts w:hint="eastAsia"/>
                      <w:color w:val="auto"/>
                      <w:sz w:val="21"/>
                      <w:szCs w:val="21"/>
                      <w:u w:val="none" w:color="auto"/>
                      <w:lang w:eastAsia="zh-CN"/>
                    </w:rPr>
                    <w:t>南宁市健宁精神病医院建设项目</w:t>
                  </w:r>
                </w:p>
              </w:tc>
            </w:tr>
            <w:tr w14:paraId="14AB0B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605" w:type="dxa"/>
                  <w:vAlign w:val="center"/>
                </w:tcPr>
                <w:p w14:paraId="62408725">
                  <w:pPr>
                    <w:spacing w:line="240" w:lineRule="auto"/>
                    <w:ind w:left="480" w:leftChars="200" w:firstLine="0" w:firstLineChars="0"/>
                    <w:jc w:val="center"/>
                    <w:rPr>
                      <w:color w:val="auto"/>
                      <w:sz w:val="21"/>
                      <w:szCs w:val="21"/>
                      <w:u w:val="none" w:color="auto"/>
                    </w:rPr>
                  </w:pPr>
                  <w:r>
                    <w:rPr>
                      <w:color w:val="auto"/>
                      <w:sz w:val="21"/>
                      <w:szCs w:val="21"/>
                      <w:u w:val="none" w:color="auto"/>
                    </w:rPr>
                    <w:t>建设地点</w:t>
                  </w:r>
                </w:p>
              </w:tc>
              <w:tc>
                <w:tcPr>
                  <w:tcW w:w="6629" w:type="dxa"/>
                  <w:vAlign w:val="center"/>
                </w:tcPr>
                <w:p w14:paraId="4DEB9DC2">
                  <w:pPr>
                    <w:adjustRightInd w:val="0"/>
                    <w:snapToGrid w:val="0"/>
                    <w:spacing w:line="240" w:lineRule="auto"/>
                    <w:ind w:firstLine="0" w:firstLineChars="0"/>
                    <w:jc w:val="center"/>
                    <w:rPr>
                      <w:rFonts w:hint="default" w:eastAsia="宋体"/>
                      <w:color w:val="auto"/>
                      <w:sz w:val="21"/>
                      <w:szCs w:val="21"/>
                      <w:highlight w:val="yellow"/>
                      <w:u w:val="none" w:color="auto"/>
                      <w:lang w:val="en-US" w:eastAsia="zh-CN"/>
                    </w:rPr>
                  </w:pPr>
                  <w:r>
                    <w:rPr>
                      <w:rFonts w:hint="eastAsia"/>
                      <w:color w:val="auto"/>
                      <w:sz w:val="21"/>
                      <w:szCs w:val="21"/>
                      <w:u w:val="none" w:color="auto"/>
                      <w:lang w:eastAsia="zh-CN"/>
                    </w:rPr>
                    <w:t>南宁市经济开发区友谊路58-16 号高岭村九组三产综合楼2号楼</w:t>
                  </w:r>
                </w:p>
              </w:tc>
            </w:tr>
            <w:tr w14:paraId="11D54B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605" w:type="dxa"/>
                  <w:vAlign w:val="center"/>
                </w:tcPr>
                <w:p w14:paraId="601FD1FD">
                  <w:pPr>
                    <w:spacing w:line="240" w:lineRule="auto"/>
                    <w:ind w:left="480" w:leftChars="200" w:firstLine="0" w:firstLineChars="0"/>
                    <w:jc w:val="center"/>
                    <w:rPr>
                      <w:color w:val="auto"/>
                      <w:sz w:val="21"/>
                      <w:szCs w:val="21"/>
                      <w:u w:val="none" w:color="auto"/>
                    </w:rPr>
                  </w:pPr>
                  <w:r>
                    <w:rPr>
                      <w:color w:val="auto"/>
                      <w:sz w:val="21"/>
                      <w:szCs w:val="21"/>
                      <w:u w:val="none" w:color="auto"/>
                    </w:rPr>
                    <w:t>地理坐标</w:t>
                  </w:r>
                </w:p>
              </w:tc>
              <w:tc>
                <w:tcPr>
                  <w:tcW w:w="6629" w:type="dxa"/>
                  <w:vAlign w:val="center"/>
                </w:tcPr>
                <w:p w14:paraId="65E35737">
                  <w:pPr>
                    <w:spacing w:line="240" w:lineRule="auto"/>
                    <w:ind w:firstLine="0" w:firstLineChars="0"/>
                    <w:jc w:val="center"/>
                    <w:rPr>
                      <w:color w:val="auto"/>
                      <w:sz w:val="21"/>
                      <w:szCs w:val="21"/>
                      <w:highlight w:val="yellow"/>
                      <w:u w:val="none" w:color="auto"/>
                    </w:rPr>
                  </w:pPr>
                  <w:r>
                    <w:rPr>
                      <w:color w:val="auto"/>
                      <w:sz w:val="21"/>
                      <w:szCs w:val="21"/>
                      <w:u w:val="none" w:color="auto"/>
                    </w:rPr>
                    <w:t>（</w:t>
                  </w:r>
                  <w:r>
                    <w:rPr>
                      <w:rFonts w:hint="eastAsia"/>
                      <w:color w:val="auto"/>
                      <w:sz w:val="21"/>
                      <w:szCs w:val="21"/>
                      <w:u w:val="none" w:color="auto"/>
                      <w:lang w:eastAsia="zh-CN"/>
                    </w:rPr>
                    <w:t>东经108度17分34.795秒</w:t>
                  </w:r>
                  <w:r>
                    <w:rPr>
                      <w:rFonts w:hint="eastAsia"/>
                      <w:color w:val="auto"/>
                      <w:sz w:val="21"/>
                      <w:szCs w:val="21"/>
                      <w:u w:val="none" w:color="auto"/>
                    </w:rPr>
                    <w:t>，</w:t>
                  </w:r>
                  <w:r>
                    <w:rPr>
                      <w:rFonts w:hint="eastAsia"/>
                      <w:color w:val="auto"/>
                      <w:sz w:val="21"/>
                      <w:szCs w:val="21"/>
                      <w:u w:val="none" w:color="auto"/>
                      <w:lang w:eastAsia="zh-CN"/>
                    </w:rPr>
                    <w:t>北纬22度43分55.526秒</w:t>
                  </w:r>
                  <w:r>
                    <w:rPr>
                      <w:color w:val="auto"/>
                      <w:sz w:val="21"/>
                      <w:szCs w:val="21"/>
                      <w:u w:val="none" w:color="auto"/>
                    </w:rPr>
                    <w:t>）</w:t>
                  </w:r>
                </w:p>
              </w:tc>
            </w:tr>
            <w:tr w14:paraId="321436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605" w:type="dxa"/>
                  <w:vAlign w:val="center"/>
                </w:tcPr>
                <w:p w14:paraId="5D50003F">
                  <w:pPr>
                    <w:spacing w:line="240" w:lineRule="auto"/>
                    <w:ind w:left="480" w:leftChars="200" w:firstLine="0" w:firstLineChars="0"/>
                    <w:jc w:val="center"/>
                    <w:rPr>
                      <w:color w:val="auto"/>
                      <w:sz w:val="21"/>
                      <w:szCs w:val="21"/>
                      <w:u w:val="none" w:color="auto"/>
                    </w:rPr>
                  </w:pPr>
                  <w:r>
                    <w:rPr>
                      <w:color w:val="auto"/>
                      <w:sz w:val="21"/>
                      <w:szCs w:val="21"/>
                      <w:u w:val="none" w:color="auto"/>
                    </w:rPr>
                    <w:t>主要危险物质及分布</w:t>
                  </w:r>
                </w:p>
              </w:tc>
              <w:tc>
                <w:tcPr>
                  <w:tcW w:w="6629" w:type="dxa"/>
                  <w:vAlign w:val="center"/>
                </w:tcPr>
                <w:p w14:paraId="78E03521">
                  <w:pPr>
                    <w:spacing w:line="240" w:lineRule="auto"/>
                    <w:ind w:left="480" w:leftChars="200" w:firstLine="0" w:firstLineChars="0"/>
                    <w:jc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污水处理站、医疗废物暂存间、危险废物暂存间</w:t>
                  </w:r>
                </w:p>
              </w:tc>
            </w:tr>
            <w:tr w14:paraId="1408FF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2605" w:type="dxa"/>
                  <w:vAlign w:val="center"/>
                </w:tcPr>
                <w:p w14:paraId="4FC8CDA7">
                  <w:pPr>
                    <w:spacing w:line="240" w:lineRule="auto"/>
                    <w:ind w:left="480" w:leftChars="200" w:firstLine="0" w:firstLineChars="0"/>
                    <w:jc w:val="center"/>
                    <w:rPr>
                      <w:color w:val="auto"/>
                      <w:sz w:val="21"/>
                      <w:szCs w:val="21"/>
                      <w:u w:val="none" w:color="auto"/>
                    </w:rPr>
                  </w:pPr>
                  <w:r>
                    <w:rPr>
                      <w:color w:val="auto"/>
                      <w:sz w:val="21"/>
                      <w:szCs w:val="21"/>
                      <w:u w:val="none" w:color="auto"/>
                    </w:rPr>
                    <w:t>环境影响途径及危害后果（大气、地表水、地下水等）</w:t>
                  </w:r>
                </w:p>
              </w:tc>
              <w:tc>
                <w:tcPr>
                  <w:tcW w:w="6629" w:type="dxa"/>
                  <w:vAlign w:val="center"/>
                </w:tcPr>
                <w:p w14:paraId="4BD09807">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①污水处理站：医院污水处理设施发生故障导致带病原性微生物的含菌医疗废水没有得到及时处理，或者污水处理站发生泄漏，导致污水排入地表水体而造成的污染环境风险。</w:t>
                  </w:r>
                </w:p>
                <w:p w14:paraId="0738B9B7">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②医疗废物</w:t>
                  </w:r>
                  <w:r>
                    <w:rPr>
                      <w:rFonts w:hint="eastAsia" w:cs="Times New Roman"/>
                      <w:color w:val="auto"/>
                      <w:sz w:val="21"/>
                      <w:szCs w:val="21"/>
                      <w:u w:val="none" w:color="auto"/>
                      <w:lang w:eastAsia="zh-CN"/>
                    </w:rPr>
                    <w:t>、</w:t>
                  </w:r>
                  <w:r>
                    <w:rPr>
                      <w:rFonts w:hint="eastAsia" w:cs="Times New Roman"/>
                      <w:color w:val="auto"/>
                      <w:sz w:val="21"/>
                      <w:szCs w:val="21"/>
                      <w:u w:val="none" w:color="auto"/>
                      <w:lang w:val="en-US" w:eastAsia="zh-CN"/>
                    </w:rPr>
                    <w:t>危险废物</w:t>
                  </w:r>
                  <w:r>
                    <w:rPr>
                      <w:rFonts w:hint="default" w:ascii="Times New Roman" w:hAnsi="Times New Roman" w:eastAsia="宋体" w:cs="Times New Roman"/>
                      <w:color w:val="auto"/>
                      <w:sz w:val="21"/>
                      <w:szCs w:val="21"/>
                      <w:u w:val="none" w:color="auto"/>
                    </w:rPr>
                    <w:t>：医院产生的医疗废物</w:t>
                  </w:r>
                  <w:r>
                    <w:rPr>
                      <w:rFonts w:hint="eastAsia" w:cs="Times New Roman"/>
                      <w:color w:val="auto"/>
                      <w:sz w:val="21"/>
                      <w:szCs w:val="21"/>
                      <w:u w:val="none" w:color="auto"/>
                      <w:lang w:eastAsia="zh-CN"/>
                    </w:rPr>
                    <w:t>、</w:t>
                  </w:r>
                  <w:r>
                    <w:rPr>
                      <w:rFonts w:hint="eastAsia" w:cs="Times New Roman"/>
                      <w:color w:val="auto"/>
                      <w:sz w:val="21"/>
                      <w:szCs w:val="21"/>
                      <w:u w:val="none" w:color="auto"/>
                      <w:lang w:val="en-US" w:eastAsia="zh-CN"/>
                    </w:rPr>
                    <w:t>危险废物</w:t>
                  </w:r>
                  <w:r>
                    <w:rPr>
                      <w:rFonts w:hint="default" w:ascii="Times New Roman" w:hAnsi="Times New Roman" w:eastAsia="宋体" w:cs="Times New Roman"/>
                      <w:color w:val="auto"/>
                      <w:sz w:val="21"/>
                      <w:szCs w:val="21"/>
                      <w:u w:val="none" w:color="auto"/>
                    </w:rPr>
                    <w:t>得不到妥善、有效储存、处置存在着泄漏污染环境的风险。</w:t>
                  </w:r>
                </w:p>
              </w:tc>
            </w:tr>
            <w:tr w14:paraId="3F6299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605" w:type="dxa"/>
                  <w:vAlign w:val="center"/>
                </w:tcPr>
                <w:p w14:paraId="24A3393C">
                  <w:pPr>
                    <w:spacing w:line="240" w:lineRule="auto"/>
                    <w:ind w:left="480" w:leftChars="200" w:firstLine="0" w:firstLineChars="0"/>
                    <w:jc w:val="center"/>
                    <w:rPr>
                      <w:color w:val="auto"/>
                      <w:sz w:val="21"/>
                      <w:szCs w:val="21"/>
                      <w:u w:val="none" w:color="auto"/>
                    </w:rPr>
                  </w:pPr>
                  <w:r>
                    <w:rPr>
                      <w:color w:val="auto"/>
                      <w:sz w:val="21"/>
                      <w:szCs w:val="21"/>
                      <w:u w:val="none" w:color="auto"/>
                    </w:rPr>
                    <w:t>风险防范措施要求</w:t>
                  </w:r>
                </w:p>
              </w:tc>
              <w:tc>
                <w:tcPr>
                  <w:tcW w:w="6629" w:type="dxa"/>
                  <w:vAlign w:val="center"/>
                </w:tcPr>
                <w:p w14:paraId="0D060C74">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①</w:t>
                  </w:r>
                  <w:r>
                    <w:rPr>
                      <w:rFonts w:hint="default" w:ascii="Times New Roman" w:hAnsi="Times New Roman" w:eastAsia="宋体" w:cs="Times New Roman"/>
                      <w:color w:val="auto"/>
                      <w:sz w:val="21"/>
                      <w:szCs w:val="21"/>
                      <w:u w:val="none" w:color="auto"/>
                    </w:rPr>
                    <w:t xml:space="preserve">需对污水处理提供双路电源和应急电源，保证污水处理站用电不间断，重要的设备需有备用，并备有应急用的消毒剂（固体次氯酸钠等），在万一设备停运情况下，直接人工投加消毒剂。 </w:t>
                  </w:r>
                </w:p>
                <w:p w14:paraId="0B214F52">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②</w:t>
                  </w:r>
                  <w:r>
                    <w:rPr>
                      <w:rFonts w:hint="default" w:ascii="Times New Roman" w:hAnsi="Times New Roman" w:eastAsia="宋体" w:cs="Times New Roman"/>
                      <w:color w:val="auto"/>
                      <w:sz w:val="21"/>
                      <w:szCs w:val="21"/>
                      <w:u w:val="none" w:color="auto"/>
                    </w:rPr>
                    <w:t>做好防渗、加强污水处理站日常维护</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 xml:space="preserve">建立安全操作规程，在平时严格按规程办事，加强运行管理和进出水的监测工作，未经处理达标的污水严禁外排。 </w:t>
                  </w:r>
                </w:p>
                <w:p w14:paraId="51DB0053">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③</w:t>
                  </w:r>
                  <w:r>
                    <w:rPr>
                      <w:rFonts w:hint="default" w:ascii="Times New Roman" w:hAnsi="Times New Roman" w:eastAsia="宋体" w:cs="Times New Roman"/>
                      <w:color w:val="auto"/>
                      <w:sz w:val="21"/>
                      <w:szCs w:val="21"/>
                      <w:u w:val="none" w:color="auto"/>
                    </w:rPr>
                    <w:t>建设污水处理站应急事故池</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应急事故池不小于日排放量的30%</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医院在日常运营过程中一旦出现污水处理站运转异常现象，应立即将废水排入应急事故池，并对污水处理站进行检修。待事故结束后妥善处理。</w:t>
                  </w:r>
                </w:p>
                <w:p w14:paraId="381D4409">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④</w:t>
                  </w:r>
                  <w:r>
                    <w:rPr>
                      <w:rFonts w:hint="default" w:ascii="Times New Roman" w:hAnsi="Times New Roman" w:eastAsia="宋体" w:cs="Times New Roman"/>
                      <w:bCs/>
                      <w:color w:val="auto"/>
                      <w:sz w:val="21"/>
                      <w:szCs w:val="21"/>
                      <w:u w:val="none" w:color="auto"/>
                      <w:lang w:val="en-US" w:eastAsia="zh-CN"/>
                    </w:rPr>
                    <w:t>医疗废物</w:t>
                  </w:r>
                  <w:r>
                    <w:rPr>
                      <w:rFonts w:hint="default" w:ascii="Times New Roman" w:hAnsi="Times New Roman" w:eastAsia="宋体" w:cs="Times New Roman"/>
                      <w:bCs/>
                      <w:color w:val="auto"/>
                      <w:sz w:val="21"/>
                      <w:szCs w:val="21"/>
                      <w:u w:val="none" w:color="auto"/>
                    </w:rPr>
                    <w:t>暂存间</w:t>
                  </w:r>
                  <w:r>
                    <w:rPr>
                      <w:rFonts w:hint="eastAsia" w:cs="Times New Roman"/>
                      <w:bCs/>
                      <w:color w:val="auto"/>
                      <w:sz w:val="21"/>
                      <w:szCs w:val="21"/>
                      <w:u w:val="none" w:color="auto"/>
                      <w:lang w:eastAsia="zh-CN"/>
                    </w:rPr>
                    <w:t>、</w:t>
                  </w:r>
                  <w:r>
                    <w:rPr>
                      <w:rFonts w:hint="eastAsia" w:cs="Times New Roman"/>
                      <w:bCs/>
                      <w:color w:val="auto"/>
                      <w:sz w:val="21"/>
                      <w:szCs w:val="21"/>
                      <w:u w:val="none" w:color="auto"/>
                      <w:lang w:val="en-US" w:eastAsia="zh-CN"/>
                    </w:rPr>
                    <w:t>危险废物暂存间</w:t>
                  </w:r>
                  <w:r>
                    <w:rPr>
                      <w:rFonts w:hint="default" w:ascii="Times New Roman" w:hAnsi="Times New Roman" w:eastAsia="宋体" w:cs="Times New Roman"/>
                      <w:bCs/>
                      <w:color w:val="auto"/>
                      <w:sz w:val="21"/>
                      <w:szCs w:val="21"/>
                      <w:u w:val="none" w:color="auto"/>
                    </w:rPr>
                    <w:t>必须做好相应防渗措施，应按照《危险废物贮存污染控制标准》（GB 18597—2023）</w:t>
                  </w:r>
                  <w:r>
                    <w:rPr>
                      <w:rFonts w:hint="eastAsia" w:cs="Times New Roman"/>
                      <w:bCs/>
                      <w:color w:val="auto"/>
                      <w:sz w:val="21"/>
                      <w:szCs w:val="21"/>
                      <w:u w:val="none" w:color="auto"/>
                      <w:lang w:eastAsia="zh-CN"/>
                    </w:rPr>
                    <w:t>、《医疗废物处理处置污染控制标准》(GB 39707-2020)</w:t>
                  </w:r>
                  <w:r>
                    <w:rPr>
                      <w:rFonts w:hint="eastAsia" w:cs="Times New Roman"/>
                      <w:bCs/>
                      <w:color w:val="auto"/>
                      <w:sz w:val="21"/>
                      <w:szCs w:val="21"/>
                      <w:u w:val="none" w:color="auto"/>
                      <w:lang w:val="en-US" w:eastAsia="zh-CN"/>
                    </w:rPr>
                    <w:t>等</w:t>
                  </w:r>
                  <w:r>
                    <w:rPr>
                      <w:rFonts w:hint="default" w:ascii="Times New Roman" w:hAnsi="Times New Roman" w:eastAsia="宋体" w:cs="Times New Roman"/>
                      <w:bCs/>
                      <w:color w:val="auto"/>
                      <w:sz w:val="21"/>
                      <w:szCs w:val="21"/>
                      <w:u w:val="none" w:color="auto"/>
                    </w:rPr>
                    <w:t>相关要求进行建设，</w:t>
                  </w:r>
                  <w:r>
                    <w:rPr>
                      <w:rFonts w:hint="default" w:ascii="Times New Roman" w:hAnsi="Times New Roman" w:eastAsia="宋体" w:cs="Times New Roman"/>
                      <w:color w:val="auto"/>
                      <w:sz w:val="21"/>
                      <w:szCs w:val="21"/>
                      <w:u w:val="none" w:color="auto"/>
                    </w:rPr>
                    <w:t>贮存场设置警示标志，设施周围设置围挡，应满足防风、防雨、防晒要求，能防止雨水径流进入贮存场所；地面进行防渗硬化处理，满足防渗要求。危险废物</w:t>
                  </w:r>
                  <w:r>
                    <w:rPr>
                      <w:rFonts w:hint="eastAsia" w:cs="Times New Roman"/>
                      <w:color w:val="auto"/>
                      <w:sz w:val="21"/>
                      <w:szCs w:val="21"/>
                      <w:u w:val="none" w:color="auto"/>
                      <w:lang w:eastAsia="zh-CN"/>
                    </w:rPr>
                    <w:t>（</w:t>
                  </w:r>
                  <w:r>
                    <w:rPr>
                      <w:rFonts w:hint="eastAsia" w:cs="Times New Roman"/>
                      <w:color w:val="auto"/>
                      <w:sz w:val="21"/>
                      <w:szCs w:val="21"/>
                      <w:u w:val="none" w:color="auto"/>
                      <w:lang w:val="en-US" w:eastAsia="zh-CN"/>
                    </w:rPr>
                    <w:t>含医疗废物</w:t>
                  </w:r>
                  <w:r>
                    <w:rPr>
                      <w:rFonts w:hint="eastAsia"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容器满足强度要求，保证完好无损，不与危险废物反应。</w:t>
                  </w:r>
                  <w:r>
                    <w:rPr>
                      <w:rFonts w:hint="default" w:ascii="Times New Roman" w:hAnsi="Times New Roman" w:eastAsia="宋体" w:cs="Times New Roman"/>
                      <w:bCs/>
                      <w:color w:val="auto"/>
                      <w:sz w:val="21"/>
                      <w:szCs w:val="21"/>
                      <w:u w:val="none" w:color="auto"/>
                    </w:rPr>
                    <w:t>要求</w:t>
                  </w:r>
                  <w:r>
                    <w:rPr>
                      <w:rFonts w:hint="default" w:ascii="Times New Roman" w:hAnsi="Times New Roman" w:eastAsia="宋体" w:cs="Times New Roman"/>
                      <w:color w:val="auto"/>
                      <w:sz w:val="21"/>
                      <w:szCs w:val="21"/>
                      <w:u w:val="none" w:color="auto"/>
                    </w:rPr>
                    <w:t>危险废物</w:t>
                  </w:r>
                  <w:r>
                    <w:rPr>
                      <w:rFonts w:hint="eastAsia" w:cs="Times New Roman"/>
                      <w:color w:val="auto"/>
                      <w:sz w:val="21"/>
                      <w:szCs w:val="21"/>
                      <w:u w:val="none" w:color="auto"/>
                      <w:lang w:eastAsia="zh-CN"/>
                    </w:rPr>
                    <w:t>（</w:t>
                  </w:r>
                  <w:r>
                    <w:rPr>
                      <w:rFonts w:hint="eastAsia" w:cs="Times New Roman"/>
                      <w:color w:val="auto"/>
                      <w:sz w:val="21"/>
                      <w:szCs w:val="21"/>
                      <w:u w:val="none" w:color="auto"/>
                      <w:lang w:val="en-US" w:eastAsia="zh-CN"/>
                    </w:rPr>
                    <w:t>含医疗废物</w:t>
                  </w:r>
                  <w:r>
                    <w:rPr>
                      <w:rFonts w:hint="eastAsia" w:cs="Times New Roman"/>
                      <w:color w:val="auto"/>
                      <w:sz w:val="21"/>
                      <w:szCs w:val="21"/>
                      <w:u w:val="none" w:color="auto"/>
                      <w:lang w:eastAsia="zh-CN"/>
                    </w:rPr>
                    <w:t>）</w:t>
                  </w:r>
                  <w:r>
                    <w:rPr>
                      <w:rFonts w:hint="default" w:ascii="Times New Roman" w:hAnsi="Times New Roman" w:eastAsia="宋体" w:cs="Times New Roman"/>
                      <w:bCs/>
                      <w:color w:val="auto"/>
                      <w:sz w:val="21"/>
                      <w:szCs w:val="21"/>
                      <w:u w:val="none" w:color="auto"/>
                      <w:lang w:val="en-US" w:eastAsia="zh-CN"/>
                    </w:rPr>
                    <w:t>的</w:t>
                  </w:r>
                  <w:r>
                    <w:rPr>
                      <w:rFonts w:hint="default" w:ascii="Times New Roman" w:hAnsi="Times New Roman" w:eastAsia="宋体" w:cs="Times New Roman"/>
                      <w:bCs/>
                      <w:color w:val="auto"/>
                      <w:sz w:val="21"/>
                      <w:szCs w:val="21"/>
                      <w:u w:val="none" w:color="auto"/>
                    </w:rPr>
                    <w:t>临时贮存、运输直至安全处置全过程必须符合《危险废物污染防治技术政策</w:t>
                  </w:r>
                  <w:r>
                    <w:rPr>
                      <w:rFonts w:hint="eastAsia" w:cs="Times New Roman"/>
                      <w:bCs/>
                      <w:color w:val="auto"/>
                      <w:sz w:val="21"/>
                      <w:szCs w:val="21"/>
                      <w:u w:val="none" w:color="auto"/>
                      <w:lang w:eastAsia="zh-CN"/>
                    </w:rPr>
                    <w:t>》《</w:t>
                  </w:r>
                  <w:r>
                    <w:rPr>
                      <w:rFonts w:hint="default" w:ascii="Times New Roman" w:hAnsi="Times New Roman" w:eastAsia="宋体" w:cs="Times New Roman"/>
                      <w:bCs/>
                      <w:color w:val="auto"/>
                      <w:sz w:val="21"/>
                      <w:szCs w:val="21"/>
                      <w:u w:val="none" w:color="auto"/>
                    </w:rPr>
                    <w:t>危险废物贮存污染控制标准》以及《危险废物转移管理办法》中的要求以及规定。</w:t>
                  </w:r>
                </w:p>
                <w:p w14:paraId="7DA362E0">
                  <w:pPr>
                    <w:pStyle w:val="35"/>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宋体" w:cs="Times New Roman"/>
                      <w:color w:val="auto"/>
                      <w:sz w:val="21"/>
                      <w:szCs w:val="21"/>
                      <w:u w:val="none" w:color="auto"/>
                    </w:rPr>
                  </w:pPr>
                </w:p>
              </w:tc>
            </w:tr>
            <w:tr w14:paraId="09D3DC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234" w:type="dxa"/>
                  <w:gridSpan w:val="2"/>
                  <w:vAlign w:val="center"/>
                </w:tcPr>
                <w:p w14:paraId="70AACA6A">
                  <w:pPr>
                    <w:widowControl/>
                    <w:spacing w:line="240" w:lineRule="auto"/>
                    <w:ind w:firstLine="0" w:firstLineChars="0"/>
                    <w:rPr>
                      <w:bCs/>
                      <w:color w:val="auto"/>
                      <w:kern w:val="44"/>
                      <w:sz w:val="21"/>
                      <w:szCs w:val="21"/>
                      <w:u w:val="none" w:color="auto"/>
                    </w:rPr>
                  </w:pPr>
                  <w:r>
                    <w:rPr>
                      <w:b/>
                      <w:bCs/>
                      <w:color w:val="auto"/>
                      <w:kern w:val="0"/>
                      <w:sz w:val="21"/>
                      <w:szCs w:val="21"/>
                      <w:u w:val="none" w:color="auto"/>
                      <w:lang w:bidi="ar"/>
                    </w:rPr>
                    <w:t>填表说明（列出项目相关信息及评价说明）：</w:t>
                  </w:r>
                </w:p>
                <w:p w14:paraId="2B5A8285">
                  <w:pPr>
                    <w:widowControl/>
                    <w:spacing w:line="240" w:lineRule="auto"/>
                    <w:ind w:firstLine="420"/>
                    <w:jc w:val="left"/>
                    <w:rPr>
                      <w:bCs/>
                      <w:color w:val="auto"/>
                      <w:kern w:val="44"/>
                      <w:sz w:val="21"/>
                      <w:szCs w:val="21"/>
                      <w:u w:val="none" w:color="auto"/>
                    </w:rPr>
                  </w:pPr>
                  <w:r>
                    <w:rPr>
                      <w:bCs/>
                      <w:color w:val="auto"/>
                      <w:sz w:val="21"/>
                      <w:szCs w:val="21"/>
                      <w:u w:val="none" w:color="auto"/>
                    </w:rPr>
                    <w:t>项目严格执行国家的技术规范和操作规程要求，加强监控和管理，避免事故的发生，环境风险为可接受水平。</w:t>
                  </w:r>
                </w:p>
              </w:tc>
            </w:tr>
          </w:tbl>
          <w:p w14:paraId="2FFF18A0">
            <w:pPr>
              <w:pStyle w:val="19"/>
              <w:spacing w:before="0" w:beforeAutospacing="0" w:after="0" w:afterAutospacing="0" w:line="480" w:lineRule="exact"/>
              <w:ind w:firstLine="482" w:firstLineChars="200"/>
              <w:outlineLvl w:val="0"/>
              <w:rPr>
                <w:rFonts w:ascii="Times New Roman" w:hAnsi="Times New Roman"/>
                <w:b/>
                <w:bCs/>
                <w:snapToGrid w:val="0"/>
                <w:color w:val="auto"/>
                <w:szCs w:val="24"/>
                <w:highlight w:val="none"/>
                <w:u w:val="none" w:color="auto"/>
              </w:rPr>
            </w:pPr>
            <w:bookmarkStart w:id="26" w:name="_Toc2233"/>
            <w:r>
              <w:rPr>
                <w:rFonts w:hint="eastAsia" w:ascii="Times New Roman" w:hAnsi="Times New Roman"/>
                <w:b/>
                <w:bCs/>
                <w:snapToGrid w:val="0"/>
                <w:color w:val="auto"/>
                <w:szCs w:val="24"/>
                <w:highlight w:val="none"/>
                <w:u w:val="none" w:color="auto"/>
                <w:lang w:val="en-US" w:eastAsia="zh-CN"/>
              </w:rPr>
              <w:t>六</w:t>
            </w:r>
            <w:r>
              <w:rPr>
                <w:rFonts w:hint="eastAsia" w:ascii="Times New Roman" w:hAnsi="Times New Roman"/>
                <w:b/>
                <w:bCs/>
                <w:snapToGrid w:val="0"/>
                <w:color w:val="auto"/>
                <w:szCs w:val="24"/>
                <w:highlight w:val="none"/>
                <w:u w:val="none" w:color="auto"/>
              </w:rPr>
              <w:t>、</w:t>
            </w:r>
            <w:bookmarkEnd w:id="26"/>
            <w:r>
              <w:rPr>
                <w:rFonts w:hint="eastAsia" w:ascii="Times New Roman" w:hAnsi="Times New Roman"/>
                <w:b/>
                <w:bCs/>
                <w:snapToGrid w:val="0"/>
                <w:color w:val="auto"/>
                <w:szCs w:val="24"/>
                <w:highlight w:val="none"/>
                <w:u w:val="none" w:color="auto"/>
              </w:rPr>
              <w:t>地下水及土壤</w:t>
            </w:r>
          </w:p>
          <w:p w14:paraId="26A3F946">
            <w:pPr>
              <w:pStyle w:val="6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u w:val="none" w:color="auto"/>
                <w:lang w:val="en-US" w:eastAsia="zh-CN"/>
              </w:rPr>
            </w:pPr>
            <w:r>
              <w:rPr>
                <w:rFonts w:hint="eastAsia"/>
                <w:color w:val="auto"/>
                <w:highlight w:val="none"/>
                <w:u w:val="none" w:color="auto"/>
                <w:lang w:val="en-US" w:eastAsia="zh-CN"/>
              </w:rPr>
              <w:t>（一）污染源与污染途径</w:t>
            </w:r>
          </w:p>
          <w:p w14:paraId="61174292">
            <w:pPr>
              <w:pStyle w:val="6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u w:val="none" w:color="auto"/>
                <w:lang w:val="en-US" w:eastAsia="zh-CN"/>
              </w:rPr>
            </w:pPr>
            <w:r>
              <w:rPr>
                <w:rFonts w:hint="eastAsia"/>
                <w:color w:val="auto"/>
                <w:highlight w:val="none"/>
                <w:u w:val="none" w:color="auto"/>
                <w:lang w:val="en-US" w:eastAsia="zh-CN"/>
              </w:rPr>
              <w:t>项目造成土壤、地下水污染的主要途径可能有：</w:t>
            </w:r>
          </w:p>
          <w:p w14:paraId="060C73F8">
            <w:pPr>
              <w:pStyle w:val="6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u w:val="none" w:color="auto"/>
                <w:lang w:val="en-US" w:eastAsia="zh-CN"/>
              </w:rPr>
            </w:pPr>
            <w:r>
              <w:rPr>
                <w:rFonts w:hint="eastAsia"/>
                <w:color w:val="auto"/>
                <w:highlight w:val="none"/>
                <w:u w:val="none" w:color="auto"/>
                <w:lang w:val="en-US" w:eastAsia="zh-CN"/>
              </w:rPr>
              <w:t>（1）废水处理构筑物渗漏；</w:t>
            </w:r>
          </w:p>
          <w:p w14:paraId="2CC441F4">
            <w:pPr>
              <w:pStyle w:val="6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u w:val="none" w:color="auto"/>
                <w:lang w:val="en-US" w:eastAsia="zh-CN"/>
              </w:rPr>
            </w:pPr>
            <w:r>
              <w:rPr>
                <w:rFonts w:hint="eastAsia"/>
                <w:color w:val="auto"/>
                <w:highlight w:val="none"/>
                <w:u w:val="none" w:color="auto"/>
                <w:lang w:val="en-US" w:eastAsia="zh-CN"/>
              </w:rPr>
              <w:t>（2）事故情况下，废水等不能完全收集而流失于环境中；</w:t>
            </w:r>
          </w:p>
          <w:p w14:paraId="2F701BFF">
            <w:pPr>
              <w:pStyle w:val="6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u w:val="none" w:color="auto"/>
                <w:lang w:val="en-US" w:eastAsia="zh-CN"/>
              </w:rPr>
            </w:pPr>
            <w:r>
              <w:rPr>
                <w:rFonts w:hint="eastAsia"/>
                <w:color w:val="auto"/>
                <w:highlight w:val="none"/>
                <w:u w:val="none" w:color="auto"/>
                <w:lang w:val="en-US" w:eastAsia="zh-CN"/>
              </w:rPr>
              <w:t>（3）贮放容器使用材质不当，容器破损后造成废液渗漏；</w:t>
            </w:r>
          </w:p>
          <w:p w14:paraId="3627AFE1">
            <w:pPr>
              <w:pStyle w:val="6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u w:val="none" w:color="auto"/>
                <w:lang w:val="en-US" w:eastAsia="zh-CN"/>
              </w:rPr>
            </w:pPr>
            <w:r>
              <w:rPr>
                <w:rFonts w:hint="eastAsia"/>
                <w:color w:val="auto"/>
                <w:highlight w:val="none"/>
                <w:u w:val="none" w:color="auto"/>
                <w:lang w:val="en-US" w:eastAsia="zh-CN"/>
              </w:rPr>
              <w:t>（4）医疗废物得不到及时处置，在处置场所因各种因素造成流失。</w:t>
            </w:r>
          </w:p>
          <w:p w14:paraId="311AD0EA">
            <w:pPr>
              <w:pStyle w:val="6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u w:val="none" w:color="auto"/>
                <w:lang w:val="en-US" w:eastAsia="zh-CN"/>
              </w:rPr>
            </w:pPr>
            <w:r>
              <w:rPr>
                <w:rFonts w:hint="eastAsia"/>
                <w:color w:val="auto"/>
                <w:highlight w:val="none"/>
                <w:u w:val="none" w:color="auto"/>
                <w:lang w:val="en-US" w:eastAsia="zh-CN"/>
              </w:rPr>
              <w:t>（二）地下水和土壤防渗、防污措施</w:t>
            </w:r>
          </w:p>
          <w:p w14:paraId="48E416F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color w:val="auto"/>
                <w:u w:val="none" w:color="auto"/>
              </w:rPr>
            </w:pPr>
            <w:r>
              <w:rPr>
                <w:rFonts w:hint="eastAsia" w:ascii="宋体" w:hAnsi="宋体" w:eastAsia="宋体" w:cs="宋体"/>
                <w:color w:val="auto"/>
                <w:kern w:val="0"/>
                <w:sz w:val="24"/>
                <w:szCs w:val="24"/>
                <w:u w:val="none" w:color="auto"/>
                <w:lang w:val="en-US" w:eastAsia="zh-CN" w:bidi="ar"/>
              </w:rPr>
              <w:t>根据《环境影响评价技术导则地下水环境》（</w:t>
            </w:r>
            <w:r>
              <w:rPr>
                <w:rFonts w:hint="default" w:ascii="Times New Roman" w:hAnsi="Times New Roman" w:eastAsia="宋体" w:cs="Times New Roman"/>
                <w:color w:val="auto"/>
                <w:kern w:val="0"/>
                <w:sz w:val="24"/>
                <w:szCs w:val="24"/>
                <w:u w:val="none" w:color="auto"/>
                <w:lang w:val="en-US" w:eastAsia="zh-CN" w:bidi="ar"/>
              </w:rPr>
              <w:t>HJ610-2016</w:t>
            </w:r>
            <w:r>
              <w:rPr>
                <w:rFonts w:hint="eastAsia" w:ascii="宋体" w:hAnsi="宋体" w:eastAsia="宋体" w:cs="宋体"/>
                <w:color w:val="auto"/>
                <w:kern w:val="0"/>
                <w:sz w:val="24"/>
                <w:szCs w:val="24"/>
                <w:u w:val="none" w:color="auto"/>
                <w:lang w:val="en-US" w:eastAsia="zh-CN" w:bidi="ar"/>
              </w:rPr>
              <w:t>）附录</w:t>
            </w:r>
            <w:r>
              <w:rPr>
                <w:rFonts w:hint="default" w:ascii="Times New Roman" w:hAnsi="Times New Roman" w:eastAsia="宋体" w:cs="Times New Roman"/>
                <w:color w:val="auto"/>
                <w:kern w:val="0"/>
                <w:sz w:val="24"/>
                <w:szCs w:val="24"/>
                <w:u w:val="none" w:color="auto"/>
                <w:lang w:val="en-US" w:eastAsia="zh-CN" w:bidi="ar"/>
              </w:rPr>
              <w:t>A</w:t>
            </w:r>
            <w:r>
              <w:rPr>
                <w:rFonts w:hint="eastAsia" w:ascii="宋体" w:hAnsi="宋体" w:eastAsia="宋体" w:cs="宋体"/>
                <w:color w:val="auto"/>
                <w:kern w:val="0"/>
                <w:sz w:val="24"/>
                <w:szCs w:val="24"/>
                <w:u w:val="none" w:color="auto"/>
                <w:lang w:val="en-US" w:eastAsia="zh-CN" w:bidi="ar"/>
              </w:rPr>
              <w:t>，项目属于新建专科医院</w:t>
            </w:r>
            <w:r>
              <w:rPr>
                <w:rFonts w:hint="eastAsia" w:ascii="宋体" w:hAnsi="宋体" w:cs="宋体"/>
                <w:color w:val="auto"/>
                <w:kern w:val="0"/>
                <w:sz w:val="24"/>
                <w:szCs w:val="24"/>
                <w:u w:val="none" w:color="auto"/>
                <w:lang w:val="en-US" w:eastAsia="zh-CN" w:bidi="ar"/>
              </w:rPr>
              <w:t>（二级医院）</w:t>
            </w:r>
            <w:r>
              <w:rPr>
                <w:rFonts w:hint="eastAsia" w:ascii="宋体" w:hAnsi="宋体" w:eastAsia="宋体" w:cs="宋体"/>
                <w:color w:val="auto"/>
                <w:kern w:val="0"/>
                <w:sz w:val="24"/>
                <w:szCs w:val="24"/>
                <w:u w:val="none" w:color="auto"/>
                <w:lang w:val="en-US" w:eastAsia="zh-CN" w:bidi="ar"/>
              </w:rPr>
              <w:t>，为</w:t>
            </w:r>
            <w:r>
              <w:rPr>
                <w:rFonts w:hint="eastAsia" w:ascii="宋体" w:hAnsi="宋体" w:cs="宋体"/>
                <w:color w:val="auto"/>
                <w:kern w:val="0"/>
                <w:sz w:val="24"/>
                <w:szCs w:val="24"/>
                <w:u w:val="none" w:color="auto"/>
                <w:lang w:val="en-US" w:eastAsia="zh-CN" w:bidi="ar"/>
              </w:rPr>
              <w:t>Ⅳ类</w:t>
            </w:r>
            <w:r>
              <w:rPr>
                <w:rFonts w:hint="eastAsia" w:ascii="宋体" w:hAnsi="宋体" w:eastAsia="宋体" w:cs="宋体"/>
                <w:color w:val="auto"/>
                <w:kern w:val="0"/>
                <w:sz w:val="24"/>
                <w:szCs w:val="24"/>
                <w:u w:val="none" w:color="auto"/>
                <w:lang w:val="en-US" w:eastAsia="zh-CN" w:bidi="ar"/>
              </w:rPr>
              <w:t>项目，可不开展地下水环境影响评价。同时根据《建设项目环境影响报告表编制技术指南（污染影响类）》（试行），地下水原则上不开展专项评价，涉及集中式饮用水水源和热水、矿泉水、温泉等特殊地下水资源保护区的开展地下水专项评价工作。项目为医疗机构项目，选址位于城市建成区，不涉及集中式饮用水水源和热水、矿泉水、温泉等特殊地下水资源保护区。</w:t>
            </w:r>
          </w:p>
          <w:p w14:paraId="26B7BCF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color w:val="auto"/>
                <w:u w:val="none" w:color="auto"/>
              </w:rPr>
            </w:pPr>
            <w:r>
              <w:rPr>
                <w:rFonts w:hint="eastAsia" w:ascii="宋体" w:hAnsi="宋体" w:eastAsia="宋体" w:cs="宋体"/>
                <w:color w:val="auto"/>
                <w:kern w:val="0"/>
                <w:sz w:val="24"/>
                <w:szCs w:val="24"/>
                <w:u w:val="none" w:color="auto"/>
                <w:lang w:val="en-US" w:eastAsia="zh-CN" w:bidi="ar"/>
              </w:rPr>
              <w:t>依据《地下水工程防水技术规范》（</w:t>
            </w:r>
            <w:r>
              <w:rPr>
                <w:rFonts w:hint="default" w:ascii="Times New Roman" w:hAnsi="Times New Roman" w:eastAsia="宋体" w:cs="Times New Roman"/>
                <w:color w:val="auto"/>
                <w:kern w:val="0"/>
                <w:sz w:val="24"/>
                <w:szCs w:val="24"/>
                <w:u w:val="none" w:color="auto"/>
                <w:lang w:val="en-US" w:eastAsia="zh-CN" w:bidi="ar"/>
              </w:rPr>
              <w:t>GB50108-2001</w:t>
            </w:r>
            <w:r>
              <w:rPr>
                <w:rFonts w:hint="eastAsia" w:ascii="宋体" w:hAnsi="宋体" w:eastAsia="宋体" w:cs="宋体"/>
                <w:color w:val="auto"/>
                <w:kern w:val="0"/>
                <w:sz w:val="24"/>
                <w:szCs w:val="24"/>
                <w:u w:val="none" w:color="auto"/>
                <w:lang w:val="en-US" w:eastAsia="zh-CN" w:bidi="ar"/>
              </w:rPr>
              <w:t>）、《中华人民共和国固体废物污染环境防治法》的相关要求、《环境影响评价技术导则地下水环境》（</w:t>
            </w:r>
            <w:r>
              <w:rPr>
                <w:rFonts w:hint="default" w:ascii="Times New Roman" w:hAnsi="Times New Roman" w:eastAsia="宋体" w:cs="Times New Roman"/>
                <w:color w:val="auto"/>
                <w:kern w:val="0"/>
                <w:sz w:val="24"/>
                <w:szCs w:val="24"/>
                <w:u w:val="none" w:color="auto"/>
                <w:lang w:val="en-US" w:eastAsia="zh-CN" w:bidi="ar"/>
              </w:rPr>
              <w:t>HJ610-2016</w:t>
            </w:r>
            <w:r>
              <w:rPr>
                <w:rFonts w:hint="eastAsia" w:ascii="宋体" w:hAnsi="宋体" w:eastAsia="宋体" w:cs="宋体"/>
                <w:color w:val="auto"/>
                <w:kern w:val="0"/>
                <w:sz w:val="24"/>
                <w:szCs w:val="24"/>
                <w:u w:val="none" w:color="auto"/>
                <w:lang w:val="en-US" w:eastAsia="zh-CN" w:bidi="ar"/>
              </w:rPr>
              <w:t>）、《危险废物贮存污染控制标准》（</w:t>
            </w:r>
            <w:r>
              <w:rPr>
                <w:rFonts w:hint="default" w:ascii="Times New Roman" w:hAnsi="Times New Roman" w:eastAsia="宋体" w:cs="Times New Roman"/>
                <w:color w:val="auto"/>
                <w:kern w:val="0"/>
                <w:sz w:val="24"/>
                <w:szCs w:val="24"/>
                <w:u w:val="none" w:color="auto"/>
                <w:lang w:val="en-US" w:eastAsia="zh-CN" w:bidi="ar"/>
              </w:rPr>
              <w:t>GB18597-2023</w:t>
            </w:r>
            <w:r>
              <w:rPr>
                <w:rFonts w:hint="eastAsia" w:ascii="宋体" w:hAnsi="宋体" w:eastAsia="宋体" w:cs="宋体"/>
                <w:color w:val="auto"/>
                <w:kern w:val="0"/>
                <w:sz w:val="24"/>
                <w:szCs w:val="24"/>
                <w:u w:val="none" w:color="auto"/>
                <w:lang w:val="en-US" w:eastAsia="zh-CN" w:bidi="ar"/>
              </w:rPr>
              <w:t>）的相关要求，本次评价提出以下地下水污染防控措施。</w:t>
            </w:r>
          </w:p>
          <w:p w14:paraId="26BBA9CC">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color w:val="auto"/>
                <w:u w:val="none" w:color="auto"/>
              </w:rPr>
            </w:pPr>
            <w:r>
              <w:rPr>
                <w:rFonts w:hint="eastAsia" w:ascii="宋体" w:hAnsi="宋体" w:eastAsia="宋体" w:cs="宋体"/>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1</w:t>
            </w:r>
            <w:r>
              <w:rPr>
                <w:rFonts w:hint="eastAsia" w:ascii="宋体" w:hAnsi="宋体" w:eastAsia="宋体" w:cs="宋体"/>
                <w:color w:val="auto"/>
                <w:kern w:val="0"/>
                <w:sz w:val="24"/>
                <w:szCs w:val="24"/>
                <w:u w:val="none" w:color="auto"/>
                <w:lang w:val="en-US" w:eastAsia="zh-CN" w:bidi="ar"/>
              </w:rPr>
              <w:t>）源头控制措施</w:t>
            </w:r>
          </w:p>
          <w:p w14:paraId="26E3CC5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color w:val="auto"/>
                <w:u w:val="none" w:color="auto"/>
              </w:rPr>
            </w:pPr>
            <w:r>
              <w:rPr>
                <w:rFonts w:hint="eastAsia" w:ascii="宋体" w:hAnsi="宋体" w:eastAsia="宋体" w:cs="宋体"/>
                <w:color w:val="auto"/>
                <w:kern w:val="0"/>
                <w:sz w:val="24"/>
                <w:szCs w:val="24"/>
                <w:u w:val="none" w:color="auto"/>
                <w:lang w:val="en-US" w:eastAsia="zh-CN" w:bidi="ar"/>
              </w:rPr>
              <w:t>①污水处理站、化粪池、隔油池及事故应急池等做好基础防渗，加强区域污水处理站、化粪池及隔油池等的维护，防止溢流、渗漏。</w:t>
            </w:r>
          </w:p>
          <w:p w14:paraId="63959CD3">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color w:val="auto"/>
                <w:u w:val="none" w:color="auto"/>
              </w:rPr>
            </w:pPr>
            <w:r>
              <w:rPr>
                <w:rFonts w:hint="eastAsia" w:ascii="宋体" w:hAnsi="宋体" w:eastAsia="宋体" w:cs="宋体"/>
                <w:color w:val="auto"/>
                <w:kern w:val="0"/>
                <w:sz w:val="24"/>
                <w:szCs w:val="24"/>
                <w:u w:val="none" w:color="auto"/>
                <w:lang w:val="en-US" w:eastAsia="zh-CN" w:bidi="ar"/>
              </w:rPr>
              <w:t>②对项目污水管网采取防渗处理，并定时对排水管线进行检修和维护。</w:t>
            </w:r>
          </w:p>
          <w:p w14:paraId="7B11A6B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color w:val="auto"/>
                <w:u w:val="none" w:color="auto"/>
              </w:rPr>
            </w:pPr>
            <w:r>
              <w:rPr>
                <w:rFonts w:hint="eastAsia" w:ascii="宋体" w:hAnsi="宋体" w:eastAsia="宋体" w:cs="宋体"/>
                <w:color w:val="auto"/>
                <w:kern w:val="0"/>
                <w:sz w:val="24"/>
                <w:szCs w:val="24"/>
                <w:u w:val="none" w:color="auto"/>
                <w:lang w:val="en-US" w:eastAsia="zh-CN" w:bidi="ar"/>
              </w:rPr>
              <w:t>③安排专人管理污水处理站，确保污水处理设施正常运转，废水达标排放；当污水处理站发生故障时，将污水处理站水排入应急池事故暂存，并对污水处理站进行维修。</w:t>
            </w:r>
          </w:p>
          <w:p w14:paraId="5BB17525">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color w:val="auto"/>
                <w:u w:val="none" w:color="auto"/>
              </w:rPr>
            </w:pPr>
            <w:r>
              <w:rPr>
                <w:rFonts w:hint="eastAsia" w:ascii="宋体" w:hAnsi="宋体" w:eastAsia="宋体" w:cs="宋体"/>
                <w:color w:val="auto"/>
                <w:kern w:val="0"/>
                <w:sz w:val="24"/>
                <w:szCs w:val="24"/>
                <w:u w:val="none" w:color="auto"/>
                <w:lang w:val="en-US" w:eastAsia="zh-CN" w:bidi="ar"/>
              </w:rPr>
              <w:t>④加强管理，杜绝废水跑冒滴漏的发生。</w:t>
            </w:r>
          </w:p>
          <w:p w14:paraId="601C4345">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color w:val="auto"/>
                <w:u w:val="none" w:color="auto"/>
              </w:rPr>
            </w:pPr>
            <w:r>
              <w:rPr>
                <w:rFonts w:hint="eastAsia" w:ascii="宋体" w:hAnsi="宋体" w:eastAsia="宋体" w:cs="宋体"/>
                <w:color w:val="auto"/>
                <w:kern w:val="0"/>
                <w:sz w:val="24"/>
                <w:szCs w:val="24"/>
                <w:u w:val="none" w:color="auto"/>
                <w:lang w:val="en-US" w:eastAsia="zh-CN" w:bidi="ar"/>
              </w:rPr>
              <w:t>⑤一般固体废物按《中华人民共和国固体废物污染环境防治法》的相关要求处置；危险废物（含医疗废物）暂存间按照《危险废物贮存污染控制标准》（</w:t>
            </w:r>
            <w:r>
              <w:rPr>
                <w:rFonts w:hint="default" w:ascii="Times New Roman" w:hAnsi="Times New Roman" w:eastAsia="宋体" w:cs="Times New Roman"/>
                <w:color w:val="auto"/>
                <w:kern w:val="0"/>
                <w:sz w:val="24"/>
                <w:szCs w:val="24"/>
                <w:u w:val="none" w:color="auto"/>
                <w:lang w:val="en-US" w:eastAsia="zh-CN" w:bidi="ar"/>
              </w:rPr>
              <w:t>GB18597-2023</w:t>
            </w:r>
            <w:r>
              <w:rPr>
                <w:rFonts w:hint="eastAsia" w:ascii="宋体" w:hAnsi="宋体" w:eastAsia="宋体" w:cs="宋体"/>
                <w:color w:val="auto"/>
                <w:kern w:val="0"/>
                <w:sz w:val="24"/>
                <w:szCs w:val="24"/>
                <w:u w:val="none" w:color="auto"/>
                <w:lang w:val="en-US" w:eastAsia="zh-CN" w:bidi="ar"/>
              </w:rPr>
              <w:t>）</w:t>
            </w:r>
            <w:r>
              <w:rPr>
                <w:rFonts w:hint="eastAsia" w:ascii="宋体" w:hAnsi="宋体" w:cs="宋体"/>
                <w:color w:val="auto"/>
                <w:kern w:val="0"/>
                <w:sz w:val="24"/>
                <w:szCs w:val="24"/>
                <w:u w:val="none" w:color="auto"/>
                <w:lang w:val="en-US" w:eastAsia="zh-CN" w:bidi="ar"/>
              </w:rPr>
              <w:t>、《医疗废物处理处置污染控制标准》(GB 39707-2020)的</w:t>
            </w:r>
            <w:r>
              <w:rPr>
                <w:rFonts w:hint="eastAsia" w:ascii="宋体" w:hAnsi="宋体" w:eastAsia="宋体" w:cs="宋体"/>
                <w:color w:val="auto"/>
                <w:kern w:val="0"/>
                <w:sz w:val="24"/>
                <w:szCs w:val="24"/>
                <w:u w:val="none" w:color="auto"/>
                <w:lang w:val="en-US" w:eastAsia="zh-CN" w:bidi="ar"/>
              </w:rPr>
              <w:t>相关规定建设。</w:t>
            </w:r>
          </w:p>
          <w:p w14:paraId="4B74D31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color w:val="auto"/>
                <w:u w:val="none" w:color="auto"/>
              </w:rPr>
            </w:pPr>
            <w:r>
              <w:rPr>
                <w:rFonts w:hint="eastAsia" w:ascii="宋体" w:hAnsi="宋体" w:eastAsia="宋体" w:cs="宋体"/>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2</w:t>
            </w:r>
            <w:r>
              <w:rPr>
                <w:rFonts w:hint="eastAsia" w:ascii="宋体" w:hAnsi="宋体" w:eastAsia="宋体" w:cs="宋体"/>
                <w:color w:val="auto"/>
                <w:kern w:val="0"/>
                <w:sz w:val="24"/>
                <w:szCs w:val="24"/>
                <w:u w:val="none" w:color="auto"/>
                <w:lang w:val="en-US" w:eastAsia="zh-CN" w:bidi="ar"/>
              </w:rPr>
              <w:t>）地下污染防控分区</w:t>
            </w:r>
          </w:p>
          <w:p w14:paraId="5EACEDF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color w:val="auto"/>
                <w:u w:val="none" w:color="auto"/>
              </w:rPr>
            </w:pPr>
            <w:r>
              <w:rPr>
                <w:rFonts w:hint="eastAsia" w:ascii="宋体" w:hAnsi="宋体" w:eastAsia="宋体" w:cs="宋体"/>
                <w:color w:val="auto"/>
                <w:kern w:val="0"/>
                <w:sz w:val="24"/>
                <w:szCs w:val="24"/>
                <w:u w:val="none" w:color="auto"/>
                <w:lang w:val="en-US" w:eastAsia="zh-CN" w:bidi="ar"/>
              </w:rPr>
              <w:t>根据分区防渗的原则和结合项目实际情况，将项目区域划分为重点防渗区、一般防渗区和简单防渗区。</w:t>
            </w:r>
          </w:p>
          <w:p w14:paraId="6EEDBF59">
            <w:pPr>
              <w:pStyle w:val="10"/>
              <w:numPr>
                <w:ilvl w:val="0"/>
                <w:numId w:val="3"/>
              </w:numPr>
              <w:ind w:left="0" w:firstLine="0" w:firstLineChars="0"/>
              <w:jc w:val="center"/>
              <w:rPr>
                <w:rFonts w:ascii="黑体" w:hAnsi="黑体" w:eastAsia="黑体"/>
                <w:b w:val="0"/>
                <w:color w:val="auto"/>
                <w:u w:val="none" w:color="auto"/>
              </w:rPr>
            </w:pPr>
            <w:r>
              <w:rPr>
                <w:rFonts w:hint="eastAsia" w:ascii="黑体" w:hAnsi="黑体" w:eastAsia="黑体"/>
                <w:b w:val="0"/>
                <w:color w:val="auto"/>
                <w:u w:val="none" w:color="auto"/>
                <w:lang w:val="en-US" w:eastAsia="zh-CN"/>
              </w:rPr>
              <w:t>项目场区污染防治分区情况一览表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2"/>
              <w:gridCol w:w="1508"/>
              <w:gridCol w:w="4159"/>
            </w:tblGrid>
            <w:tr w14:paraId="1235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2" w:type="dxa"/>
                  <w:vAlign w:val="center"/>
                </w:tcPr>
                <w:p w14:paraId="396A3547">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区域名称</w:t>
                  </w:r>
                </w:p>
              </w:tc>
              <w:tc>
                <w:tcPr>
                  <w:tcW w:w="1508" w:type="dxa"/>
                  <w:vAlign w:val="center"/>
                </w:tcPr>
                <w:p w14:paraId="0BBD7CA8">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分区类别</w:t>
                  </w:r>
                </w:p>
              </w:tc>
              <w:tc>
                <w:tcPr>
                  <w:tcW w:w="4159" w:type="dxa"/>
                  <w:vAlign w:val="center"/>
                </w:tcPr>
                <w:p w14:paraId="6A545D33">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防渗要求</w:t>
                  </w:r>
                </w:p>
              </w:tc>
            </w:tr>
            <w:tr w14:paraId="704ED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2" w:type="dxa"/>
                  <w:vAlign w:val="center"/>
                </w:tcPr>
                <w:p w14:paraId="7A4FA0FE">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kern w:val="0"/>
                      <w:sz w:val="21"/>
                      <w:szCs w:val="21"/>
                      <w:u w:val="none" w:color="auto"/>
                      <w:lang w:val="en-US" w:eastAsia="zh-CN" w:bidi="ar"/>
                    </w:rPr>
                    <w:t>危险废物暂存间、医疗废物暂存间、隔油池、化粪池、</w:t>
                  </w:r>
                  <w:r>
                    <w:rPr>
                      <w:rFonts w:hint="eastAsia" w:ascii="Times New Roman" w:hAnsi="Times New Roman" w:eastAsia="宋体" w:cs="Times New Roman"/>
                      <w:color w:val="auto"/>
                      <w:kern w:val="0"/>
                      <w:sz w:val="21"/>
                      <w:szCs w:val="21"/>
                      <w:u w:val="none" w:color="auto"/>
                      <w:lang w:val="en-US" w:eastAsia="zh-CN" w:bidi="ar"/>
                    </w:rPr>
                    <w:t>地埋式</w:t>
                  </w:r>
                  <w:r>
                    <w:rPr>
                      <w:rFonts w:hint="default" w:ascii="Times New Roman" w:hAnsi="Times New Roman" w:eastAsia="宋体" w:cs="Times New Roman"/>
                      <w:color w:val="auto"/>
                      <w:kern w:val="0"/>
                      <w:sz w:val="21"/>
                      <w:szCs w:val="21"/>
                      <w:u w:val="none" w:color="auto"/>
                      <w:lang w:val="en-US" w:eastAsia="zh-CN" w:bidi="ar"/>
                    </w:rPr>
                    <w:t>污水处理站各构筑物（含事故池、污水管网、贮泥池）</w:t>
                  </w:r>
                </w:p>
              </w:tc>
              <w:tc>
                <w:tcPr>
                  <w:tcW w:w="1508" w:type="dxa"/>
                  <w:vAlign w:val="center"/>
                </w:tcPr>
                <w:p w14:paraId="64EF7986">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重点防渗区</w:t>
                  </w:r>
                </w:p>
              </w:tc>
              <w:tc>
                <w:tcPr>
                  <w:tcW w:w="4159" w:type="dxa"/>
                  <w:vAlign w:val="center"/>
                </w:tcPr>
                <w:p w14:paraId="17F72994">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kern w:val="0"/>
                      <w:sz w:val="21"/>
                      <w:szCs w:val="21"/>
                      <w:u w:val="none" w:color="auto"/>
                      <w:lang w:val="en-US" w:eastAsia="zh-CN" w:bidi="ar"/>
                    </w:rPr>
                    <w:t>等效黏土防渗层Mb≥6.0m，K≤1×10</w:t>
                  </w:r>
                  <w:r>
                    <w:rPr>
                      <w:rFonts w:hint="default" w:ascii="Times New Roman" w:hAnsi="Times New Roman" w:eastAsia="宋体" w:cs="Times New Roman"/>
                      <w:color w:val="auto"/>
                      <w:kern w:val="0"/>
                      <w:sz w:val="21"/>
                      <w:szCs w:val="21"/>
                      <w:u w:val="none" w:color="auto"/>
                      <w:vertAlign w:val="superscript"/>
                      <w:lang w:val="en-US" w:eastAsia="zh-CN" w:bidi="ar"/>
                    </w:rPr>
                    <w:t>-7</w:t>
                  </w:r>
                  <w:r>
                    <w:rPr>
                      <w:rFonts w:hint="default" w:ascii="Times New Roman" w:hAnsi="Times New Roman" w:eastAsia="宋体" w:cs="Times New Roman"/>
                      <w:color w:val="auto"/>
                      <w:kern w:val="0"/>
                      <w:sz w:val="21"/>
                      <w:szCs w:val="21"/>
                      <w:u w:val="none" w:color="auto"/>
                      <w:lang w:val="en-US" w:eastAsia="zh-CN" w:bidi="ar"/>
                    </w:rPr>
                    <w:t>cm/s，或参照《危险废物贮存污染控制标准》（GB18597-2023）要求实施。</w:t>
                  </w:r>
                </w:p>
              </w:tc>
            </w:tr>
            <w:tr w14:paraId="1F075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2" w:type="dxa"/>
                  <w:vAlign w:val="center"/>
                </w:tcPr>
                <w:p w14:paraId="4323CC02">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rPr>
                  </w:pPr>
                  <w:r>
                    <w:rPr>
                      <w:rFonts w:hint="eastAsia" w:cs="Times New Roman"/>
                      <w:color w:val="auto"/>
                      <w:kern w:val="0"/>
                      <w:sz w:val="21"/>
                      <w:szCs w:val="21"/>
                      <w:u w:val="none" w:color="auto"/>
                      <w:lang w:val="en-US" w:eastAsia="zh-CN" w:bidi="ar"/>
                    </w:rPr>
                    <w:t>2号楼</w:t>
                  </w:r>
                </w:p>
              </w:tc>
              <w:tc>
                <w:tcPr>
                  <w:tcW w:w="1508" w:type="dxa"/>
                  <w:vAlign w:val="center"/>
                </w:tcPr>
                <w:p w14:paraId="57911DFC">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一般防渗区</w:t>
                  </w:r>
                </w:p>
              </w:tc>
              <w:tc>
                <w:tcPr>
                  <w:tcW w:w="4159" w:type="dxa"/>
                  <w:vAlign w:val="center"/>
                </w:tcPr>
                <w:p w14:paraId="1343C33E">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kern w:val="0"/>
                      <w:sz w:val="21"/>
                      <w:szCs w:val="21"/>
                      <w:u w:val="none" w:color="auto"/>
                      <w:lang w:val="en-US" w:eastAsia="zh-CN" w:bidi="ar"/>
                    </w:rPr>
                    <w:t>等效黏土防渗层Mb≥1.5m，K≤1.0×10</w:t>
                  </w:r>
                  <w:r>
                    <w:rPr>
                      <w:rFonts w:hint="default" w:ascii="Times New Roman" w:hAnsi="Times New Roman" w:eastAsia="宋体" w:cs="Times New Roman"/>
                      <w:color w:val="auto"/>
                      <w:kern w:val="0"/>
                      <w:sz w:val="21"/>
                      <w:szCs w:val="21"/>
                      <w:u w:val="none" w:color="auto"/>
                      <w:vertAlign w:val="superscript"/>
                      <w:lang w:val="en-US" w:eastAsia="zh-CN" w:bidi="ar"/>
                    </w:rPr>
                    <w:t>-7</w:t>
                  </w:r>
                  <w:r>
                    <w:rPr>
                      <w:rFonts w:hint="default" w:ascii="Times New Roman" w:hAnsi="Times New Roman" w:eastAsia="宋体" w:cs="Times New Roman"/>
                      <w:color w:val="auto"/>
                      <w:kern w:val="0"/>
                      <w:sz w:val="21"/>
                      <w:szCs w:val="21"/>
                      <w:u w:val="none" w:color="auto"/>
                      <w:lang w:val="en-US" w:eastAsia="zh-CN" w:bidi="ar"/>
                    </w:rPr>
                    <w:t>cm/s；或参照GB16889执行</w:t>
                  </w:r>
                  <w:r>
                    <w:rPr>
                      <w:rFonts w:hint="eastAsia" w:ascii="Times New Roman" w:hAnsi="Times New Roman" w:eastAsia="宋体" w:cs="Times New Roman"/>
                      <w:color w:val="auto"/>
                      <w:kern w:val="0"/>
                      <w:sz w:val="21"/>
                      <w:szCs w:val="21"/>
                      <w:u w:val="none" w:color="auto"/>
                      <w:lang w:val="en-US" w:eastAsia="zh-CN" w:bidi="ar"/>
                    </w:rPr>
                    <w:t>。</w:t>
                  </w:r>
                </w:p>
              </w:tc>
            </w:tr>
            <w:tr w14:paraId="1929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2" w:type="dxa"/>
                  <w:vAlign w:val="center"/>
                </w:tcPr>
                <w:p w14:paraId="04851A23">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生活垃圾收集点、停车场、场内道路</w:t>
                  </w:r>
                </w:p>
              </w:tc>
              <w:tc>
                <w:tcPr>
                  <w:tcW w:w="1508" w:type="dxa"/>
                  <w:vAlign w:val="center"/>
                </w:tcPr>
                <w:p w14:paraId="07F4D63C">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简单防渗区</w:t>
                  </w:r>
                </w:p>
              </w:tc>
              <w:tc>
                <w:tcPr>
                  <w:tcW w:w="4159" w:type="dxa"/>
                  <w:vAlign w:val="center"/>
                </w:tcPr>
                <w:p w14:paraId="6C675FDA">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color w:val="auto"/>
                      <w:kern w:val="0"/>
                      <w:sz w:val="21"/>
                      <w:szCs w:val="21"/>
                      <w:u w:val="none" w:color="auto"/>
                      <w:lang w:val="en-US" w:eastAsia="zh-CN" w:bidi="ar"/>
                    </w:rPr>
                    <w:t>一般地面硬化</w:t>
                  </w:r>
                </w:p>
              </w:tc>
            </w:tr>
          </w:tbl>
          <w:p w14:paraId="4651A4B7">
            <w:pPr>
              <w:keepNext w:val="0"/>
              <w:keepLines w:val="0"/>
              <w:widowControl/>
              <w:suppressLineNumbers w:val="0"/>
              <w:jc w:val="left"/>
              <w:rPr>
                <w:rFonts w:hint="default" w:ascii="Times New Roman" w:hAnsi="Times New Roman" w:eastAsia="宋体" w:cs="Times New Roman"/>
                <w:color w:val="auto"/>
                <w:kern w:val="0"/>
                <w:sz w:val="24"/>
                <w:szCs w:val="24"/>
                <w:u w:val="none" w:color="auto"/>
                <w:lang w:val="en-US" w:eastAsia="zh-CN" w:bidi="ar"/>
              </w:rPr>
            </w:pPr>
          </w:p>
          <w:p w14:paraId="050DE058">
            <w:pPr>
              <w:keepNext w:val="0"/>
              <w:keepLines w:val="0"/>
              <w:widowControl/>
              <w:suppressLineNumbers w:val="0"/>
              <w:jc w:val="left"/>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kern w:val="0"/>
                <w:sz w:val="24"/>
                <w:szCs w:val="24"/>
                <w:u w:val="none" w:color="auto"/>
                <w:lang w:val="en-US" w:eastAsia="zh-CN" w:bidi="ar"/>
              </w:rPr>
              <w:t>①重点防渗区：重点防渗区主要是指位于地下或半地下的生产功能单元，污染地下水环境的物料或污染物泄漏后，不易及时发现和处理的区域或部位。重点防渗区包括医疗废物暂存间、隔油池、化粪池、</w:t>
            </w:r>
            <w:r>
              <w:rPr>
                <w:rFonts w:hint="eastAsia" w:ascii="Times New Roman" w:hAnsi="Times New Roman" w:eastAsia="宋体" w:cs="Times New Roman"/>
                <w:color w:val="auto"/>
                <w:kern w:val="0"/>
                <w:sz w:val="24"/>
                <w:szCs w:val="24"/>
                <w:u w:val="none" w:color="auto"/>
                <w:lang w:val="en-US" w:eastAsia="zh-CN" w:bidi="ar"/>
              </w:rPr>
              <w:t>地埋</w:t>
            </w:r>
            <w:r>
              <w:rPr>
                <w:rFonts w:hint="default" w:ascii="Times New Roman" w:hAnsi="Times New Roman" w:eastAsia="宋体" w:cs="Times New Roman"/>
                <w:color w:val="auto"/>
                <w:kern w:val="0"/>
                <w:sz w:val="24"/>
                <w:szCs w:val="24"/>
                <w:u w:val="none" w:color="auto"/>
                <w:lang w:val="en-US" w:eastAsia="zh-CN" w:bidi="ar"/>
              </w:rPr>
              <w:t>污水处理站各构筑物（含事故池、污水管网）。隔油池、化粪池及污水处理站各构筑物（含事故池、污水管网）采用混凝土铺砌底面和侧面，铺砌混凝土采用配筋混凝土加防渗剂；危险废物暂存间、医疗废物暂存间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kern w:val="0"/>
                <w:sz w:val="24"/>
                <w:szCs w:val="24"/>
                <w:u w:val="none" w:color="auto"/>
                <w:vertAlign w:val="superscript"/>
                <w:lang w:val="en-US" w:eastAsia="zh-CN" w:bidi="ar"/>
              </w:rPr>
              <w:t>-7</w:t>
            </w:r>
            <w:r>
              <w:rPr>
                <w:rFonts w:hint="default" w:ascii="Times New Roman" w:hAnsi="Times New Roman" w:eastAsia="宋体" w:cs="Times New Roman"/>
                <w:color w:val="auto"/>
                <w:kern w:val="0"/>
                <w:sz w:val="24"/>
                <w:szCs w:val="24"/>
                <w:u w:val="none" w:color="auto"/>
                <w:lang w:val="en-US" w:eastAsia="zh-CN" w:bidi="ar"/>
              </w:rPr>
              <w:t>cm/s），或至少2mm厚高密度聚乙烯膜等人工防渗材料（渗透系数不大于10</w:t>
            </w:r>
            <w:r>
              <w:rPr>
                <w:rFonts w:hint="default" w:ascii="Times New Roman" w:hAnsi="Times New Roman" w:eastAsia="宋体" w:cs="Times New Roman"/>
                <w:color w:val="auto"/>
                <w:kern w:val="0"/>
                <w:sz w:val="24"/>
                <w:szCs w:val="24"/>
                <w:u w:val="none" w:color="auto"/>
                <w:vertAlign w:val="superscript"/>
                <w:lang w:val="en-US" w:eastAsia="zh-CN" w:bidi="ar"/>
              </w:rPr>
              <w:t>-10</w:t>
            </w:r>
            <w:r>
              <w:rPr>
                <w:rFonts w:hint="default" w:ascii="Times New Roman" w:hAnsi="Times New Roman" w:eastAsia="宋体" w:cs="Times New Roman"/>
                <w:color w:val="auto"/>
                <w:kern w:val="0"/>
                <w:sz w:val="24"/>
                <w:szCs w:val="24"/>
                <w:u w:val="none" w:color="auto"/>
                <w:lang w:val="en-US" w:eastAsia="zh-CN" w:bidi="ar"/>
              </w:rPr>
              <w:t>cm/s），或其他防渗性能等效的材料。</w:t>
            </w:r>
          </w:p>
          <w:p w14:paraId="3C255488">
            <w:pPr>
              <w:keepNext w:val="0"/>
              <w:keepLines w:val="0"/>
              <w:widowControl/>
              <w:suppressLineNumbers w:val="0"/>
              <w:jc w:val="left"/>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kern w:val="0"/>
                <w:sz w:val="24"/>
                <w:szCs w:val="24"/>
                <w:u w:val="none" w:color="auto"/>
                <w:lang w:val="en-US" w:eastAsia="zh-CN" w:bidi="ar"/>
              </w:rPr>
              <w:t>②一般防渗区：一般污染防控区主要是指位于地面以上的生产功能单元，污染地下水环境的物料或污染物泄漏后，可及时发现和处理的区域或部位。项目一般防渗区包括</w:t>
            </w:r>
            <w:r>
              <w:rPr>
                <w:rFonts w:hint="eastAsia" w:cs="Times New Roman"/>
                <w:color w:val="auto"/>
                <w:kern w:val="0"/>
                <w:sz w:val="24"/>
                <w:szCs w:val="24"/>
                <w:u w:val="none" w:color="auto"/>
                <w:lang w:val="en-US" w:eastAsia="zh-CN" w:bidi="ar"/>
              </w:rPr>
              <w:t>2号楼</w:t>
            </w:r>
            <w:r>
              <w:rPr>
                <w:rFonts w:hint="default" w:ascii="Times New Roman" w:hAnsi="Times New Roman" w:eastAsia="宋体" w:cs="Times New Roman"/>
                <w:color w:val="auto"/>
                <w:kern w:val="0"/>
                <w:sz w:val="24"/>
                <w:szCs w:val="24"/>
                <w:u w:val="none" w:color="auto"/>
                <w:lang w:val="en-US" w:eastAsia="zh-CN" w:bidi="ar"/>
              </w:rPr>
              <w:t>；防渗技术要求为等效黏土防渗层M</w:t>
            </w:r>
            <w:r>
              <w:rPr>
                <w:rFonts w:hint="default" w:ascii="Times New Roman" w:hAnsi="Times New Roman" w:eastAsia="宋体" w:cs="Times New Roman"/>
                <w:color w:val="auto"/>
                <w:kern w:val="0"/>
                <w:sz w:val="24"/>
                <w:szCs w:val="24"/>
                <w:u w:val="none" w:color="auto"/>
                <w:vertAlign w:val="subscript"/>
                <w:lang w:val="en-US" w:eastAsia="zh-CN" w:bidi="ar"/>
              </w:rPr>
              <w:t>b</w:t>
            </w:r>
            <w:r>
              <w:rPr>
                <w:rFonts w:hint="default" w:ascii="Times New Roman" w:hAnsi="Times New Roman" w:eastAsia="宋体" w:cs="Times New Roman"/>
                <w:color w:val="auto"/>
                <w:kern w:val="0"/>
                <w:sz w:val="24"/>
                <w:szCs w:val="24"/>
                <w:u w:val="none" w:color="auto"/>
                <w:lang w:val="en-US" w:eastAsia="zh-CN" w:bidi="ar"/>
              </w:rPr>
              <w:t>≥1.5m，K≤1.0×10</w:t>
            </w:r>
            <w:r>
              <w:rPr>
                <w:rFonts w:hint="default" w:ascii="Times New Roman" w:hAnsi="Times New Roman" w:eastAsia="宋体" w:cs="Times New Roman"/>
                <w:color w:val="auto"/>
                <w:kern w:val="0"/>
                <w:sz w:val="24"/>
                <w:szCs w:val="24"/>
                <w:u w:val="none" w:color="auto"/>
                <w:vertAlign w:val="superscript"/>
                <w:lang w:val="en-US" w:eastAsia="zh-CN" w:bidi="ar"/>
              </w:rPr>
              <w:t>-7</w:t>
            </w:r>
            <w:r>
              <w:rPr>
                <w:rFonts w:hint="default" w:ascii="Times New Roman" w:hAnsi="Times New Roman" w:eastAsia="宋体" w:cs="Times New Roman"/>
                <w:color w:val="auto"/>
                <w:kern w:val="0"/>
                <w:sz w:val="24"/>
                <w:szCs w:val="24"/>
                <w:u w:val="none" w:color="auto"/>
                <w:lang w:val="en-US" w:eastAsia="zh-CN" w:bidi="ar"/>
              </w:rPr>
              <w:t>cm/s；或参照GB16889执行。</w:t>
            </w:r>
          </w:p>
          <w:p w14:paraId="0049A5C7">
            <w:pPr>
              <w:keepNext w:val="0"/>
              <w:keepLines w:val="0"/>
              <w:widowControl/>
              <w:suppressLineNumbers w:val="0"/>
              <w:jc w:val="left"/>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kern w:val="0"/>
                <w:sz w:val="24"/>
                <w:szCs w:val="24"/>
                <w:u w:val="none" w:color="auto"/>
                <w:lang w:val="en-US" w:eastAsia="zh-CN" w:bidi="ar"/>
              </w:rPr>
              <w:t>③简单防渗区：简单防渗区主要是指没有物料或污染物泄漏，不会对地下水环境造成污染的区域或部位。为场区内除重点防渗区、一般防渗区以外的区域。包括生活垃圾收集点、停车场及场内道路等，采用一般地面硬化处理即可。</w:t>
            </w:r>
          </w:p>
          <w:p w14:paraId="063821F6">
            <w:pPr>
              <w:keepNext w:val="0"/>
              <w:keepLines w:val="0"/>
              <w:widowControl/>
              <w:suppressLineNumbers w:val="0"/>
              <w:jc w:val="left"/>
              <w:rPr>
                <w:color w:val="auto"/>
                <w:u w:val="none" w:color="auto"/>
              </w:rPr>
            </w:pPr>
            <w:r>
              <w:rPr>
                <w:rFonts w:hint="default" w:ascii="Times New Roman" w:hAnsi="Times New Roman" w:eastAsia="宋体" w:cs="Times New Roman"/>
                <w:color w:val="auto"/>
                <w:kern w:val="0"/>
                <w:sz w:val="24"/>
                <w:szCs w:val="24"/>
                <w:u w:val="none" w:color="auto"/>
                <w:lang w:val="en-US" w:eastAsia="zh-CN" w:bidi="ar"/>
              </w:rPr>
              <w:t>综上，医院采取防渗、加强管理等处理措施后，营运期对地下水的影响不大。</w:t>
            </w:r>
          </w:p>
          <w:p w14:paraId="25CFEABB">
            <w:pPr>
              <w:pStyle w:val="36"/>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200"/>
              <w:textAlignment w:val="auto"/>
              <w:rPr>
                <w:rFonts w:hint="default" w:ascii="Times New Roman" w:hAnsi="Times New Roman" w:eastAsia="宋体" w:cs="Times New Roman"/>
                <w:b/>
                <w:bCs w:val="0"/>
                <w:color w:val="auto"/>
                <w:sz w:val="24"/>
                <w:szCs w:val="24"/>
                <w:u w:val="none" w:color="auto"/>
              </w:rPr>
            </w:pPr>
            <w:r>
              <w:rPr>
                <w:rFonts w:hint="eastAsia" w:cs="Times New Roman"/>
                <w:b/>
                <w:bCs w:val="0"/>
                <w:color w:val="auto"/>
                <w:sz w:val="24"/>
                <w:szCs w:val="24"/>
                <w:u w:val="none" w:color="auto"/>
                <w:lang w:val="en-US" w:eastAsia="zh-CN"/>
              </w:rPr>
              <w:t>七、</w:t>
            </w:r>
            <w:r>
              <w:rPr>
                <w:rFonts w:hint="default" w:ascii="Times New Roman" w:hAnsi="Times New Roman" w:eastAsia="宋体" w:cs="Times New Roman"/>
                <w:b/>
                <w:bCs w:val="0"/>
                <w:color w:val="auto"/>
                <w:sz w:val="24"/>
                <w:szCs w:val="24"/>
                <w:u w:val="none" w:color="auto"/>
                <w:lang w:val="en-US" w:eastAsia="zh-CN"/>
              </w:rPr>
              <w:t>外环境影响分析</w:t>
            </w:r>
          </w:p>
          <w:p w14:paraId="206F9B2C">
            <w:pPr>
              <w:pStyle w:val="36"/>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b w:val="0"/>
                <w:bCs/>
                <w:color w:val="auto"/>
                <w:sz w:val="24"/>
                <w:szCs w:val="24"/>
                <w:u w:val="none" w:color="auto"/>
                <w:lang w:val="en-US" w:eastAsia="zh-CN"/>
              </w:rPr>
            </w:pPr>
            <w:r>
              <w:rPr>
                <w:rFonts w:hint="default" w:ascii="Times New Roman" w:hAnsi="Times New Roman" w:eastAsia="宋体" w:cs="Times New Roman"/>
                <w:b w:val="0"/>
                <w:bCs/>
                <w:color w:val="auto"/>
                <w:sz w:val="24"/>
                <w:szCs w:val="24"/>
                <w:u w:val="none" w:color="auto"/>
                <w:lang w:val="en-US" w:eastAsia="zh-CN"/>
              </w:rPr>
              <w:t>由现场踏勘可知，项目</w:t>
            </w:r>
            <w:r>
              <w:rPr>
                <w:rFonts w:hint="eastAsia" w:cs="Times New Roman"/>
                <w:b w:val="0"/>
                <w:bCs/>
                <w:color w:val="auto"/>
                <w:sz w:val="24"/>
                <w:szCs w:val="24"/>
                <w:u w:val="none" w:color="auto"/>
                <w:lang w:val="en-US" w:eastAsia="zh-CN"/>
              </w:rPr>
              <w:t>东面</w:t>
            </w:r>
            <w:r>
              <w:rPr>
                <w:rFonts w:hint="default" w:ascii="Times New Roman" w:hAnsi="Times New Roman" w:eastAsia="宋体" w:cs="Times New Roman"/>
                <w:b w:val="0"/>
                <w:bCs/>
                <w:color w:val="auto"/>
                <w:sz w:val="24"/>
                <w:szCs w:val="24"/>
                <w:u w:val="none" w:color="auto"/>
                <w:lang w:val="en-US" w:eastAsia="zh-CN"/>
              </w:rPr>
              <w:t>为</w:t>
            </w:r>
            <w:r>
              <w:rPr>
                <w:rFonts w:hint="eastAsia" w:cs="Times New Roman"/>
                <w:b w:val="0"/>
                <w:bCs/>
                <w:color w:val="auto"/>
                <w:sz w:val="24"/>
                <w:szCs w:val="24"/>
                <w:u w:val="none" w:color="auto"/>
                <w:lang w:val="en-US" w:eastAsia="zh-CN"/>
              </w:rPr>
              <w:t>友谊大道</w:t>
            </w:r>
            <w:r>
              <w:rPr>
                <w:rFonts w:hint="default" w:ascii="Times New Roman" w:hAnsi="Times New Roman" w:eastAsia="宋体" w:cs="Times New Roman"/>
                <w:b w:val="0"/>
                <w:bCs/>
                <w:color w:val="auto"/>
                <w:sz w:val="24"/>
                <w:szCs w:val="24"/>
                <w:u w:val="none" w:color="auto"/>
                <w:lang w:val="en-US" w:eastAsia="zh-CN"/>
              </w:rPr>
              <w:t>，受来往车辆噪声影响较大，医院自身为声环境保护目标，应保持良好声环境方可使病人及医护人员提供较好的康复、医疗环境</w:t>
            </w:r>
            <w:r>
              <w:rPr>
                <w:rFonts w:hint="eastAsia" w:cs="Times New Roman"/>
                <w:b w:val="0"/>
                <w:bCs/>
                <w:color w:val="auto"/>
                <w:sz w:val="24"/>
                <w:szCs w:val="24"/>
                <w:u w:val="none" w:color="auto"/>
                <w:lang w:val="en-US" w:eastAsia="zh-CN"/>
              </w:rPr>
              <w:t>，</w:t>
            </w:r>
            <w:r>
              <w:rPr>
                <w:rFonts w:hint="default" w:ascii="Times New Roman" w:hAnsi="Times New Roman" w:eastAsia="宋体" w:cs="Times New Roman"/>
                <w:b w:val="0"/>
                <w:bCs/>
                <w:color w:val="auto"/>
                <w:sz w:val="24"/>
                <w:szCs w:val="24"/>
                <w:u w:val="none" w:color="auto"/>
                <w:lang w:val="en-US" w:eastAsia="zh-CN"/>
              </w:rPr>
              <w:t>根据常见噪声污染防治措施，不同防治措施的优缺点及适用性如下：</w:t>
            </w:r>
          </w:p>
          <w:p w14:paraId="2CB2243F">
            <w:pPr>
              <w:pStyle w:val="10"/>
              <w:numPr>
                <w:ilvl w:val="0"/>
                <w:numId w:val="3"/>
              </w:numPr>
              <w:ind w:left="0" w:firstLine="0" w:firstLineChars="0"/>
              <w:jc w:val="center"/>
              <w:rPr>
                <w:rFonts w:hint="eastAsia" w:ascii="黑体" w:hAnsi="宋体" w:eastAsia="黑体"/>
                <w:b w:val="0"/>
                <w:bCs/>
                <w:color w:val="auto"/>
                <w:sz w:val="24"/>
                <w:u w:val="none" w:color="auto"/>
              </w:rPr>
            </w:pPr>
            <w:r>
              <w:rPr>
                <w:rFonts w:hint="eastAsia" w:ascii="黑体" w:hAnsi="宋体" w:eastAsia="黑体"/>
                <w:b w:val="0"/>
                <w:bCs/>
                <w:color w:val="auto"/>
                <w:sz w:val="24"/>
                <w:u w:val="none" w:color="auto"/>
              </w:rPr>
              <w:t>噪声防治措施技术经济比较</w:t>
            </w:r>
          </w:p>
          <w:tbl>
            <w:tblPr>
              <w:tblStyle w:val="22"/>
              <w:tblW w:w="9227" w:type="dxa"/>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28" w:type="dxa"/>
                <w:bottom w:w="0" w:type="dxa"/>
                <w:right w:w="28" w:type="dxa"/>
              </w:tblCellMar>
            </w:tblPr>
            <w:tblGrid>
              <w:gridCol w:w="485"/>
              <w:gridCol w:w="895"/>
              <w:gridCol w:w="3606"/>
              <w:gridCol w:w="1872"/>
              <w:gridCol w:w="1106"/>
              <w:gridCol w:w="1263"/>
            </w:tblGrid>
            <w:tr w14:paraId="6A034C8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506" w:hRule="atLeast"/>
              </w:trPr>
              <w:tc>
                <w:tcPr>
                  <w:tcW w:w="485" w:type="dxa"/>
                  <w:vAlign w:val="center"/>
                </w:tcPr>
                <w:p w14:paraId="067E00E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序号</w:t>
                  </w:r>
                </w:p>
              </w:tc>
              <w:tc>
                <w:tcPr>
                  <w:tcW w:w="895" w:type="dxa"/>
                  <w:vAlign w:val="center"/>
                </w:tcPr>
                <w:p w14:paraId="213E427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降噪措施</w:t>
                  </w:r>
                </w:p>
              </w:tc>
              <w:tc>
                <w:tcPr>
                  <w:tcW w:w="3606" w:type="dxa"/>
                  <w:vAlign w:val="center"/>
                </w:tcPr>
                <w:p w14:paraId="1C849943">
                  <w:pPr>
                    <w:pStyle w:val="20"/>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w w:val="100"/>
                      <w:sz w:val="21"/>
                      <w:szCs w:val="21"/>
                      <w:u w:val="none" w:color="auto"/>
                    </w:rPr>
                  </w:pPr>
                  <w:r>
                    <w:rPr>
                      <w:rFonts w:hint="default" w:ascii="Times New Roman" w:hAnsi="Times New Roman" w:eastAsia="宋体" w:cs="Times New Roman"/>
                      <w:color w:val="auto"/>
                      <w:w w:val="100"/>
                      <w:sz w:val="21"/>
                      <w:szCs w:val="21"/>
                      <w:u w:val="none" w:color="auto"/>
                    </w:rPr>
                    <w:t>适用对象及特点</w:t>
                  </w:r>
                </w:p>
              </w:tc>
              <w:tc>
                <w:tcPr>
                  <w:tcW w:w="1872" w:type="dxa"/>
                  <w:vAlign w:val="center"/>
                </w:tcPr>
                <w:p w14:paraId="463CCDF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费用估算</w:t>
                  </w:r>
                </w:p>
              </w:tc>
              <w:tc>
                <w:tcPr>
                  <w:tcW w:w="1106" w:type="dxa"/>
                  <w:tcBorders>
                    <w:right w:val="single" w:color="auto" w:sz="4" w:space="0"/>
                  </w:tcBorders>
                  <w:vAlign w:val="center"/>
                </w:tcPr>
                <w:p w14:paraId="1983FEA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降噪效果</w:t>
                  </w:r>
                </w:p>
              </w:tc>
              <w:tc>
                <w:tcPr>
                  <w:tcW w:w="1263" w:type="dxa"/>
                  <w:tcBorders>
                    <w:left w:val="single" w:color="auto" w:sz="4" w:space="0"/>
                  </w:tcBorders>
                  <w:vAlign w:val="center"/>
                </w:tcPr>
                <w:p w14:paraId="67125CB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备注</w:t>
                  </w:r>
                </w:p>
              </w:tc>
            </w:tr>
            <w:tr w14:paraId="0580891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c>
                <w:tcPr>
                  <w:tcW w:w="485" w:type="dxa"/>
                  <w:vAlign w:val="center"/>
                </w:tcPr>
                <w:p w14:paraId="03391270">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895" w:type="dxa"/>
                  <w:vAlign w:val="center"/>
                </w:tcPr>
                <w:p w14:paraId="06925F8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声屏障</w:t>
                  </w:r>
                </w:p>
              </w:tc>
              <w:tc>
                <w:tcPr>
                  <w:tcW w:w="3606" w:type="dxa"/>
                  <w:vAlign w:val="center"/>
                </w:tcPr>
                <w:p w14:paraId="2BE21304">
                  <w:pPr>
                    <w:keepNext w:val="0"/>
                    <w:keepLines w:val="0"/>
                    <w:pageBreakBefore w:val="0"/>
                    <w:widowControl w:val="0"/>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噪声要求较高的敏感点，如集中居民区、学校、医院等；超标在10～15dB(A</w:t>
                  </w:r>
                  <w:r>
                    <w:rPr>
                      <w:rFonts w:hint="eastAsia"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以上，适用范围广。</w:t>
                  </w:r>
                </w:p>
              </w:tc>
              <w:tc>
                <w:tcPr>
                  <w:tcW w:w="1872" w:type="dxa"/>
                  <w:vAlign w:val="center"/>
                </w:tcPr>
                <w:p w14:paraId="5EAD9ABB">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根据形式及结构不同，费用500～1500元/m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不等。</w:t>
                  </w:r>
                </w:p>
              </w:tc>
              <w:tc>
                <w:tcPr>
                  <w:tcW w:w="1106" w:type="dxa"/>
                  <w:tcBorders>
                    <w:right w:val="single" w:color="auto" w:sz="4" w:space="0"/>
                  </w:tcBorders>
                  <w:vAlign w:val="center"/>
                </w:tcPr>
                <w:p w14:paraId="4F29837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≥12dB(A)</w:t>
                  </w:r>
                </w:p>
              </w:tc>
              <w:tc>
                <w:tcPr>
                  <w:tcW w:w="1263" w:type="dxa"/>
                  <w:tcBorders>
                    <w:left w:val="single" w:color="auto" w:sz="4" w:space="0"/>
                  </w:tcBorders>
                  <w:vAlign w:val="center"/>
                </w:tcPr>
                <w:p w14:paraId="1E8BF446">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土路堤、混凝土墙、复合材料等形式。</w:t>
                  </w:r>
                </w:p>
              </w:tc>
            </w:tr>
            <w:tr w14:paraId="46D0627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c>
                <w:tcPr>
                  <w:tcW w:w="485" w:type="dxa"/>
                  <w:vAlign w:val="center"/>
                </w:tcPr>
                <w:p w14:paraId="4C0C2D3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p>
              </w:tc>
              <w:tc>
                <w:tcPr>
                  <w:tcW w:w="895" w:type="dxa"/>
                  <w:vAlign w:val="center"/>
                </w:tcPr>
                <w:p w14:paraId="1E884DA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通风式隔声窗</w:t>
                  </w:r>
                </w:p>
              </w:tc>
              <w:tc>
                <w:tcPr>
                  <w:tcW w:w="3606" w:type="dxa"/>
                  <w:vAlign w:val="center"/>
                </w:tcPr>
                <w:p w14:paraId="1247A9F7">
                  <w:pPr>
                    <w:keepNext w:val="0"/>
                    <w:keepLines w:val="0"/>
                    <w:pageBreakBefore w:val="0"/>
                    <w:widowControl w:val="0"/>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降噪值大于等于20dB(A)，投资成本较高。</w:t>
                  </w:r>
                </w:p>
              </w:tc>
              <w:tc>
                <w:tcPr>
                  <w:tcW w:w="1872" w:type="dxa"/>
                  <w:vAlign w:val="center"/>
                </w:tcPr>
                <w:p w14:paraId="346F6CC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700元/m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p>
              </w:tc>
              <w:tc>
                <w:tcPr>
                  <w:tcW w:w="1106" w:type="dxa"/>
                  <w:tcBorders>
                    <w:right w:val="single" w:color="auto" w:sz="4" w:space="0"/>
                  </w:tcBorders>
                  <w:vAlign w:val="center"/>
                </w:tcPr>
                <w:p w14:paraId="5485D4F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≥20dB(A)</w:t>
                  </w:r>
                </w:p>
              </w:tc>
              <w:tc>
                <w:tcPr>
                  <w:tcW w:w="1263" w:type="dxa"/>
                  <w:tcBorders>
                    <w:left w:val="single" w:color="auto" w:sz="4" w:space="0"/>
                  </w:tcBorders>
                  <w:vAlign w:val="center"/>
                </w:tcPr>
                <w:p w14:paraId="2768AA7E">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超标大于5dB(A</w:t>
                  </w:r>
                  <w:r>
                    <w:rPr>
                      <w:rFonts w:hint="eastAsia"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考虑</w:t>
                  </w:r>
                </w:p>
              </w:tc>
            </w:tr>
            <w:tr w14:paraId="1539386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c>
                <w:tcPr>
                  <w:tcW w:w="485" w:type="dxa"/>
                  <w:vAlign w:val="center"/>
                </w:tcPr>
                <w:p w14:paraId="06E2ECC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w:t>
                  </w:r>
                </w:p>
              </w:tc>
              <w:tc>
                <w:tcPr>
                  <w:tcW w:w="895" w:type="dxa"/>
                  <w:vAlign w:val="center"/>
                </w:tcPr>
                <w:p w14:paraId="04299E6B">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铝合金窗</w:t>
                  </w:r>
                </w:p>
              </w:tc>
              <w:tc>
                <w:tcPr>
                  <w:tcW w:w="3606" w:type="dxa"/>
                  <w:vAlign w:val="center"/>
                </w:tcPr>
                <w:p w14:paraId="415F8342">
                  <w:pPr>
                    <w:keepNext w:val="0"/>
                    <w:keepLines w:val="0"/>
                    <w:pageBreakBefore w:val="0"/>
                    <w:widowControl w:val="0"/>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降噪值大于等于6dB(A)，投资成本低。</w:t>
                  </w:r>
                </w:p>
              </w:tc>
              <w:tc>
                <w:tcPr>
                  <w:tcW w:w="1872" w:type="dxa"/>
                  <w:vAlign w:val="center"/>
                </w:tcPr>
                <w:p w14:paraId="119F8125">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300元/m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p>
              </w:tc>
              <w:tc>
                <w:tcPr>
                  <w:tcW w:w="1106" w:type="dxa"/>
                  <w:tcBorders>
                    <w:right w:val="single" w:color="auto" w:sz="4" w:space="0"/>
                  </w:tcBorders>
                  <w:vAlign w:val="center"/>
                </w:tcPr>
                <w:p w14:paraId="7965D9AB">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≥6dB(A)</w:t>
                  </w:r>
                </w:p>
              </w:tc>
              <w:tc>
                <w:tcPr>
                  <w:tcW w:w="1263" w:type="dxa"/>
                  <w:tcBorders>
                    <w:left w:val="single" w:color="auto" w:sz="4" w:space="0"/>
                  </w:tcBorders>
                  <w:vAlign w:val="center"/>
                </w:tcPr>
                <w:p w14:paraId="283D176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超标小于3dB(A</w:t>
                  </w:r>
                  <w:r>
                    <w:rPr>
                      <w:rFonts w:hint="eastAsia"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考虑</w:t>
                  </w:r>
                </w:p>
              </w:tc>
            </w:tr>
            <w:tr w14:paraId="3FFCA40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c>
                <w:tcPr>
                  <w:tcW w:w="485" w:type="dxa"/>
                  <w:vAlign w:val="center"/>
                </w:tcPr>
                <w:p w14:paraId="7CCF2FFC">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w:t>
                  </w:r>
                </w:p>
              </w:tc>
              <w:tc>
                <w:tcPr>
                  <w:tcW w:w="895" w:type="dxa"/>
                  <w:vAlign w:val="center"/>
                </w:tcPr>
                <w:p w14:paraId="7E14006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铝合金窗+密封条</w:t>
                  </w:r>
                </w:p>
              </w:tc>
              <w:tc>
                <w:tcPr>
                  <w:tcW w:w="3606" w:type="dxa"/>
                  <w:vAlign w:val="center"/>
                </w:tcPr>
                <w:p w14:paraId="3B553818">
                  <w:pPr>
                    <w:keepNext w:val="0"/>
                    <w:keepLines w:val="0"/>
                    <w:pageBreakBefore w:val="0"/>
                    <w:widowControl w:val="0"/>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降噪值大于等于9dB(A)，投资成本低。</w:t>
                  </w:r>
                </w:p>
              </w:tc>
              <w:tc>
                <w:tcPr>
                  <w:tcW w:w="1872" w:type="dxa"/>
                  <w:vAlign w:val="center"/>
                </w:tcPr>
                <w:p w14:paraId="5B6C701F">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300元/m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+10元/m</w:t>
                  </w:r>
                </w:p>
              </w:tc>
              <w:tc>
                <w:tcPr>
                  <w:tcW w:w="1106" w:type="dxa"/>
                  <w:tcBorders>
                    <w:right w:val="single" w:color="auto" w:sz="4" w:space="0"/>
                  </w:tcBorders>
                  <w:vAlign w:val="center"/>
                </w:tcPr>
                <w:p w14:paraId="6D14155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 9dB(A)</w:t>
                  </w:r>
                </w:p>
              </w:tc>
              <w:tc>
                <w:tcPr>
                  <w:tcW w:w="1263" w:type="dxa"/>
                  <w:tcBorders>
                    <w:left w:val="single" w:color="auto" w:sz="4" w:space="0"/>
                  </w:tcBorders>
                  <w:vAlign w:val="center"/>
                </w:tcPr>
                <w:p w14:paraId="0687AA9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超标3～5dB(A</w:t>
                  </w:r>
                  <w:r>
                    <w:rPr>
                      <w:rFonts w:hint="eastAsia"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考虑</w:t>
                  </w:r>
                </w:p>
              </w:tc>
            </w:tr>
            <w:tr w14:paraId="6739405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c>
                <w:tcPr>
                  <w:tcW w:w="485" w:type="dxa"/>
                  <w:vAlign w:val="center"/>
                </w:tcPr>
                <w:p w14:paraId="30007B5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w:t>
                  </w:r>
                </w:p>
              </w:tc>
              <w:tc>
                <w:tcPr>
                  <w:tcW w:w="895" w:type="dxa"/>
                  <w:vAlign w:val="center"/>
                </w:tcPr>
                <w:p w14:paraId="304DB58E">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绿化</w:t>
                  </w:r>
                </w:p>
              </w:tc>
              <w:tc>
                <w:tcPr>
                  <w:tcW w:w="3606" w:type="dxa"/>
                  <w:vAlign w:val="center"/>
                </w:tcPr>
                <w:p w14:paraId="1740EE2F">
                  <w:pPr>
                    <w:keepNext w:val="0"/>
                    <w:keepLines w:val="0"/>
                    <w:pageBreakBefore w:val="0"/>
                    <w:widowControl w:val="0"/>
                    <w:kinsoku/>
                    <w:wordWrap/>
                    <w:overflowPunct/>
                    <w:topLinePunct w:val="0"/>
                    <w:autoSpaceDE/>
                    <w:autoSpaceDN/>
                    <w:bidi w:val="0"/>
                    <w:adjustRightInd/>
                    <w:snapToGrid/>
                    <w:spacing w:line="240" w:lineRule="atLeast"/>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占地多，但视觉及景观效果较好。</w:t>
                  </w:r>
                </w:p>
              </w:tc>
              <w:tc>
                <w:tcPr>
                  <w:tcW w:w="1872" w:type="dxa"/>
                  <w:vAlign w:val="center"/>
                </w:tcPr>
                <w:p w14:paraId="3C8C8DA0">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200～500元/m</w:t>
                  </w:r>
                </w:p>
              </w:tc>
              <w:tc>
                <w:tcPr>
                  <w:tcW w:w="1106" w:type="dxa"/>
                  <w:tcBorders>
                    <w:right w:val="single" w:color="auto" w:sz="4" w:space="0"/>
                  </w:tcBorders>
                  <w:vAlign w:val="center"/>
                </w:tcPr>
                <w:p w14:paraId="50D948C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根据宽度不同，降噪在1～5dB(A)。</w:t>
                  </w:r>
                </w:p>
              </w:tc>
              <w:tc>
                <w:tcPr>
                  <w:tcW w:w="1263" w:type="dxa"/>
                  <w:tcBorders>
                    <w:left w:val="single" w:color="auto" w:sz="4" w:space="0"/>
                  </w:tcBorders>
                  <w:vAlign w:val="center"/>
                </w:tcPr>
                <w:p w14:paraId="3DB37BC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1"/>
                      <w:szCs w:val="21"/>
                      <w:u w:val="none" w:color="auto"/>
                    </w:rPr>
                  </w:pPr>
                </w:p>
              </w:tc>
            </w:tr>
          </w:tbl>
          <w:p w14:paraId="21997CB9">
            <w:pPr>
              <w:pStyle w:val="36"/>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480" w:firstLineChars="200"/>
              <w:textAlignment w:val="auto"/>
              <w:rPr>
                <w:rFonts w:hint="default" w:ascii="Times New Roman" w:hAnsi="Times New Roman" w:eastAsia="宋体" w:cs="Times New Roman"/>
                <w:b w:val="0"/>
                <w:bCs/>
                <w:color w:val="auto"/>
                <w:sz w:val="24"/>
                <w:szCs w:val="24"/>
                <w:u w:val="none" w:color="auto"/>
                <w:lang w:val="en-US" w:eastAsia="zh-CN"/>
              </w:rPr>
            </w:pPr>
            <w:r>
              <w:rPr>
                <w:rFonts w:hint="eastAsia" w:cs="Times New Roman"/>
                <w:b w:val="0"/>
                <w:bCs/>
                <w:color w:val="auto"/>
                <w:sz w:val="24"/>
                <w:szCs w:val="24"/>
                <w:u w:val="none" w:color="auto"/>
                <w:lang w:val="en-US" w:eastAsia="zh-CN"/>
              </w:rPr>
              <w:t>根据现场踏勘，各窗户现状采用铝合金窗</w:t>
            </w:r>
            <w:r>
              <w:rPr>
                <w:rFonts w:hint="default" w:ascii="Times New Roman" w:hAnsi="Times New Roman" w:eastAsia="宋体" w:cs="Times New Roman"/>
                <w:b w:val="0"/>
                <w:bCs/>
                <w:color w:val="auto"/>
                <w:sz w:val="24"/>
                <w:szCs w:val="24"/>
                <w:u w:val="none" w:color="auto"/>
                <w:lang w:val="en-US" w:eastAsia="zh-CN"/>
              </w:rPr>
              <w:t>，</w:t>
            </w:r>
            <w:r>
              <w:rPr>
                <w:rFonts w:hint="eastAsia" w:cs="Times New Roman"/>
                <w:b w:val="0"/>
                <w:bCs/>
                <w:color w:val="auto"/>
                <w:sz w:val="24"/>
                <w:szCs w:val="24"/>
                <w:u w:val="none" w:color="auto"/>
                <w:lang w:val="en-US" w:eastAsia="zh-CN"/>
              </w:rPr>
              <w:t>项目</w:t>
            </w:r>
            <w:r>
              <w:rPr>
                <w:rFonts w:hint="default" w:ascii="Times New Roman" w:hAnsi="Times New Roman" w:eastAsia="宋体" w:cs="Times New Roman"/>
                <w:color w:val="auto"/>
                <w:szCs w:val="22"/>
                <w:u w:val="none" w:color="auto"/>
                <w:lang w:val="en-US" w:eastAsia="zh-CN"/>
              </w:rPr>
              <w:t>东侧</w:t>
            </w:r>
            <w:r>
              <w:rPr>
                <w:rFonts w:hint="eastAsia" w:cs="Times New Roman"/>
                <w:color w:val="auto"/>
                <w:szCs w:val="22"/>
                <w:u w:val="none" w:color="auto"/>
                <w:lang w:val="en-US" w:eastAsia="zh-CN"/>
              </w:rPr>
              <w:t>监测点及拟建三玖脑科医院东侧监测（均紧邻友谊大道）</w:t>
            </w:r>
            <w:r>
              <w:rPr>
                <w:rFonts w:hint="default" w:ascii="Times New Roman" w:hAnsi="Times New Roman" w:eastAsia="宋体" w:cs="Times New Roman"/>
                <w:color w:val="auto"/>
                <w:szCs w:val="22"/>
                <w:u w:val="none" w:color="auto"/>
                <w:lang w:val="en-US" w:eastAsia="zh-CN"/>
              </w:rPr>
              <w:t>监测结果范围为昼间57.0~</w:t>
            </w:r>
            <w:r>
              <w:rPr>
                <w:rFonts w:hint="eastAsia" w:cs="Times New Roman"/>
                <w:color w:val="auto"/>
                <w:szCs w:val="22"/>
                <w:u w:val="none" w:color="auto"/>
                <w:lang w:val="en-US" w:eastAsia="zh-CN"/>
              </w:rPr>
              <w:t>58.4</w:t>
            </w:r>
            <w:r>
              <w:rPr>
                <w:rFonts w:hint="default" w:ascii="Times New Roman" w:hAnsi="Times New Roman" w:eastAsia="宋体" w:cs="Times New Roman"/>
                <w:b w:val="0"/>
                <w:color w:val="auto"/>
                <w:highlight w:val="none"/>
                <w:u w:val="none" w:color="auto"/>
                <w:lang w:val="en-US" w:eastAsia="zh-CN"/>
              </w:rPr>
              <w:t>dB（A）</w:t>
            </w:r>
            <w:r>
              <w:rPr>
                <w:rFonts w:hint="default" w:ascii="Times New Roman" w:hAnsi="Times New Roman" w:eastAsia="宋体" w:cs="Times New Roman"/>
                <w:color w:val="auto"/>
                <w:szCs w:val="22"/>
                <w:u w:val="none" w:color="auto"/>
                <w:lang w:val="en-US" w:eastAsia="zh-CN"/>
              </w:rPr>
              <w:t>、夜间41.9~</w:t>
            </w:r>
            <w:r>
              <w:rPr>
                <w:rFonts w:hint="eastAsia" w:cs="Times New Roman"/>
                <w:color w:val="auto"/>
                <w:szCs w:val="22"/>
                <w:u w:val="none" w:color="auto"/>
                <w:lang w:val="en-US" w:eastAsia="zh-CN"/>
              </w:rPr>
              <w:t>46.4</w:t>
            </w:r>
            <w:r>
              <w:rPr>
                <w:rFonts w:hint="default" w:ascii="Times New Roman" w:hAnsi="Times New Roman" w:eastAsia="宋体" w:cs="Times New Roman"/>
                <w:b w:val="0"/>
                <w:color w:val="auto"/>
                <w:highlight w:val="none"/>
                <w:u w:val="none" w:color="auto"/>
                <w:lang w:val="en-US" w:eastAsia="zh-CN"/>
              </w:rPr>
              <w:t>dB（A）</w:t>
            </w:r>
            <w:r>
              <w:rPr>
                <w:rFonts w:hint="eastAsia" w:cs="Times New Roman"/>
                <w:b w:val="0"/>
                <w:color w:val="auto"/>
                <w:highlight w:val="none"/>
                <w:u w:val="none" w:color="auto"/>
                <w:lang w:val="en-US" w:eastAsia="zh-CN"/>
              </w:rPr>
              <w:t>，</w:t>
            </w:r>
            <w:r>
              <w:rPr>
                <w:rFonts w:hint="eastAsia" w:cs="Times New Roman"/>
                <w:b w:val="0"/>
                <w:bCs/>
                <w:color w:val="auto"/>
                <w:sz w:val="24"/>
                <w:szCs w:val="24"/>
                <w:u w:val="none" w:color="auto"/>
                <w:lang w:val="en-US" w:eastAsia="zh-CN"/>
              </w:rPr>
              <w:t>为避免东侧道路交通噪声干扰病人休息、康复</w:t>
            </w:r>
            <w:r>
              <w:rPr>
                <w:rFonts w:hint="eastAsia" w:ascii="Times New Roman" w:hAnsi="Times New Roman" w:eastAsia="宋体" w:cs="Times New Roman"/>
                <w:b w:val="0"/>
                <w:bCs/>
                <w:color w:val="auto"/>
                <w:sz w:val="24"/>
                <w:szCs w:val="24"/>
                <w:u w:val="none" w:color="auto"/>
                <w:lang w:val="en-US" w:eastAsia="zh-CN"/>
              </w:rPr>
              <w:t>，本评价建议采用</w:t>
            </w:r>
            <w:r>
              <w:rPr>
                <w:rFonts w:hint="eastAsia" w:cs="Times New Roman"/>
                <w:b w:val="0"/>
                <w:bCs/>
                <w:color w:val="auto"/>
                <w:sz w:val="24"/>
                <w:szCs w:val="24"/>
                <w:u w:val="none" w:color="auto"/>
                <w:lang w:val="en-US" w:eastAsia="zh-CN"/>
              </w:rPr>
              <w:t>加装</w:t>
            </w:r>
            <w:r>
              <w:rPr>
                <w:rFonts w:hint="eastAsia" w:ascii="Times New Roman" w:hAnsi="Times New Roman" w:eastAsia="宋体" w:cs="Times New Roman"/>
                <w:b w:val="0"/>
                <w:bCs/>
                <w:color w:val="auto"/>
                <w:sz w:val="24"/>
                <w:szCs w:val="24"/>
                <w:u w:val="none" w:color="auto"/>
                <w:lang w:val="en-US" w:eastAsia="zh-CN"/>
              </w:rPr>
              <w:t>密封条，投资费用约为</w:t>
            </w:r>
            <w:r>
              <w:rPr>
                <w:rFonts w:hint="eastAsia" w:cs="Times New Roman"/>
                <w:b w:val="0"/>
                <w:bCs/>
                <w:color w:val="auto"/>
                <w:sz w:val="24"/>
                <w:szCs w:val="24"/>
                <w:u w:val="none" w:color="auto"/>
                <w:lang w:val="en-US" w:eastAsia="zh-CN"/>
              </w:rPr>
              <w:t>0.5</w:t>
            </w:r>
            <w:r>
              <w:rPr>
                <w:rFonts w:hint="eastAsia" w:ascii="Times New Roman" w:hAnsi="Times New Roman" w:eastAsia="宋体" w:cs="Times New Roman"/>
                <w:b w:val="0"/>
                <w:bCs/>
                <w:color w:val="auto"/>
                <w:sz w:val="24"/>
                <w:szCs w:val="24"/>
                <w:u w:val="none" w:color="auto"/>
                <w:lang w:val="en-US" w:eastAsia="zh-CN"/>
              </w:rPr>
              <w:t>万元。</w:t>
            </w:r>
            <w:r>
              <w:rPr>
                <w:rFonts w:hint="eastAsia" w:ascii="Times New Roman" w:hAnsi="Times New Roman" w:cs="Times New Roman"/>
                <w:b w:val="0"/>
                <w:bCs/>
                <w:color w:val="auto"/>
                <w:sz w:val="24"/>
                <w:szCs w:val="24"/>
                <w:u w:val="none" w:color="auto"/>
                <w:lang w:val="en-US" w:eastAsia="zh-CN"/>
              </w:rPr>
              <w:t>通过采取措施，项目</w:t>
            </w:r>
            <w:r>
              <w:rPr>
                <w:rFonts w:hint="eastAsia" w:cs="Times New Roman"/>
                <w:b w:val="0"/>
                <w:bCs/>
                <w:color w:val="auto"/>
                <w:sz w:val="24"/>
                <w:szCs w:val="24"/>
                <w:u w:val="none" w:color="auto"/>
                <w:lang w:val="en-US" w:eastAsia="zh-CN"/>
              </w:rPr>
              <w:t>东侧</w:t>
            </w:r>
            <w:r>
              <w:rPr>
                <w:rFonts w:hint="eastAsia" w:ascii="Times New Roman" w:hAnsi="Times New Roman" w:cs="Times New Roman"/>
                <w:b w:val="0"/>
                <w:bCs/>
                <w:color w:val="auto"/>
                <w:sz w:val="24"/>
                <w:szCs w:val="24"/>
                <w:u w:val="none" w:color="auto"/>
                <w:lang w:val="en-US" w:eastAsia="zh-CN"/>
              </w:rPr>
              <w:t>道路交通噪声对本项目的影响得到有效控制，对其影响程度在可接受范围内。</w:t>
            </w:r>
          </w:p>
          <w:p w14:paraId="4CAC5F5E">
            <w:pPr>
              <w:pStyle w:val="36"/>
              <w:numPr>
                <w:ilvl w:val="0"/>
                <w:numId w:val="0"/>
              </w:numPr>
              <w:ind w:left="480" w:leftChars="0"/>
              <w:rPr>
                <w:b/>
                <w:color w:val="auto"/>
                <w:u w:val="none" w:color="auto"/>
              </w:rPr>
            </w:pPr>
            <w:r>
              <w:rPr>
                <w:rFonts w:hint="eastAsia"/>
                <w:b/>
                <w:color w:val="auto"/>
                <w:u w:val="none" w:color="auto"/>
                <w:lang w:val="en-US" w:eastAsia="zh-CN"/>
              </w:rPr>
              <w:t>七、</w:t>
            </w:r>
            <w:r>
              <w:rPr>
                <w:b/>
                <w:color w:val="auto"/>
                <w:u w:val="none" w:color="auto"/>
              </w:rPr>
              <w:t>环保投资</w:t>
            </w:r>
          </w:p>
          <w:p w14:paraId="1B43B582">
            <w:pPr>
              <w:ind w:firstLine="480"/>
              <w:rPr>
                <w:rFonts w:hint="eastAsia"/>
                <w:color w:val="auto"/>
                <w:u w:val="none" w:color="auto"/>
                <w:lang w:val="en-US" w:eastAsia="zh-CN"/>
              </w:rPr>
            </w:pPr>
            <w:r>
              <w:rPr>
                <w:color w:val="auto"/>
                <w:u w:val="none" w:color="auto"/>
              </w:rPr>
              <w:t>项目总投资约为</w:t>
            </w:r>
            <w:r>
              <w:rPr>
                <w:rFonts w:hint="eastAsia"/>
                <w:color w:val="auto"/>
                <w:u w:val="none" w:color="auto"/>
                <w:lang w:val="en-US" w:eastAsia="zh-CN"/>
              </w:rPr>
              <w:t>2</w:t>
            </w:r>
            <w:r>
              <w:rPr>
                <w:color w:val="auto"/>
                <w:u w:val="none" w:color="auto"/>
              </w:rPr>
              <w:t>000万元，其中环保投资约</w:t>
            </w:r>
            <w:r>
              <w:rPr>
                <w:rFonts w:hint="eastAsia"/>
                <w:color w:val="auto"/>
                <w:u w:val="none" w:color="auto"/>
                <w:lang w:val="en-US" w:eastAsia="zh-CN"/>
              </w:rPr>
              <w:t>43.2</w:t>
            </w:r>
            <w:r>
              <w:rPr>
                <w:color w:val="auto"/>
                <w:u w:val="none" w:color="auto"/>
              </w:rPr>
              <w:t>万元，占总投资的</w:t>
            </w:r>
            <w:r>
              <w:rPr>
                <w:rFonts w:hint="eastAsia"/>
                <w:color w:val="auto"/>
                <w:u w:val="none" w:color="auto"/>
                <w:lang w:val="en-US" w:eastAsia="zh-CN"/>
              </w:rPr>
              <w:t>2.16</w:t>
            </w:r>
            <w:r>
              <w:rPr>
                <w:color w:val="auto"/>
                <w:u w:val="none" w:color="auto"/>
              </w:rPr>
              <w:t>%</w:t>
            </w:r>
            <w:r>
              <w:rPr>
                <w:rFonts w:hint="eastAsia"/>
                <w:color w:val="auto"/>
                <w:u w:val="none" w:color="auto"/>
                <w:lang w:eastAsia="zh-CN"/>
              </w:rPr>
              <w:t>，</w:t>
            </w:r>
            <w:r>
              <w:rPr>
                <w:rFonts w:hint="eastAsia"/>
                <w:color w:val="auto"/>
                <w:u w:val="none" w:color="auto"/>
                <w:lang w:val="en-US" w:eastAsia="zh-CN"/>
              </w:rPr>
              <w:t>详</w:t>
            </w:r>
            <w:r>
              <w:rPr>
                <w:color w:val="auto"/>
                <w:u w:val="none" w:color="auto"/>
              </w:rPr>
              <w:t>见</w:t>
            </w:r>
            <w:r>
              <w:rPr>
                <w:rFonts w:hint="eastAsia"/>
                <w:color w:val="auto"/>
                <w:u w:val="none" w:color="auto"/>
                <w:lang w:val="en-US" w:eastAsia="zh-CN"/>
              </w:rPr>
              <w:t>下表：</w:t>
            </w:r>
          </w:p>
          <w:p w14:paraId="09408974">
            <w:pPr>
              <w:pStyle w:val="10"/>
              <w:numPr>
                <w:ilvl w:val="0"/>
                <w:numId w:val="3"/>
              </w:numPr>
              <w:ind w:left="0" w:firstLine="0" w:firstLineChars="0"/>
              <w:jc w:val="center"/>
              <w:rPr>
                <w:rFonts w:ascii="黑体" w:hAnsi="黑体" w:eastAsia="黑体"/>
                <w:b w:val="0"/>
                <w:color w:val="auto"/>
                <w:u w:val="none" w:color="auto"/>
              </w:rPr>
            </w:pPr>
            <w:r>
              <w:rPr>
                <w:rFonts w:ascii="黑体" w:hAnsi="黑体" w:eastAsia="黑体"/>
                <w:b w:val="0"/>
                <w:color w:val="auto"/>
                <w:u w:val="none" w:color="auto"/>
              </w:rPr>
              <w:t>环保投资一览表</w:t>
            </w:r>
          </w:p>
          <w:tbl>
            <w:tblPr>
              <w:tblStyle w:val="22"/>
              <w:tblW w:w="878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47"/>
              <w:gridCol w:w="1348"/>
              <w:gridCol w:w="2991"/>
              <w:gridCol w:w="1416"/>
              <w:gridCol w:w="1684"/>
            </w:tblGrid>
            <w:tr w14:paraId="3DD5A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5" w:type="dxa"/>
                  <w:gridSpan w:val="2"/>
                  <w:vAlign w:val="center"/>
                </w:tcPr>
                <w:p w14:paraId="53C1C8F3">
                  <w:pPr>
                    <w:pStyle w:val="35"/>
                    <w:jc w:val="center"/>
                    <w:rPr>
                      <w:color w:val="auto"/>
                      <w:u w:val="none" w:color="auto"/>
                    </w:rPr>
                  </w:pPr>
                  <w:r>
                    <w:rPr>
                      <w:color w:val="auto"/>
                      <w:u w:val="none" w:color="auto"/>
                    </w:rPr>
                    <w:t>投资项目</w:t>
                  </w:r>
                </w:p>
              </w:tc>
              <w:tc>
                <w:tcPr>
                  <w:tcW w:w="2991" w:type="dxa"/>
                  <w:vAlign w:val="center"/>
                </w:tcPr>
                <w:p w14:paraId="06D8D53C">
                  <w:pPr>
                    <w:pStyle w:val="35"/>
                    <w:jc w:val="center"/>
                    <w:rPr>
                      <w:color w:val="auto"/>
                      <w:u w:val="none" w:color="auto"/>
                    </w:rPr>
                  </w:pPr>
                  <w:r>
                    <w:rPr>
                      <w:color w:val="auto"/>
                      <w:u w:val="none" w:color="auto"/>
                    </w:rPr>
                    <w:t>环保投资内容</w:t>
                  </w:r>
                </w:p>
              </w:tc>
              <w:tc>
                <w:tcPr>
                  <w:tcW w:w="1416" w:type="dxa"/>
                  <w:vAlign w:val="center"/>
                </w:tcPr>
                <w:p w14:paraId="551020A8">
                  <w:pPr>
                    <w:pStyle w:val="35"/>
                    <w:jc w:val="center"/>
                    <w:rPr>
                      <w:color w:val="auto"/>
                      <w:u w:val="none" w:color="auto"/>
                    </w:rPr>
                  </w:pPr>
                  <w:r>
                    <w:rPr>
                      <w:color w:val="auto"/>
                      <w:u w:val="none" w:color="auto"/>
                    </w:rPr>
                    <w:t>投资（万元）</w:t>
                  </w:r>
                </w:p>
              </w:tc>
              <w:tc>
                <w:tcPr>
                  <w:tcW w:w="1684" w:type="dxa"/>
                  <w:vAlign w:val="center"/>
                </w:tcPr>
                <w:p w14:paraId="653B7607">
                  <w:pPr>
                    <w:pStyle w:val="35"/>
                    <w:jc w:val="center"/>
                    <w:rPr>
                      <w:color w:val="auto"/>
                      <w:u w:val="none" w:color="auto"/>
                    </w:rPr>
                  </w:pPr>
                  <w:r>
                    <w:rPr>
                      <w:color w:val="auto"/>
                      <w:u w:val="none" w:color="auto"/>
                    </w:rPr>
                    <w:t>备注</w:t>
                  </w:r>
                </w:p>
              </w:tc>
            </w:tr>
            <w:tr w14:paraId="00817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5" w:type="dxa"/>
                  <w:gridSpan w:val="2"/>
                  <w:vAlign w:val="center"/>
                </w:tcPr>
                <w:p w14:paraId="01F8A44E">
                  <w:pPr>
                    <w:pStyle w:val="35"/>
                    <w:jc w:val="center"/>
                    <w:rPr>
                      <w:rFonts w:hint="eastAsia" w:eastAsia="宋体"/>
                      <w:color w:val="auto"/>
                      <w:u w:val="none" w:color="auto"/>
                      <w:lang w:val="en-US" w:eastAsia="zh-CN"/>
                    </w:rPr>
                  </w:pPr>
                  <w:r>
                    <w:rPr>
                      <w:rFonts w:hint="eastAsia"/>
                      <w:color w:val="auto"/>
                      <w:u w:val="none" w:color="auto"/>
                      <w:lang w:val="en-US" w:eastAsia="zh-CN"/>
                    </w:rPr>
                    <w:t>施工期</w:t>
                  </w:r>
                </w:p>
              </w:tc>
              <w:tc>
                <w:tcPr>
                  <w:tcW w:w="2991" w:type="dxa"/>
                  <w:vAlign w:val="center"/>
                </w:tcPr>
                <w:p w14:paraId="4371CF37">
                  <w:pPr>
                    <w:pStyle w:val="35"/>
                    <w:jc w:val="center"/>
                    <w:rPr>
                      <w:rFonts w:hint="default" w:eastAsia="宋体"/>
                      <w:color w:val="auto"/>
                      <w:u w:val="none" w:color="auto"/>
                      <w:lang w:val="en-US" w:eastAsia="zh-CN"/>
                    </w:rPr>
                  </w:pPr>
                  <w:r>
                    <w:rPr>
                      <w:rFonts w:hint="eastAsia"/>
                      <w:color w:val="auto"/>
                      <w:u w:val="none" w:color="auto"/>
                      <w:lang w:val="en-US" w:eastAsia="zh-CN"/>
                    </w:rPr>
                    <w:t>防尘、建筑垃圾处理</w:t>
                  </w:r>
                </w:p>
              </w:tc>
              <w:tc>
                <w:tcPr>
                  <w:tcW w:w="1416" w:type="dxa"/>
                  <w:vAlign w:val="center"/>
                </w:tcPr>
                <w:p w14:paraId="289CA2B3">
                  <w:pPr>
                    <w:pStyle w:val="35"/>
                    <w:jc w:val="center"/>
                    <w:rPr>
                      <w:rFonts w:hint="default" w:eastAsia="宋体"/>
                      <w:color w:val="auto"/>
                      <w:u w:val="none" w:color="auto"/>
                      <w:lang w:val="en-US" w:eastAsia="zh-CN"/>
                    </w:rPr>
                  </w:pPr>
                  <w:r>
                    <w:rPr>
                      <w:rFonts w:hint="eastAsia"/>
                      <w:color w:val="auto"/>
                      <w:u w:val="none" w:color="auto"/>
                      <w:lang w:val="en-US" w:eastAsia="zh-CN"/>
                    </w:rPr>
                    <w:t>1.0</w:t>
                  </w:r>
                </w:p>
              </w:tc>
              <w:tc>
                <w:tcPr>
                  <w:tcW w:w="1684" w:type="dxa"/>
                  <w:vAlign w:val="center"/>
                </w:tcPr>
                <w:p w14:paraId="148BD652">
                  <w:pPr>
                    <w:pStyle w:val="35"/>
                    <w:jc w:val="center"/>
                    <w:rPr>
                      <w:color w:val="auto"/>
                      <w:u w:val="none" w:color="auto"/>
                    </w:rPr>
                  </w:pPr>
                </w:p>
              </w:tc>
            </w:tr>
            <w:tr w14:paraId="74C684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47" w:type="dxa"/>
                  <w:vMerge w:val="restart"/>
                  <w:vAlign w:val="center"/>
                </w:tcPr>
                <w:p w14:paraId="4A11A2DD">
                  <w:pPr>
                    <w:pStyle w:val="35"/>
                    <w:jc w:val="center"/>
                    <w:rPr>
                      <w:color w:val="auto"/>
                      <w:u w:val="none" w:color="auto"/>
                    </w:rPr>
                  </w:pPr>
                  <w:r>
                    <w:rPr>
                      <w:color w:val="auto"/>
                      <w:u w:val="none" w:color="auto"/>
                    </w:rPr>
                    <w:t>营运期</w:t>
                  </w:r>
                </w:p>
              </w:tc>
              <w:tc>
                <w:tcPr>
                  <w:tcW w:w="1348" w:type="dxa"/>
                  <w:vAlign w:val="center"/>
                </w:tcPr>
                <w:p w14:paraId="20541ABF">
                  <w:pPr>
                    <w:pStyle w:val="35"/>
                    <w:jc w:val="center"/>
                    <w:rPr>
                      <w:rFonts w:hint="default" w:eastAsia="宋体"/>
                      <w:color w:val="auto"/>
                      <w:u w:val="none" w:color="auto"/>
                      <w:lang w:val="en-US" w:eastAsia="zh-CN" w:bidi="ar"/>
                    </w:rPr>
                  </w:pPr>
                  <w:r>
                    <w:rPr>
                      <w:rFonts w:hint="eastAsia"/>
                      <w:color w:val="auto"/>
                      <w:u w:val="none" w:color="auto"/>
                      <w:lang w:val="en-US" w:eastAsia="zh-CN" w:bidi="ar"/>
                    </w:rPr>
                    <w:t>废水</w:t>
                  </w:r>
                </w:p>
              </w:tc>
              <w:tc>
                <w:tcPr>
                  <w:tcW w:w="2991" w:type="dxa"/>
                  <w:vAlign w:val="center"/>
                </w:tcPr>
                <w:p w14:paraId="1EFD51E9">
                  <w:pPr>
                    <w:pStyle w:val="35"/>
                    <w:jc w:val="center"/>
                    <w:rPr>
                      <w:rFonts w:hint="default" w:eastAsia="宋体"/>
                      <w:color w:val="auto"/>
                      <w:u w:val="none" w:color="auto"/>
                      <w:lang w:val="en-US" w:eastAsia="zh-CN" w:bidi="ar"/>
                    </w:rPr>
                  </w:pPr>
                  <w:r>
                    <w:rPr>
                      <w:rFonts w:hint="eastAsia"/>
                      <w:color w:val="auto"/>
                      <w:u w:val="none" w:color="auto"/>
                      <w:lang w:val="en-US" w:eastAsia="zh-CN" w:bidi="ar"/>
                    </w:rPr>
                    <w:t>地埋式污水处理站（格栅+混凝沉淀</w:t>
                  </w:r>
                  <w:r>
                    <w:rPr>
                      <w:rFonts w:hint="eastAsia"/>
                      <w:color w:val="auto"/>
                      <w:u w:val="none" w:color="auto"/>
                      <w:lang w:bidi="ar"/>
                    </w:rPr>
                    <w:t>+A/O生物接触氧化+</w:t>
                  </w:r>
                  <w:r>
                    <w:rPr>
                      <w:rFonts w:hint="eastAsia"/>
                      <w:color w:val="auto"/>
                      <w:u w:val="none" w:color="auto"/>
                      <w:lang w:eastAsia="zh-CN" w:bidi="ar"/>
                    </w:rPr>
                    <w:t>紫外线消毒</w:t>
                  </w:r>
                  <w:r>
                    <w:rPr>
                      <w:rFonts w:hint="eastAsia"/>
                      <w:color w:val="auto"/>
                      <w:u w:val="none" w:color="auto"/>
                      <w:lang w:val="en-US" w:eastAsia="zh-CN" w:bidi="ar"/>
                    </w:rPr>
                    <w:t>）、应急事故池</w:t>
                  </w:r>
                </w:p>
              </w:tc>
              <w:tc>
                <w:tcPr>
                  <w:tcW w:w="1416" w:type="dxa"/>
                  <w:vAlign w:val="center"/>
                </w:tcPr>
                <w:p w14:paraId="39C55BB7">
                  <w:pPr>
                    <w:pStyle w:val="35"/>
                    <w:jc w:val="center"/>
                    <w:rPr>
                      <w:rFonts w:hint="default" w:eastAsia="宋体"/>
                      <w:color w:val="auto"/>
                      <w:u w:val="none" w:color="auto"/>
                      <w:lang w:val="en-US" w:eastAsia="zh-CN" w:bidi="ar"/>
                    </w:rPr>
                  </w:pPr>
                  <w:r>
                    <w:rPr>
                      <w:rFonts w:hint="eastAsia"/>
                      <w:color w:val="auto"/>
                      <w:u w:val="none" w:color="auto"/>
                      <w:lang w:val="en-US" w:eastAsia="zh-CN"/>
                    </w:rPr>
                    <w:t>30</w:t>
                  </w:r>
                </w:p>
              </w:tc>
              <w:tc>
                <w:tcPr>
                  <w:tcW w:w="1684" w:type="dxa"/>
                  <w:vAlign w:val="center"/>
                </w:tcPr>
                <w:p w14:paraId="7A8F23B8">
                  <w:pPr>
                    <w:pStyle w:val="35"/>
                    <w:jc w:val="center"/>
                    <w:rPr>
                      <w:rFonts w:hint="default" w:eastAsia="宋体"/>
                      <w:color w:val="auto"/>
                      <w:u w:val="none" w:color="auto"/>
                      <w:lang w:val="en-US" w:eastAsia="zh-CN"/>
                    </w:rPr>
                  </w:pPr>
                  <w:r>
                    <w:rPr>
                      <w:rFonts w:hint="eastAsia"/>
                      <w:color w:val="auto"/>
                      <w:u w:val="none" w:color="auto"/>
                      <w:lang w:val="en-US" w:eastAsia="zh-CN"/>
                    </w:rPr>
                    <w:t>含管道铺设</w:t>
                  </w:r>
                </w:p>
              </w:tc>
            </w:tr>
            <w:tr w14:paraId="3FF04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47" w:type="dxa"/>
                  <w:vMerge w:val="continue"/>
                  <w:vAlign w:val="center"/>
                </w:tcPr>
                <w:p w14:paraId="6CDB6997">
                  <w:pPr>
                    <w:pStyle w:val="35"/>
                    <w:jc w:val="center"/>
                    <w:rPr>
                      <w:color w:val="auto"/>
                      <w:u w:val="none" w:color="auto"/>
                    </w:rPr>
                  </w:pPr>
                </w:p>
              </w:tc>
              <w:tc>
                <w:tcPr>
                  <w:tcW w:w="1348" w:type="dxa"/>
                  <w:vAlign w:val="center"/>
                </w:tcPr>
                <w:p w14:paraId="621D8CD0">
                  <w:pPr>
                    <w:pStyle w:val="35"/>
                    <w:jc w:val="center"/>
                    <w:rPr>
                      <w:rFonts w:hint="default"/>
                      <w:color w:val="auto"/>
                      <w:u w:val="none" w:color="auto"/>
                      <w:lang w:val="en-US" w:eastAsia="zh-CN" w:bidi="ar"/>
                    </w:rPr>
                  </w:pPr>
                  <w:r>
                    <w:rPr>
                      <w:rFonts w:hint="eastAsia"/>
                      <w:color w:val="auto"/>
                      <w:u w:val="none" w:color="auto"/>
                      <w:lang w:val="en-US" w:eastAsia="zh-CN" w:bidi="ar"/>
                    </w:rPr>
                    <w:t>食堂油烟</w:t>
                  </w:r>
                </w:p>
              </w:tc>
              <w:tc>
                <w:tcPr>
                  <w:tcW w:w="2991" w:type="dxa"/>
                  <w:vAlign w:val="center"/>
                </w:tcPr>
                <w:p w14:paraId="7A191182">
                  <w:pPr>
                    <w:pStyle w:val="35"/>
                    <w:jc w:val="center"/>
                    <w:rPr>
                      <w:rFonts w:hint="default"/>
                      <w:color w:val="auto"/>
                      <w:u w:val="none" w:color="auto"/>
                      <w:lang w:val="en-US" w:eastAsia="zh-CN" w:bidi="ar"/>
                    </w:rPr>
                  </w:pPr>
                  <w:r>
                    <w:rPr>
                      <w:rFonts w:hint="eastAsia"/>
                      <w:color w:val="auto"/>
                      <w:u w:val="none" w:color="auto"/>
                      <w:lang w:val="en-US" w:eastAsia="zh-CN" w:bidi="ar"/>
                    </w:rPr>
                    <w:t>油烟净化器</w:t>
                  </w:r>
                </w:p>
              </w:tc>
              <w:tc>
                <w:tcPr>
                  <w:tcW w:w="1416" w:type="dxa"/>
                  <w:vAlign w:val="center"/>
                </w:tcPr>
                <w:p w14:paraId="29A29154">
                  <w:pPr>
                    <w:pStyle w:val="35"/>
                    <w:jc w:val="center"/>
                    <w:rPr>
                      <w:rFonts w:hint="default"/>
                      <w:color w:val="auto"/>
                      <w:u w:val="none" w:color="auto"/>
                      <w:lang w:val="en-US" w:eastAsia="zh-CN"/>
                    </w:rPr>
                  </w:pPr>
                  <w:r>
                    <w:rPr>
                      <w:rFonts w:hint="eastAsia"/>
                      <w:color w:val="auto"/>
                      <w:u w:val="none" w:color="auto"/>
                      <w:lang w:val="en-US" w:eastAsia="zh-CN"/>
                    </w:rPr>
                    <w:t>1.0</w:t>
                  </w:r>
                </w:p>
              </w:tc>
              <w:tc>
                <w:tcPr>
                  <w:tcW w:w="1684" w:type="dxa"/>
                  <w:vAlign w:val="center"/>
                </w:tcPr>
                <w:p w14:paraId="49DB851B">
                  <w:pPr>
                    <w:pStyle w:val="35"/>
                    <w:jc w:val="center"/>
                    <w:rPr>
                      <w:rFonts w:hint="eastAsia"/>
                      <w:color w:val="auto"/>
                      <w:u w:val="none" w:color="auto"/>
                      <w:lang w:val="en-US" w:eastAsia="zh-CN"/>
                    </w:rPr>
                  </w:pPr>
                </w:p>
              </w:tc>
            </w:tr>
            <w:tr w14:paraId="546080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47" w:type="dxa"/>
                  <w:vMerge w:val="continue"/>
                  <w:vAlign w:val="center"/>
                </w:tcPr>
                <w:p w14:paraId="6EBAAD2D">
                  <w:pPr>
                    <w:pStyle w:val="35"/>
                    <w:jc w:val="center"/>
                    <w:rPr>
                      <w:color w:val="auto"/>
                      <w:u w:val="none" w:color="auto"/>
                    </w:rPr>
                  </w:pPr>
                </w:p>
              </w:tc>
              <w:tc>
                <w:tcPr>
                  <w:tcW w:w="1348" w:type="dxa"/>
                  <w:vAlign w:val="center"/>
                </w:tcPr>
                <w:p w14:paraId="553D7D82">
                  <w:pPr>
                    <w:pStyle w:val="35"/>
                    <w:jc w:val="center"/>
                    <w:rPr>
                      <w:color w:val="auto"/>
                      <w:u w:val="none" w:color="auto"/>
                      <w:lang w:bidi="ar"/>
                    </w:rPr>
                  </w:pPr>
                  <w:r>
                    <w:rPr>
                      <w:color w:val="auto"/>
                      <w:u w:val="none" w:color="auto"/>
                      <w:lang w:bidi="ar"/>
                    </w:rPr>
                    <w:t>噪声</w:t>
                  </w:r>
                </w:p>
              </w:tc>
              <w:tc>
                <w:tcPr>
                  <w:tcW w:w="2991" w:type="dxa"/>
                  <w:vAlign w:val="center"/>
                </w:tcPr>
                <w:p w14:paraId="5BE0ACE1">
                  <w:pPr>
                    <w:pStyle w:val="35"/>
                    <w:jc w:val="center"/>
                    <w:rPr>
                      <w:rFonts w:hint="default"/>
                      <w:color w:val="auto"/>
                      <w:u w:val="none" w:color="auto"/>
                      <w:lang w:val="en-US" w:bidi="ar"/>
                    </w:rPr>
                  </w:pPr>
                  <w:r>
                    <w:rPr>
                      <w:color w:val="auto"/>
                      <w:u w:val="none" w:color="auto"/>
                      <w:lang w:bidi="ar"/>
                    </w:rPr>
                    <w:t>选用低噪声设备、减振垫</w:t>
                  </w:r>
                  <w:r>
                    <w:rPr>
                      <w:rFonts w:hint="eastAsia"/>
                      <w:color w:val="auto"/>
                      <w:u w:val="none" w:color="auto"/>
                      <w:lang w:val="en-US" w:eastAsia="zh-CN" w:bidi="ar"/>
                    </w:rPr>
                    <w:t>、密封条</w:t>
                  </w:r>
                </w:p>
              </w:tc>
              <w:tc>
                <w:tcPr>
                  <w:tcW w:w="1416" w:type="dxa"/>
                  <w:vAlign w:val="center"/>
                </w:tcPr>
                <w:p w14:paraId="0D852979">
                  <w:pPr>
                    <w:pStyle w:val="35"/>
                    <w:jc w:val="center"/>
                    <w:rPr>
                      <w:rFonts w:hint="default" w:eastAsia="宋体"/>
                      <w:color w:val="auto"/>
                      <w:u w:val="none" w:color="auto"/>
                      <w:lang w:val="en-US" w:eastAsia="zh-CN" w:bidi="ar"/>
                    </w:rPr>
                  </w:pPr>
                  <w:r>
                    <w:rPr>
                      <w:rFonts w:hint="eastAsia"/>
                      <w:color w:val="auto"/>
                      <w:u w:val="none" w:color="auto"/>
                      <w:lang w:val="en-US" w:eastAsia="zh-CN" w:bidi="ar"/>
                    </w:rPr>
                    <w:t>3.0</w:t>
                  </w:r>
                </w:p>
              </w:tc>
              <w:tc>
                <w:tcPr>
                  <w:tcW w:w="1684" w:type="dxa"/>
                  <w:vAlign w:val="center"/>
                </w:tcPr>
                <w:p w14:paraId="6D33B3E0">
                  <w:pPr>
                    <w:pStyle w:val="35"/>
                    <w:jc w:val="center"/>
                    <w:rPr>
                      <w:color w:val="auto"/>
                      <w:u w:val="none" w:color="auto"/>
                      <w:lang w:bidi="ar"/>
                    </w:rPr>
                  </w:pPr>
                  <w:r>
                    <w:rPr>
                      <w:color w:val="auto"/>
                      <w:u w:val="none" w:color="auto"/>
                      <w:lang w:bidi="ar"/>
                    </w:rPr>
                    <w:t>/</w:t>
                  </w:r>
                </w:p>
              </w:tc>
            </w:tr>
            <w:tr w14:paraId="4F371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1347" w:type="dxa"/>
                  <w:vMerge w:val="continue"/>
                  <w:vAlign w:val="center"/>
                </w:tcPr>
                <w:p w14:paraId="413EB478">
                  <w:pPr>
                    <w:pStyle w:val="35"/>
                    <w:jc w:val="center"/>
                    <w:rPr>
                      <w:color w:val="auto"/>
                      <w:u w:val="none" w:color="auto"/>
                    </w:rPr>
                  </w:pPr>
                </w:p>
              </w:tc>
              <w:tc>
                <w:tcPr>
                  <w:tcW w:w="1348" w:type="dxa"/>
                  <w:vMerge w:val="restart"/>
                  <w:vAlign w:val="center"/>
                </w:tcPr>
                <w:p w14:paraId="66DDD7C5">
                  <w:pPr>
                    <w:pStyle w:val="35"/>
                    <w:jc w:val="center"/>
                    <w:rPr>
                      <w:color w:val="auto"/>
                      <w:u w:val="none" w:color="auto"/>
                      <w:lang w:bidi="ar"/>
                    </w:rPr>
                  </w:pPr>
                  <w:r>
                    <w:rPr>
                      <w:rFonts w:hint="eastAsia"/>
                      <w:color w:val="auto"/>
                      <w:u w:val="none" w:color="auto"/>
                      <w:lang w:val="en-US" w:eastAsia="zh-CN" w:bidi="ar"/>
                    </w:rPr>
                    <w:t>固体废物</w:t>
                  </w:r>
                  <w:r>
                    <w:rPr>
                      <w:color w:val="auto"/>
                      <w:u w:val="none" w:color="auto"/>
                      <w:lang w:bidi="ar"/>
                    </w:rPr>
                    <w:t>处理</w:t>
                  </w:r>
                </w:p>
              </w:tc>
              <w:tc>
                <w:tcPr>
                  <w:tcW w:w="2991" w:type="dxa"/>
                  <w:vAlign w:val="center"/>
                </w:tcPr>
                <w:p w14:paraId="0C219AB8">
                  <w:pPr>
                    <w:pStyle w:val="35"/>
                    <w:jc w:val="center"/>
                    <w:rPr>
                      <w:rFonts w:hint="default" w:eastAsia="宋体"/>
                      <w:color w:val="auto"/>
                      <w:u w:val="none" w:color="auto"/>
                      <w:lang w:val="en-US" w:eastAsia="zh-CN" w:bidi="ar"/>
                    </w:rPr>
                  </w:pPr>
                  <w:r>
                    <w:rPr>
                      <w:rFonts w:hint="eastAsia"/>
                      <w:color w:val="auto"/>
                      <w:u w:val="none" w:color="auto"/>
                      <w:lang w:val="en-US" w:eastAsia="zh-CN" w:bidi="ar"/>
                    </w:rPr>
                    <w:t>医疗废物</w:t>
                  </w:r>
                  <w:r>
                    <w:rPr>
                      <w:color w:val="auto"/>
                      <w:u w:val="none" w:color="auto"/>
                      <w:lang w:bidi="ar"/>
                    </w:rPr>
                    <w:t>暂存间</w:t>
                  </w:r>
                  <w:r>
                    <w:rPr>
                      <w:rFonts w:hint="eastAsia"/>
                      <w:color w:val="auto"/>
                      <w:u w:val="none" w:color="auto"/>
                      <w:lang w:eastAsia="zh-CN"/>
                    </w:rPr>
                    <w:t>、</w:t>
                  </w:r>
                  <w:r>
                    <w:rPr>
                      <w:rFonts w:hint="eastAsia"/>
                      <w:color w:val="auto"/>
                      <w:u w:val="none" w:color="auto"/>
                      <w:lang w:val="en-US" w:eastAsia="zh-CN"/>
                    </w:rPr>
                    <w:t>危险废物暂存间</w:t>
                  </w:r>
                </w:p>
              </w:tc>
              <w:tc>
                <w:tcPr>
                  <w:tcW w:w="1416" w:type="dxa"/>
                  <w:vAlign w:val="center"/>
                </w:tcPr>
                <w:p w14:paraId="21D5681C">
                  <w:pPr>
                    <w:pStyle w:val="35"/>
                    <w:jc w:val="center"/>
                    <w:rPr>
                      <w:rFonts w:hint="default" w:eastAsia="宋体"/>
                      <w:color w:val="auto"/>
                      <w:u w:val="none" w:color="auto"/>
                      <w:lang w:val="en-US" w:eastAsia="zh-CN" w:bidi="ar"/>
                    </w:rPr>
                  </w:pPr>
                  <w:r>
                    <w:rPr>
                      <w:rFonts w:hint="eastAsia"/>
                      <w:color w:val="auto"/>
                      <w:u w:val="none" w:color="auto"/>
                      <w:lang w:val="en-US" w:eastAsia="zh-CN" w:bidi="ar"/>
                    </w:rPr>
                    <w:t>8.0</w:t>
                  </w:r>
                </w:p>
              </w:tc>
              <w:tc>
                <w:tcPr>
                  <w:tcW w:w="1684" w:type="dxa"/>
                  <w:vAlign w:val="center"/>
                </w:tcPr>
                <w:p w14:paraId="314DE7B2">
                  <w:pPr>
                    <w:pStyle w:val="35"/>
                    <w:jc w:val="center"/>
                    <w:rPr>
                      <w:color w:val="auto"/>
                      <w:u w:val="none" w:color="auto"/>
                      <w:lang w:bidi="ar"/>
                    </w:rPr>
                  </w:pPr>
                  <w:r>
                    <w:rPr>
                      <w:color w:val="auto"/>
                      <w:u w:val="none" w:color="auto"/>
                      <w:lang w:bidi="ar"/>
                    </w:rPr>
                    <w:t>/</w:t>
                  </w:r>
                </w:p>
              </w:tc>
            </w:tr>
            <w:tr w14:paraId="352C7C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47" w:type="dxa"/>
                  <w:vMerge w:val="continue"/>
                  <w:vAlign w:val="center"/>
                </w:tcPr>
                <w:p w14:paraId="4B3F4D31">
                  <w:pPr>
                    <w:pStyle w:val="35"/>
                    <w:jc w:val="center"/>
                    <w:rPr>
                      <w:color w:val="auto"/>
                      <w:u w:val="none" w:color="auto"/>
                    </w:rPr>
                  </w:pPr>
                </w:p>
              </w:tc>
              <w:tc>
                <w:tcPr>
                  <w:tcW w:w="1348" w:type="dxa"/>
                  <w:vMerge w:val="continue"/>
                  <w:vAlign w:val="center"/>
                </w:tcPr>
                <w:p w14:paraId="52B1CBCC">
                  <w:pPr>
                    <w:pStyle w:val="35"/>
                    <w:jc w:val="center"/>
                    <w:rPr>
                      <w:color w:val="auto"/>
                      <w:u w:val="none" w:color="auto"/>
                      <w:lang w:bidi="ar"/>
                    </w:rPr>
                  </w:pPr>
                </w:p>
              </w:tc>
              <w:tc>
                <w:tcPr>
                  <w:tcW w:w="2991" w:type="dxa"/>
                  <w:vAlign w:val="center"/>
                </w:tcPr>
                <w:p w14:paraId="7E4FC794">
                  <w:pPr>
                    <w:pStyle w:val="35"/>
                    <w:jc w:val="center"/>
                    <w:rPr>
                      <w:color w:val="auto"/>
                      <w:u w:val="none" w:color="auto"/>
                      <w:lang w:bidi="ar"/>
                    </w:rPr>
                  </w:pPr>
                  <w:r>
                    <w:rPr>
                      <w:color w:val="auto"/>
                      <w:u w:val="none" w:color="auto"/>
                      <w:lang w:bidi="ar"/>
                    </w:rPr>
                    <w:t>垃圾桶</w:t>
                  </w:r>
                </w:p>
              </w:tc>
              <w:tc>
                <w:tcPr>
                  <w:tcW w:w="1416" w:type="dxa"/>
                  <w:vAlign w:val="center"/>
                </w:tcPr>
                <w:p w14:paraId="65062348">
                  <w:pPr>
                    <w:pStyle w:val="35"/>
                    <w:jc w:val="center"/>
                    <w:rPr>
                      <w:rFonts w:hint="default" w:eastAsia="宋体"/>
                      <w:color w:val="auto"/>
                      <w:u w:val="none" w:color="auto"/>
                      <w:lang w:val="en-US" w:eastAsia="zh-CN" w:bidi="ar"/>
                    </w:rPr>
                  </w:pPr>
                  <w:r>
                    <w:rPr>
                      <w:rFonts w:hint="eastAsia"/>
                      <w:color w:val="auto"/>
                      <w:u w:val="none" w:color="auto"/>
                      <w:lang w:val="en-US" w:eastAsia="zh-CN" w:bidi="ar"/>
                    </w:rPr>
                    <w:t>0.2</w:t>
                  </w:r>
                </w:p>
              </w:tc>
              <w:tc>
                <w:tcPr>
                  <w:tcW w:w="1684" w:type="dxa"/>
                  <w:vAlign w:val="center"/>
                </w:tcPr>
                <w:p w14:paraId="1C4D68BA">
                  <w:pPr>
                    <w:pStyle w:val="35"/>
                    <w:jc w:val="center"/>
                    <w:rPr>
                      <w:color w:val="auto"/>
                      <w:u w:val="none" w:color="auto"/>
                      <w:lang w:bidi="ar"/>
                    </w:rPr>
                  </w:pPr>
                  <w:r>
                    <w:rPr>
                      <w:color w:val="auto"/>
                      <w:u w:val="none" w:color="auto"/>
                      <w:lang w:bidi="ar"/>
                    </w:rPr>
                    <w:t>/</w:t>
                  </w:r>
                </w:p>
              </w:tc>
            </w:tr>
            <w:tr w14:paraId="4A9E0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686" w:type="dxa"/>
                  <w:gridSpan w:val="3"/>
                  <w:vAlign w:val="center"/>
                </w:tcPr>
                <w:p w14:paraId="0ED8ED61">
                  <w:pPr>
                    <w:pStyle w:val="35"/>
                    <w:jc w:val="center"/>
                    <w:rPr>
                      <w:color w:val="auto"/>
                      <w:u w:val="none" w:color="auto"/>
                      <w:lang w:bidi="ar"/>
                    </w:rPr>
                  </w:pPr>
                  <w:r>
                    <w:rPr>
                      <w:color w:val="auto"/>
                      <w:u w:val="none" w:color="auto"/>
                      <w:lang w:bidi="ar"/>
                    </w:rPr>
                    <w:t>合计</w:t>
                  </w:r>
                </w:p>
              </w:tc>
              <w:tc>
                <w:tcPr>
                  <w:tcW w:w="1416" w:type="dxa"/>
                  <w:vAlign w:val="center"/>
                </w:tcPr>
                <w:p w14:paraId="61519165">
                  <w:pPr>
                    <w:pStyle w:val="35"/>
                    <w:jc w:val="center"/>
                    <w:rPr>
                      <w:rFonts w:hint="default" w:eastAsia="宋体"/>
                      <w:color w:val="auto"/>
                      <w:u w:val="none" w:color="auto"/>
                      <w:lang w:val="en-US" w:eastAsia="zh-CN"/>
                    </w:rPr>
                  </w:pPr>
                  <w:r>
                    <w:rPr>
                      <w:rFonts w:hint="eastAsia"/>
                      <w:color w:val="auto"/>
                      <w:u w:val="none" w:color="auto"/>
                      <w:lang w:val="en-US" w:eastAsia="zh-CN"/>
                    </w:rPr>
                    <w:t>43.2</w:t>
                  </w:r>
                </w:p>
              </w:tc>
              <w:tc>
                <w:tcPr>
                  <w:tcW w:w="1684" w:type="dxa"/>
                  <w:vAlign w:val="center"/>
                </w:tcPr>
                <w:p w14:paraId="6225C1CB">
                  <w:pPr>
                    <w:pStyle w:val="35"/>
                    <w:jc w:val="center"/>
                    <w:rPr>
                      <w:color w:val="auto"/>
                      <w:u w:val="none" w:color="auto"/>
                    </w:rPr>
                  </w:pPr>
                  <w:r>
                    <w:rPr>
                      <w:color w:val="auto"/>
                      <w:u w:val="none" w:color="auto"/>
                    </w:rPr>
                    <w:t>/</w:t>
                  </w:r>
                </w:p>
              </w:tc>
            </w:tr>
          </w:tbl>
          <w:p w14:paraId="4C97BE28">
            <w:pPr>
              <w:ind w:firstLine="480"/>
              <w:rPr>
                <w:rFonts w:hint="eastAsia"/>
                <w:color w:val="auto"/>
                <w:u w:val="none" w:color="auto"/>
                <w:lang w:val="en-US" w:eastAsia="zh-CN"/>
              </w:rPr>
            </w:pPr>
          </w:p>
          <w:p w14:paraId="46ED5FEF">
            <w:pPr>
              <w:ind w:left="480" w:firstLine="0" w:firstLineChars="0"/>
              <w:rPr>
                <w:color w:val="auto"/>
                <w:u w:val="none" w:color="auto"/>
              </w:rPr>
            </w:pPr>
          </w:p>
        </w:tc>
      </w:tr>
    </w:tbl>
    <w:p w14:paraId="400F5238">
      <w:pPr>
        <w:adjustRightInd w:val="0"/>
        <w:snapToGrid w:val="0"/>
        <w:ind w:firstLine="562"/>
        <w:rPr>
          <w:b/>
          <w:color w:val="auto"/>
          <w:kern w:val="0"/>
          <w:sz w:val="28"/>
          <w:szCs w:val="28"/>
          <w:u w:val="none" w:color="auto"/>
        </w:rPr>
        <w:sectPr>
          <w:pgSz w:w="11907" w:h="16840"/>
          <w:pgMar w:top="1531" w:right="1531" w:bottom="1531" w:left="1531" w:header="851" w:footer="851" w:gutter="0"/>
          <w:pgBorders>
            <w:top w:val="none" w:sz="0" w:space="0"/>
            <w:left w:val="none" w:sz="0" w:space="0"/>
            <w:bottom w:val="none" w:sz="0" w:space="0"/>
            <w:right w:val="none" w:sz="0" w:space="0"/>
          </w:pgBorders>
          <w:cols w:space="720" w:num="1"/>
          <w:docGrid w:linePitch="326" w:charSpace="0"/>
        </w:sectPr>
      </w:pPr>
    </w:p>
    <w:p w14:paraId="46343E32">
      <w:pPr>
        <w:pStyle w:val="19"/>
        <w:ind w:firstLine="600"/>
        <w:jc w:val="center"/>
        <w:outlineLvl w:val="0"/>
        <w:rPr>
          <w:rFonts w:ascii="Times New Roman" w:hAnsi="Times New Roman" w:eastAsia="黑体"/>
          <w:snapToGrid w:val="0"/>
          <w:color w:val="auto"/>
          <w:sz w:val="30"/>
          <w:szCs w:val="30"/>
          <w:u w:val="none" w:color="auto"/>
        </w:rPr>
      </w:pPr>
      <w:bookmarkStart w:id="27" w:name="_Toc128130732"/>
      <w:r>
        <w:rPr>
          <w:rFonts w:ascii="Times New Roman" w:hAnsi="Times New Roman" w:eastAsia="黑体"/>
          <w:snapToGrid w:val="0"/>
          <w:color w:val="auto"/>
          <w:sz w:val="30"/>
          <w:szCs w:val="30"/>
          <w:u w:val="none" w:color="auto"/>
        </w:rPr>
        <w:t>五、</w:t>
      </w:r>
      <w:bookmarkStart w:id="28" w:name="_Hlk54167917"/>
      <w:r>
        <w:rPr>
          <w:rFonts w:ascii="Times New Roman" w:hAnsi="Times New Roman" w:eastAsia="黑体"/>
          <w:snapToGrid w:val="0"/>
          <w:color w:val="auto"/>
          <w:sz w:val="30"/>
          <w:szCs w:val="30"/>
          <w:u w:val="none" w:color="auto"/>
        </w:rPr>
        <w:t>环境保护措施监督检查清单</w:t>
      </w:r>
      <w:bookmarkEnd w:id="27"/>
      <w:bookmarkEnd w:id="28"/>
    </w:p>
    <w:tbl>
      <w:tblPr>
        <w:tblStyle w:val="22"/>
        <w:tblW w:w="98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313"/>
        <w:gridCol w:w="1695"/>
        <w:gridCol w:w="3090"/>
        <w:gridCol w:w="2777"/>
      </w:tblGrid>
      <w:tr w14:paraId="705EDB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08" w:type="dxa"/>
            <w:tcBorders>
              <w:tl2br w:val="single" w:color="auto" w:sz="4" w:space="0"/>
            </w:tcBorders>
          </w:tcPr>
          <w:p w14:paraId="6D1378D6">
            <w:pPr>
              <w:adjustRightInd w:val="0"/>
              <w:snapToGrid w:val="0"/>
              <w:ind w:firstLine="0" w:firstLineChars="0"/>
              <w:jc w:val="right"/>
              <w:rPr>
                <w:color w:val="auto"/>
                <w:sz w:val="21"/>
                <w:szCs w:val="21"/>
                <w:u w:val="none" w:color="auto"/>
              </w:rPr>
            </w:pPr>
            <w:r>
              <w:rPr>
                <w:color w:val="auto"/>
                <w:sz w:val="21"/>
                <w:szCs w:val="21"/>
                <w:u w:val="none" w:color="auto"/>
              </w:rPr>
              <w:t>内容</w:t>
            </w:r>
          </w:p>
          <w:p w14:paraId="43139ABA">
            <w:pPr>
              <w:adjustRightInd w:val="0"/>
              <w:snapToGrid w:val="0"/>
              <w:ind w:firstLine="0" w:firstLineChars="0"/>
              <w:rPr>
                <w:color w:val="auto"/>
                <w:sz w:val="21"/>
                <w:szCs w:val="21"/>
                <w:u w:val="none" w:color="auto"/>
              </w:rPr>
            </w:pPr>
            <w:r>
              <w:rPr>
                <w:color w:val="auto"/>
                <w:sz w:val="21"/>
                <w:szCs w:val="21"/>
                <w:u w:val="none" w:color="auto"/>
              </w:rPr>
              <w:t>要素</w:t>
            </w:r>
          </w:p>
        </w:tc>
        <w:tc>
          <w:tcPr>
            <w:tcW w:w="1313" w:type="dxa"/>
            <w:vAlign w:val="center"/>
          </w:tcPr>
          <w:p w14:paraId="30CF3DE6">
            <w:pPr>
              <w:adjustRightInd w:val="0"/>
              <w:snapToGrid w:val="0"/>
              <w:ind w:firstLine="0" w:firstLineChars="0"/>
              <w:jc w:val="center"/>
              <w:rPr>
                <w:color w:val="auto"/>
                <w:sz w:val="21"/>
                <w:szCs w:val="21"/>
                <w:u w:val="none" w:color="auto"/>
              </w:rPr>
            </w:pPr>
            <w:r>
              <w:rPr>
                <w:color w:val="auto"/>
                <w:sz w:val="21"/>
                <w:szCs w:val="21"/>
                <w:u w:val="none" w:color="auto"/>
              </w:rPr>
              <w:t>排放口</w:t>
            </w:r>
            <w:r>
              <w:rPr>
                <w:rFonts w:hint="eastAsia"/>
                <w:color w:val="auto"/>
                <w:sz w:val="21"/>
                <w:szCs w:val="21"/>
                <w:u w:val="none" w:color="auto"/>
                <w:lang w:eastAsia="zh-CN"/>
              </w:rPr>
              <w:t>（</w:t>
            </w:r>
            <w:r>
              <w:rPr>
                <w:color w:val="auto"/>
                <w:sz w:val="21"/>
                <w:szCs w:val="21"/>
                <w:u w:val="none" w:color="auto"/>
              </w:rPr>
              <w:t>编号、名称</w:t>
            </w:r>
            <w:r>
              <w:rPr>
                <w:rFonts w:hint="eastAsia"/>
                <w:color w:val="auto"/>
                <w:sz w:val="21"/>
                <w:szCs w:val="21"/>
                <w:u w:val="none" w:color="auto"/>
                <w:lang w:eastAsia="zh-CN"/>
              </w:rPr>
              <w:t>）</w:t>
            </w:r>
            <w:r>
              <w:rPr>
                <w:color w:val="auto"/>
                <w:sz w:val="21"/>
                <w:szCs w:val="21"/>
                <w:u w:val="none" w:color="auto"/>
              </w:rPr>
              <w:t>/污染源</w:t>
            </w:r>
          </w:p>
        </w:tc>
        <w:tc>
          <w:tcPr>
            <w:tcW w:w="1695" w:type="dxa"/>
            <w:vAlign w:val="center"/>
          </w:tcPr>
          <w:p w14:paraId="7246C0EB">
            <w:pPr>
              <w:adjustRightInd w:val="0"/>
              <w:snapToGrid w:val="0"/>
              <w:ind w:firstLine="0" w:firstLineChars="0"/>
              <w:jc w:val="center"/>
              <w:rPr>
                <w:color w:val="auto"/>
                <w:sz w:val="21"/>
                <w:szCs w:val="21"/>
                <w:u w:val="none" w:color="auto"/>
              </w:rPr>
            </w:pPr>
            <w:r>
              <w:rPr>
                <w:color w:val="auto"/>
                <w:sz w:val="21"/>
                <w:szCs w:val="21"/>
                <w:u w:val="none" w:color="auto"/>
              </w:rPr>
              <w:t>污染物项目</w:t>
            </w:r>
          </w:p>
        </w:tc>
        <w:tc>
          <w:tcPr>
            <w:tcW w:w="3090" w:type="dxa"/>
            <w:vAlign w:val="center"/>
          </w:tcPr>
          <w:p w14:paraId="718C3D46">
            <w:pPr>
              <w:adjustRightInd w:val="0"/>
              <w:snapToGrid w:val="0"/>
              <w:ind w:firstLine="0" w:firstLineChars="0"/>
              <w:jc w:val="center"/>
              <w:rPr>
                <w:color w:val="auto"/>
                <w:sz w:val="21"/>
                <w:szCs w:val="21"/>
                <w:u w:val="none" w:color="auto"/>
              </w:rPr>
            </w:pPr>
            <w:r>
              <w:rPr>
                <w:color w:val="auto"/>
                <w:sz w:val="21"/>
                <w:szCs w:val="21"/>
                <w:u w:val="none" w:color="auto"/>
              </w:rPr>
              <w:t>环境保护措施</w:t>
            </w:r>
          </w:p>
        </w:tc>
        <w:tc>
          <w:tcPr>
            <w:tcW w:w="2777" w:type="dxa"/>
            <w:vAlign w:val="center"/>
          </w:tcPr>
          <w:p w14:paraId="1FAA28DD">
            <w:pPr>
              <w:adjustRightInd w:val="0"/>
              <w:snapToGrid w:val="0"/>
              <w:ind w:firstLine="0" w:firstLineChars="0"/>
              <w:jc w:val="center"/>
              <w:rPr>
                <w:color w:val="auto"/>
                <w:sz w:val="21"/>
                <w:szCs w:val="21"/>
                <w:u w:val="none" w:color="auto"/>
              </w:rPr>
            </w:pPr>
            <w:r>
              <w:rPr>
                <w:color w:val="auto"/>
                <w:sz w:val="21"/>
                <w:szCs w:val="21"/>
                <w:u w:val="none" w:color="auto"/>
              </w:rPr>
              <w:t>执行标准</w:t>
            </w:r>
          </w:p>
        </w:tc>
      </w:tr>
      <w:tr w14:paraId="70A3FE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008" w:type="dxa"/>
            <w:vMerge w:val="restart"/>
            <w:vAlign w:val="center"/>
          </w:tcPr>
          <w:p w14:paraId="13357136">
            <w:pPr>
              <w:adjustRightInd w:val="0"/>
              <w:snapToGrid w:val="0"/>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大气环境</w:t>
            </w:r>
          </w:p>
        </w:tc>
        <w:tc>
          <w:tcPr>
            <w:tcW w:w="1313" w:type="dxa"/>
            <w:vAlign w:val="center"/>
          </w:tcPr>
          <w:p w14:paraId="636A6B3D">
            <w:pPr>
              <w:adjustRightInd w:val="0"/>
              <w:snapToGrid w:val="0"/>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污水处理站臭气</w:t>
            </w:r>
          </w:p>
        </w:tc>
        <w:tc>
          <w:tcPr>
            <w:tcW w:w="1695" w:type="dxa"/>
            <w:vAlign w:val="center"/>
          </w:tcPr>
          <w:p w14:paraId="46518DDA">
            <w:pPr>
              <w:adjustRightInd w:val="0"/>
              <w:snapToGrid w:val="0"/>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氨、硫化氢、臭气浓度</w:t>
            </w:r>
            <w:r>
              <w:rPr>
                <w:rFonts w:hint="eastAsia" w:cs="Times New Roman"/>
                <w:color w:val="auto"/>
                <w:sz w:val="21"/>
                <w:szCs w:val="21"/>
                <w:u w:val="none" w:color="auto"/>
                <w:lang w:val="en-US" w:eastAsia="zh-CN"/>
              </w:rPr>
              <w:t>、甲烷</w:t>
            </w:r>
          </w:p>
        </w:tc>
        <w:tc>
          <w:tcPr>
            <w:tcW w:w="3090" w:type="dxa"/>
            <w:vAlign w:val="center"/>
          </w:tcPr>
          <w:p w14:paraId="21C0942D">
            <w:pPr>
              <w:adjustRightInd w:val="0"/>
              <w:snapToGrid w:val="0"/>
              <w:ind w:firstLine="0" w:firstLineChars="0"/>
              <w:jc w:val="center"/>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val="en-US" w:eastAsia="zh-CN"/>
              </w:rPr>
              <w:t>配套地埋式污水处理站</w:t>
            </w:r>
            <w:r>
              <w:rPr>
                <w:rFonts w:hint="default" w:ascii="Times New Roman" w:hAnsi="Times New Roman" w:eastAsia="宋体" w:cs="Times New Roman"/>
                <w:color w:val="auto"/>
                <w:sz w:val="21"/>
                <w:szCs w:val="21"/>
                <w:u w:val="none" w:color="auto"/>
              </w:rPr>
              <w:t>，定期喷洒除臭剂</w:t>
            </w:r>
            <w:r>
              <w:rPr>
                <w:rFonts w:hint="eastAsia" w:cs="Times New Roman"/>
                <w:color w:val="auto"/>
                <w:sz w:val="21"/>
                <w:szCs w:val="21"/>
                <w:u w:val="none" w:color="auto"/>
                <w:lang w:eastAsia="zh-CN"/>
              </w:rPr>
              <w:t>。</w:t>
            </w:r>
          </w:p>
        </w:tc>
        <w:tc>
          <w:tcPr>
            <w:tcW w:w="2777" w:type="dxa"/>
            <w:vAlign w:val="center"/>
          </w:tcPr>
          <w:p w14:paraId="456066D9">
            <w:pPr>
              <w:adjustRightInd w:val="0"/>
              <w:snapToGrid w:val="0"/>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《医疗机构水污染物排放标准》（GB18466-2005）</w:t>
            </w:r>
            <w:r>
              <w:rPr>
                <w:rFonts w:hint="eastAsia" w:cs="Times New Roman"/>
                <w:color w:val="auto"/>
                <w:sz w:val="21"/>
                <w:szCs w:val="21"/>
                <w:u w:val="none" w:color="auto"/>
                <w:lang w:val="en-US" w:eastAsia="zh-CN"/>
              </w:rPr>
              <w:t>表3标准</w:t>
            </w:r>
          </w:p>
        </w:tc>
      </w:tr>
      <w:tr w14:paraId="24821C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08" w:type="dxa"/>
            <w:vMerge w:val="continue"/>
            <w:vAlign w:val="center"/>
          </w:tcPr>
          <w:p w14:paraId="64E510F1">
            <w:pPr>
              <w:adjustRightInd w:val="0"/>
              <w:snapToGrid w:val="0"/>
              <w:ind w:firstLine="0" w:firstLineChars="0"/>
              <w:jc w:val="center"/>
              <w:rPr>
                <w:rFonts w:hint="default" w:ascii="Times New Roman" w:hAnsi="Times New Roman" w:eastAsia="宋体" w:cs="Times New Roman"/>
                <w:color w:val="auto"/>
                <w:sz w:val="21"/>
                <w:szCs w:val="21"/>
                <w:u w:val="none" w:color="auto"/>
              </w:rPr>
            </w:pPr>
          </w:p>
        </w:tc>
        <w:tc>
          <w:tcPr>
            <w:tcW w:w="1313" w:type="dxa"/>
            <w:vAlign w:val="center"/>
          </w:tcPr>
          <w:p w14:paraId="5928B702">
            <w:pPr>
              <w:adjustRightInd w:val="0"/>
              <w:snapToGrid w:val="0"/>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医疗废物暂</w:t>
            </w:r>
          </w:p>
          <w:p w14:paraId="40958300">
            <w:pPr>
              <w:adjustRightInd w:val="0"/>
              <w:snapToGrid w:val="0"/>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存间</w:t>
            </w:r>
            <w:r>
              <w:rPr>
                <w:rFonts w:hint="default" w:ascii="Times New Roman" w:hAnsi="Times New Roman" w:eastAsia="宋体" w:cs="Times New Roman"/>
                <w:color w:val="auto"/>
                <w:sz w:val="21"/>
                <w:szCs w:val="21"/>
                <w:u w:val="none" w:color="auto"/>
                <w:lang w:eastAsia="zh-CN"/>
              </w:rPr>
              <w:t>、</w:t>
            </w:r>
            <w:r>
              <w:rPr>
                <w:rFonts w:hint="eastAsia" w:cs="Times New Roman"/>
                <w:color w:val="auto"/>
                <w:sz w:val="21"/>
                <w:szCs w:val="21"/>
                <w:u w:val="none" w:color="auto"/>
                <w:lang w:val="en-US" w:eastAsia="zh-CN"/>
              </w:rPr>
              <w:t>危险废物暂存间、</w:t>
            </w:r>
            <w:r>
              <w:rPr>
                <w:rFonts w:hint="default" w:ascii="Times New Roman" w:hAnsi="Times New Roman" w:eastAsia="宋体" w:cs="Times New Roman"/>
                <w:color w:val="auto"/>
                <w:sz w:val="21"/>
                <w:szCs w:val="21"/>
                <w:u w:val="none" w:color="auto"/>
                <w:lang w:val="en-US" w:eastAsia="zh-CN"/>
              </w:rPr>
              <w:t>垃圾收集点臭气</w:t>
            </w:r>
            <w:r>
              <w:rPr>
                <w:rFonts w:hint="eastAsia" w:cs="Times New Roman"/>
                <w:color w:val="auto"/>
                <w:sz w:val="21"/>
                <w:szCs w:val="21"/>
                <w:u w:val="none" w:color="auto"/>
                <w:lang w:val="en-US" w:eastAsia="zh-CN"/>
              </w:rPr>
              <w:t>及煎药异味</w:t>
            </w:r>
          </w:p>
        </w:tc>
        <w:tc>
          <w:tcPr>
            <w:tcW w:w="1695" w:type="dxa"/>
            <w:vAlign w:val="center"/>
          </w:tcPr>
          <w:p w14:paraId="0908843E">
            <w:pPr>
              <w:adjustRightInd w:val="0"/>
              <w:snapToGrid w:val="0"/>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臭气浓度</w:t>
            </w:r>
            <w:r>
              <w:rPr>
                <w:rFonts w:hint="eastAsia" w:cs="Times New Roman"/>
                <w:color w:val="auto"/>
                <w:sz w:val="21"/>
                <w:szCs w:val="21"/>
                <w:u w:val="none" w:color="auto"/>
                <w:lang w:val="en-US" w:eastAsia="zh-CN"/>
              </w:rPr>
              <w:t>、氨、硫化氢</w:t>
            </w:r>
          </w:p>
        </w:tc>
        <w:tc>
          <w:tcPr>
            <w:tcW w:w="3090" w:type="dxa"/>
            <w:vAlign w:val="center"/>
          </w:tcPr>
          <w:p w14:paraId="38336EAA">
            <w:pPr>
              <w:adjustRightInd w:val="0"/>
              <w:snapToGrid w:val="0"/>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垃圾桶加盖，加强通风。</w:t>
            </w:r>
          </w:p>
        </w:tc>
        <w:tc>
          <w:tcPr>
            <w:tcW w:w="2777" w:type="dxa"/>
            <w:vMerge w:val="restart"/>
            <w:vAlign w:val="center"/>
          </w:tcPr>
          <w:p w14:paraId="22324AC2">
            <w:pPr>
              <w:adjustRightInd w:val="0"/>
              <w:snapToGrid w:val="0"/>
              <w:ind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场界</w:t>
            </w:r>
            <w:r>
              <w:rPr>
                <w:rFonts w:hint="default" w:ascii="Times New Roman" w:hAnsi="Times New Roman" w:eastAsia="宋体" w:cs="Times New Roman"/>
                <w:color w:val="auto"/>
                <w:sz w:val="21"/>
                <w:szCs w:val="21"/>
                <w:u w:val="none" w:color="auto"/>
                <w:lang w:val="en-US" w:eastAsia="zh-CN"/>
              </w:rPr>
              <w:t>臭气浓度</w:t>
            </w:r>
            <w:r>
              <w:rPr>
                <w:rFonts w:hint="eastAsia" w:cs="Times New Roman"/>
                <w:color w:val="auto"/>
                <w:sz w:val="21"/>
                <w:szCs w:val="21"/>
                <w:u w:val="none" w:color="auto"/>
                <w:lang w:val="en-US" w:eastAsia="zh-CN"/>
              </w:rPr>
              <w:t>、氨、硫化氢浓度满足</w:t>
            </w:r>
            <w:r>
              <w:rPr>
                <w:rFonts w:hint="default" w:ascii="Times New Roman" w:hAnsi="Times New Roman" w:eastAsia="宋体" w:cs="Times New Roman"/>
                <w:strike w:val="0"/>
                <w:dstrike w:val="0"/>
                <w:color w:val="auto"/>
                <w:sz w:val="21"/>
                <w:szCs w:val="21"/>
                <w:u w:val="none" w:color="auto"/>
              </w:rPr>
              <w:t>《恶臭污染物排放标准》（GB14554-93）表1</w:t>
            </w:r>
            <w:r>
              <w:rPr>
                <w:rFonts w:hint="eastAsia" w:cs="Times New Roman"/>
                <w:strike w:val="0"/>
                <w:dstrike w:val="0"/>
                <w:color w:val="auto"/>
                <w:sz w:val="21"/>
                <w:szCs w:val="21"/>
                <w:u w:val="none" w:color="auto"/>
                <w:lang w:val="en-US" w:eastAsia="zh-CN"/>
              </w:rPr>
              <w:t>一级</w:t>
            </w:r>
            <w:r>
              <w:rPr>
                <w:rFonts w:hint="default" w:ascii="Times New Roman" w:hAnsi="Times New Roman" w:eastAsia="宋体" w:cs="Times New Roman"/>
                <w:strike w:val="0"/>
                <w:dstrike w:val="0"/>
                <w:color w:val="auto"/>
                <w:sz w:val="21"/>
                <w:szCs w:val="21"/>
                <w:u w:val="none" w:color="auto"/>
              </w:rPr>
              <w:t>标准限值</w:t>
            </w:r>
          </w:p>
        </w:tc>
      </w:tr>
      <w:tr w14:paraId="78B469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08" w:type="dxa"/>
            <w:vMerge w:val="continue"/>
            <w:vAlign w:val="center"/>
          </w:tcPr>
          <w:p w14:paraId="106232C9">
            <w:pPr>
              <w:adjustRightInd w:val="0"/>
              <w:snapToGrid w:val="0"/>
              <w:ind w:firstLine="0" w:firstLineChars="0"/>
              <w:jc w:val="center"/>
              <w:rPr>
                <w:rFonts w:hint="default" w:ascii="Times New Roman" w:hAnsi="Times New Roman" w:eastAsia="宋体" w:cs="Times New Roman"/>
                <w:color w:val="auto"/>
                <w:sz w:val="21"/>
                <w:szCs w:val="21"/>
                <w:u w:val="none" w:color="auto"/>
              </w:rPr>
            </w:pPr>
          </w:p>
        </w:tc>
        <w:tc>
          <w:tcPr>
            <w:tcW w:w="1313" w:type="dxa"/>
            <w:vAlign w:val="center"/>
          </w:tcPr>
          <w:p w14:paraId="5E49520F">
            <w:pPr>
              <w:adjustRightInd w:val="0"/>
              <w:snapToGrid w:val="0"/>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消毒水异味</w:t>
            </w:r>
          </w:p>
        </w:tc>
        <w:tc>
          <w:tcPr>
            <w:tcW w:w="1695" w:type="dxa"/>
            <w:vAlign w:val="center"/>
          </w:tcPr>
          <w:p w14:paraId="02837FAC">
            <w:pPr>
              <w:adjustRightInd w:val="0"/>
              <w:snapToGrid w:val="0"/>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臭气浓度</w:t>
            </w:r>
          </w:p>
        </w:tc>
        <w:tc>
          <w:tcPr>
            <w:tcW w:w="3090" w:type="dxa"/>
            <w:vAlign w:val="center"/>
          </w:tcPr>
          <w:p w14:paraId="5AB096DB">
            <w:pPr>
              <w:adjustRightInd w:val="0"/>
              <w:snapToGrid w:val="0"/>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加强通风</w:t>
            </w:r>
          </w:p>
        </w:tc>
        <w:tc>
          <w:tcPr>
            <w:tcW w:w="2777" w:type="dxa"/>
            <w:vMerge w:val="continue"/>
            <w:vAlign w:val="center"/>
          </w:tcPr>
          <w:p w14:paraId="4A7CBD43">
            <w:pPr>
              <w:adjustRightInd w:val="0"/>
              <w:snapToGrid w:val="0"/>
              <w:ind w:firstLine="0" w:firstLineChars="0"/>
              <w:jc w:val="center"/>
              <w:rPr>
                <w:rFonts w:hint="default" w:ascii="Times New Roman" w:hAnsi="Times New Roman" w:eastAsia="宋体" w:cs="Times New Roman"/>
                <w:color w:val="auto"/>
                <w:sz w:val="21"/>
                <w:szCs w:val="21"/>
                <w:u w:val="none" w:color="auto"/>
              </w:rPr>
            </w:pPr>
          </w:p>
        </w:tc>
      </w:tr>
      <w:tr w14:paraId="1B9583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08" w:type="dxa"/>
            <w:vMerge w:val="continue"/>
            <w:vAlign w:val="center"/>
          </w:tcPr>
          <w:p w14:paraId="57D205D6">
            <w:pPr>
              <w:adjustRightInd w:val="0"/>
              <w:snapToGrid w:val="0"/>
              <w:ind w:firstLine="0" w:firstLineChars="0"/>
              <w:jc w:val="center"/>
              <w:rPr>
                <w:rFonts w:hint="default" w:ascii="Times New Roman" w:hAnsi="Times New Roman" w:eastAsia="宋体" w:cs="Times New Roman"/>
                <w:color w:val="auto"/>
                <w:sz w:val="21"/>
                <w:szCs w:val="21"/>
                <w:u w:val="none" w:color="auto"/>
              </w:rPr>
            </w:pPr>
          </w:p>
        </w:tc>
        <w:tc>
          <w:tcPr>
            <w:tcW w:w="1313" w:type="dxa"/>
            <w:vAlign w:val="center"/>
          </w:tcPr>
          <w:p w14:paraId="43DB6C25">
            <w:pPr>
              <w:adjustRightInd w:val="0"/>
              <w:snapToGrid w:val="0"/>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食堂油烟</w:t>
            </w:r>
          </w:p>
        </w:tc>
        <w:tc>
          <w:tcPr>
            <w:tcW w:w="1695" w:type="dxa"/>
            <w:vAlign w:val="center"/>
          </w:tcPr>
          <w:p w14:paraId="0E7F98E1">
            <w:pPr>
              <w:adjustRightInd w:val="0"/>
              <w:snapToGrid w:val="0"/>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油烟</w:t>
            </w:r>
          </w:p>
        </w:tc>
        <w:tc>
          <w:tcPr>
            <w:tcW w:w="3090" w:type="dxa"/>
            <w:vAlign w:val="center"/>
          </w:tcPr>
          <w:p w14:paraId="0D455568">
            <w:pPr>
              <w:adjustRightInd w:val="0"/>
              <w:snapToGrid w:val="0"/>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经抽油烟机处理后由专用管道排放</w:t>
            </w:r>
          </w:p>
        </w:tc>
        <w:tc>
          <w:tcPr>
            <w:tcW w:w="2777" w:type="dxa"/>
            <w:vAlign w:val="center"/>
          </w:tcPr>
          <w:p w14:paraId="483A85B8">
            <w:pPr>
              <w:adjustRightInd w:val="0"/>
              <w:snapToGrid w:val="0"/>
              <w:ind w:firstLine="0" w:firstLineChars="0"/>
              <w:jc w:val="both"/>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《饮食业油烟排放标准》（GB18483-2001）</w:t>
            </w:r>
            <w:r>
              <w:rPr>
                <w:rFonts w:hint="eastAsia" w:cs="Times New Roman"/>
                <w:color w:val="auto"/>
                <w:sz w:val="21"/>
                <w:szCs w:val="21"/>
                <w:u w:val="none" w:color="auto"/>
                <w:lang w:val="en-US" w:eastAsia="zh-CN"/>
              </w:rPr>
              <w:t>表2标准限值</w:t>
            </w:r>
          </w:p>
        </w:tc>
      </w:tr>
      <w:tr w14:paraId="224BC7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008" w:type="dxa"/>
            <w:vMerge w:val="restart"/>
            <w:vAlign w:val="center"/>
          </w:tcPr>
          <w:p w14:paraId="6A874C14">
            <w:pPr>
              <w:adjustRightInd w:val="0"/>
              <w:snapToGrid w:val="0"/>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地表水环境</w:t>
            </w:r>
          </w:p>
        </w:tc>
        <w:tc>
          <w:tcPr>
            <w:tcW w:w="1313" w:type="dxa"/>
            <w:vAlign w:val="center"/>
          </w:tcPr>
          <w:p w14:paraId="781D6F45">
            <w:pPr>
              <w:adjustRightInd w:val="0"/>
              <w:snapToGrid w:val="0"/>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医疗废水</w:t>
            </w:r>
          </w:p>
        </w:tc>
        <w:tc>
          <w:tcPr>
            <w:tcW w:w="1695" w:type="dxa"/>
            <w:vAlign w:val="center"/>
          </w:tcPr>
          <w:p w14:paraId="77E4FEE4">
            <w:pPr>
              <w:adjustRightInd w:val="0"/>
              <w:snapToGrid w:val="0"/>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pH值、</w:t>
            </w:r>
            <w:r>
              <w:rPr>
                <w:rFonts w:hint="default" w:ascii="Times New Roman" w:hAnsi="Times New Roman" w:eastAsia="宋体" w:cs="Times New Roman"/>
                <w:color w:val="auto"/>
                <w:sz w:val="21"/>
                <w:szCs w:val="21"/>
                <w:u w:val="none" w:color="auto"/>
              </w:rPr>
              <w:t>COD</w:t>
            </w:r>
            <w:r>
              <w:rPr>
                <w:rFonts w:hint="default" w:ascii="Times New Roman" w:hAnsi="Times New Roman" w:eastAsia="宋体" w:cs="Times New Roman"/>
                <w:color w:val="auto"/>
                <w:sz w:val="21"/>
                <w:szCs w:val="21"/>
                <w:u w:val="none" w:color="auto"/>
                <w:vertAlign w:val="subscript"/>
              </w:rPr>
              <w:t>cr</w:t>
            </w:r>
            <w:r>
              <w:rPr>
                <w:rFonts w:hint="default" w:ascii="Times New Roman" w:hAnsi="Times New Roman" w:eastAsia="宋体" w:cs="Times New Roman"/>
                <w:color w:val="auto"/>
                <w:sz w:val="21"/>
                <w:szCs w:val="21"/>
                <w:u w:val="none" w:color="auto"/>
              </w:rPr>
              <w:t>、BOD</w:t>
            </w:r>
            <w:r>
              <w:rPr>
                <w:rFonts w:hint="default" w:ascii="Times New Roman" w:hAnsi="Times New Roman" w:eastAsia="宋体" w:cs="Times New Roman"/>
                <w:color w:val="auto"/>
                <w:sz w:val="21"/>
                <w:szCs w:val="21"/>
                <w:u w:val="none" w:color="auto"/>
                <w:vertAlign w:val="subscript"/>
              </w:rPr>
              <w:t>5</w:t>
            </w:r>
            <w:r>
              <w:rPr>
                <w:rFonts w:hint="default" w:ascii="Times New Roman" w:hAnsi="Times New Roman" w:eastAsia="宋体" w:cs="Times New Roman"/>
                <w:color w:val="auto"/>
                <w:sz w:val="21"/>
                <w:szCs w:val="21"/>
                <w:u w:val="none" w:color="auto"/>
              </w:rPr>
              <w:t>、SS、NH</w:t>
            </w:r>
            <w:r>
              <w:rPr>
                <w:rFonts w:hint="default" w:ascii="Times New Roman" w:hAnsi="Times New Roman" w:eastAsia="宋体" w:cs="Times New Roman"/>
                <w:color w:val="auto"/>
                <w:sz w:val="21"/>
                <w:szCs w:val="21"/>
                <w:u w:val="none" w:color="auto"/>
                <w:vertAlign w:val="subscript"/>
              </w:rPr>
              <w:t>3</w:t>
            </w:r>
            <w:r>
              <w:rPr>
                <w:rFonts w:hint="default" w:ascii="Times New Roman" w:hAnsi="Times New Roman" w:eastAsia="宋体" w:cs="Times New Roman"/>
                <w:color w:val="auto"/>
                <w:sz w:val="21"/>
                <w:szCs w:val="21"/>
                <w:u w:val="none" w:color="auto"/>
              </w:rPr>
              <w:t>-N、粪大肠</w:t>
            </w:r>
            <w:r>
              <w:rPr>
                <w:rFonts w:hint="default" w:ascii="Times New Roman" w:hAnsi="Times New Roman" w:eastAsia="宋体" w:cs="Times New Roman"/>
                <w:color w:val="auto"/>
                <w:sz w:val="21"/>
                <w:szCs w:val="21"/>
                <w:u w:val="none" w:color="auto"/>
                <w:lang w:val="en-US" w:eastAsia="zh-CN"/>
              </w:rPr>
              <w:t>菌群等</w:t>
            </w:r>
          </w:p>
        </w:tc>
        <w:tc>
          <w:tcPr>
            <w:tcW w:w="3090" w:type="dxa"/>
            <w:vMerge w:val="restart"/>
            <w:vAlign w:val="center"/>
          </w:tcPr>
          <w:p w14:paraId="707576F1">
            <w:pPr>
              <w:adjustRightInd w:val="0"/>
              <w:snapToGrid w:val="0"/>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highlight w:val="none"/>
                <w:u w:val="none" w:color="auto"/>
                <w:lang w:val="en-US" w:eastAsia="zh-CN"/>
              </w:rPr>
              <w:t>由于各项污、废水无法完全分开，因此各项污、废水均列为医疗废水，</w:t>
            </w:r>
            <w:r>
              <w:rPr>
                <w:rFonts w:hint="eastAsia" w:ascii="Times New Roman" w:hAnsi="Times New Roman" w:eastAsia="宋体" w:cs="Times New Roman"/>
                <w:color w:val="auto"/>
                <w:sz w:val="21"/>
                <w:szCs w:val="21"/>
                <w:highlight w:val="none"/>
                <w:u w:val="none" w:color="auto"/>
                <w:lang w:val="en-US" w:eastAsia="zh-CN"/>
              </w:rPr>
              <w:t>食堂废水经隔油池预处理，</w:t>
            </w:r>
            <w:r>
              <w:rPr>
                <w:rFonts w:hint="eastAsia" w:cs="Times New Roman"/>
                <w:color w:val="auto"/>
                <w:sz w:val="21"/>
                <w:szCs w:val="21"/>
                <w:highlight w:val="none"/>
                <w:u w:val="none" w:color="auto"/>
                <w:lang w:val="en-US" w:eastAsia="zh-CN"/>
              </w:rPr>
              <w:t>特殊废水经中和预处理后与其他一般医疗废水经化粪池+地埋式污水处理站（格栅+混凝沉淀+A/O生物接触氧化+紫外线消毒）</w:t>
            </w:r>
            <w:r>
              <w:rPr>
                <w:rFonts w:hint="eastAsia" w:ascii="Times New Roman" w:hAnsi="Times New Roman" w:eastAsia="宋体" w:cs="Times New Roman"/>
                <w:color w:val="auto"/>
                <w:sz w:val="21"/>
                <w:szCs w:val="21"/>
                <w:highlight w:val="none"/>
                <w:u w:val="none" w:color="auto"/>
                <w:lang w:val="en-US" w:eastAsia="zh-CN"/>
              </w:rPr>
              <w:t>处理后</w:t>
            </w:r>
            <w:r>
              <w:rPr>
                <w:rFonts w:hint="default" w:ascii="Times New Roman" w:hAnsi="Times New Roman" w:eastAsia="宋体" w:cs="Times New Roman"/>
                <w:color w:val="auto"/>
                <w:sz w:val="21"/>
                <w:szCs w:val="21"/>
                <w:u w:val="none" w:color="auto"/>
              </w:rPr>
              <w:t>排入</w:t>
            </w:r>
            <w:r>
              <w:rPr>
                <w:rFonts w:hint="default" w:ascii="Times New Roman" w:hAnsi="Times New Roman" w:eastAsia="宋体" w:cs="Times New Roman"/>
                <w:color w:val="auto"/>
                <w:sz w:val="21"/>
                <w:szCs w:val="21"/>
                <w:u w:val="none" w:color="auto"/>
                <w:lang w:val="en-US" w:eastAsia="zh-CN"/>
              </w:rPr>
              <w:t>周边</w:t>
            </w:r>
            <w:r>
              <w:rPr>
                <w:rFonts w:hint="eastAsia" w:cs="Times New Roman"/>
                <w:color w:val="auto"/>
                <w:sz w:val="21"/>
                <w:szCs w:val="21"/>
                <w:u w:val="none" w:color="auto"/>
                <w:lang w:val="en-US" w:eastAsia="zh-CN"/>
              </w:rPr>
              <w:t>污水管网。</w:t>
            </w:r>
          </w:p>
        </w:tc>
        <w:tc>
          <w:tcPr>
            <w:tcW w:w="2777" w:type="dxa"/>
            <w:vMerge w:val="restart"/>
            <w:vAlign w:val="center"/>
          </w:tcPr>
          <w:p w14:paraId="5682C467">
            <w:pPr>
              <w:adjustRightInd w:val="0"/>
              <w:snapToGrid w:val="0"/>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《医疗机构水污染物排放标准》（GB18466-2005）综合医疗机构和其他医疗机构水污染物预处理及江南污水处理站纳管标准从严值</w:t>
            </w:r>
          </w:p>
        </w:tc>
      </w:tr>
      <w:tr w14:paraId="1457B5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008" w:type="dxa"/>
            <w:vMerge w:val="continue"/>
            <w:vAlign w:val="center"/>
          </w:tcPr>
          <w:p w14:paraId="19A84291">
            <w:pPr>
              <w:adjustRightInd w:val="0"/>
              <w:snapToGrid w:val="0"/>
              <w:ind w:firstLine="0" w:firstLineChars="0"/>
              <w:jc w:val="center"/>
              <w:rPr>
                <w:rFonts w:hint="default" w:ascii="Times New Roman" w:hAnsi="Times New Roman" w:eastAsia="宋体" w:cs="Times New Roman"/>
                <w:color w:val="auto"/>
                <w:sz w:val="21"/>
                <w:szCs w:val="21"/>
                <w:u w:val="none" w:color="auto"/>
              </w:rPr>
            </w:pPr>
          </w:p>
        </w:tc>
        <w:tc>
          <w:tcPr>
            <w:tcW w:w="1313" w:type="dxa"/>
            <w:vAlign w:val="center"/>
          </w:tcPr>
          <w:p w14:paraId="309E4D64">
            <w:pPr>
              <w:adjustRightInd w:val="0"/>
              <w:snapToGrid w:val="0"/>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食堂废水</w:t>
            </w:r>
            <w:r>
              <w:rPr>
                <w:rFonts w:hint="default"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rPr>
              <w:t>生活污水</w:t>
            </w:r>
          </w:p>
        </w:tc>
        <w:tc>
          <w:tcPr>
            <w:tcW w:w="1695" w:type="dxa"/>
            <w:vAlign w:val="center"/>
          </w:tcPr>
          <w:p w14:paraId="27164D23">
            <w:pPr>
              <w:adjustRightInd w:val="0"/>
              <w:snapToGrid w:val="0"/>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pH值、</w:t>
            </w:r>
            <w:r>
              <w:rPr>
                <w:rFonts w:hint="default" w:ascii="Times New Roman" w:hAnsi="Times New Roman" w:eastAsia="宋体" w:cs="Times New Roman"/>
                <w:color w:val="auto"/>
                <w:sz w:val="21"/>
                <w:szCs w:val="21"/>
                <w:u w:val="none" w:color="auto"/>
              </w:rPr>
              <w:t>COD</w:t>
            </w:r>
            <w:r>
              <w:rPr>
                <w:rFonts w:hint="default" w:ascii="Times New Roman" w:hAnsi="Times New Roman" w:eastAsia="宋体" w:cs="Times New Roman"/>
                <w:color w:val="auto"/>
                <w:sz w:val="21"/>
                <w:szCs w:val="21"/>
                <w:u w:val="none" w:color="auto"/>
                <w:vertAlign w:val="subscript"/>
              </w:rPr>
              <w:t>cr</w:t>
            </w:r>
            <w:r>
              <w:rPr>
                <w:rFonts w:hint="default" w:ascii="Times New Roman" w:hAnsi="Times New Roman" w:eastAsia="宋体" w:cs="Times New Roman"/>
                <w:color w:val="auto"/>
                <w:sz w:val="21"/>
                <w:szCs w:val="21"/>
                <w:u w:val="none" w:color="auto"/>
              </w:rPr>
              <w:t>、BOD</w:t>
            </w:r>
            <w:r>
              <w:rPr>
                <w:rFonts w:hint="default" w:ascii="Times New Roman" w:hAnsi="Times New Roman" w:eastAsia="宋体" w:cs="Times New Roman"/>
                <w:color w:val="auto"/>
                <w:sz w:val="21"/>
                <w:szCs w:val="21"/>
                <w:u w:val="none" w:color="auto"/>
                <w:vertAlign w:val="subscript"/>
              </w:rPr>
              <w:t>5</w:t>
            </w:r>
            <w:r>
              <w:rPr>
                <w:rFonts w:hint="default" w:ascii="Times New Roman" w:hAnsi="Times New Roman" w:eastAsia="宋体" w:cs="Times New Roman"/>
                <w:color w:val="auto"/>
                <w:sz w:val="21"/>
                <w:szCs w:val="21"/>
                <w:u w:val="none" w:color="auto"/>
              </w:rPr>
              <w:t>、SS、NH</w:t>
            </w:r>
            <w:r>
              <w:rPr>
                <w:rFonts w:hint="default" w:ascii="Times New Roman" w:hAnsi="Times New Roman" w:eastAsia="宋体" w:cs="Times New Roman"/>
                <w:color w:val="auto"/>
                <w:sz w:val="21"/>
                <w:szCs w:val="21"/>
                <w:u w:val="none" w:color="auto"/>
                <w:vertAlign w:val="subscript"/>
              </w:rPr>
              <w:t>3</w:t>
            </w:r>
            <w:r>
              <w:rPr>
                <w:rFonts w:hint="default" w:ascii="Times New Roman" w:hAnsi="Times New Roman" w:eastAsia="宋体" w:cs="Times New Roman"/>
                <w:color w:val="auto"/>
                <w:sz w:val="21"/>
                <w:szCs w:val="21"/>
                <w:u w:val="none" w:color="auto"/>
              </w:rPr>
              <w:t>-N</w:t>
            </w:r>
            <w:r>
              <w:rPr>
                <w:rFonts w:hint="eastAsia"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val="en-US" w:eastAsia="zh-CN"/>
              </w:rPr>
              <w:t>动植物油</w:t>
            </w:r>
          </w:p>
        </w:tc>
        <w:tc>
          <w:tcPr>
            <w:tcW w:w="3090" w:type="dxa"/>
            <w:vMerge w:val="continue"/>
            <w:vAlign w:val="center"/>
          </w:tcPr>
          <w:p w14:paraId="0F6526C3">
            <w:pPr>
              <w:adjustRightInd w:val="0"/>
              <w:snapToGrid w:val="0"/>
              <w:ind w:firstLine="0" w:firstLineChars="0"/>
              <w:jc w:val="center"/>
              <w:rPr>
                <w:rFonts w:hint="default" w:ascii="Times New Roman" w:hAnsi="Times New Roman" w:eastAsia="宋体" w:cs="Times New Roman"/>
                <w:color w:val="auto"/>
                <w:sz w:val="21"/>
                <w:szCs w:val="21"/>
                <w:highlight w:val="none"/>
                <w:u w:val="none" w:color="auto"/>
                <w:lang w:val="en-US" w:eastAsia="zh-CN"/>
              </w:rPr>
            </w:pPr>
          </w:p>
        </w:tc>
        <w:tc>
          <w:tcPr>
            <w:tcW w:w="2777" w:type="dxa"/>
            <w:vMerge w:val="continue"/>
            <w:vAlign w:val="center"/>
          </w:tcPr>
          <w:p w14:paraId="1142D9CC">
            <w:pPr>
              <w:adjustRightInd w:val="0"/>
              <w:snapToGrid w:val="0"/>
              <w:ind w:firstLine="0" w:firstLineChars="0"/>
              <w:jc w:val="center"/>
              <w:rPr>
                <w:rFonts w:hint="default" w:ascii="Times New Roman" w:hAnsi="Times New Roman" w:eastAsia="宋体" w:cs="Times New Roman"/>
                <w:color w:val="auto"/>
                <w:sz w:val="21"/>
                <w:szCs w:val="21"/>
                <w:highlight w:val="none"/>
                <w:u w:val="none" w:color="auto"/>
                <w:lang w:val="en-US" w:eastAsia="zh-CN"/>
              </w:rPr>
            </w:pPr>
          </w:p>
        </w:tc>
      </w:tr>
      <w:tr w14:paraId="6AC191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08" w:type="dxa"/>
            <w:vAlign w:val="center"/>
          </w:tcPr>
          <w:p w14:paraId="337A908F">
            <w:pPr>
              <w:adjustRightInd w:val="0"/>
              <w:snapToGrid w:val="0"/>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声环境</w:t>
            </w:r>
          </w:p>
        </w:tc>
        <w:tc>
          <w:tcPr>
            <w:tcW w:w="1313" w:type="dxa"/>
            <w:vAlign w:val="center"/>
          </w:tcPr>
          <w:p w14:paraId="31D34A1B">
            <w:pPr>
              <w:adjustRightInd w:val="0"/>
              <w:snapToGrid w:val="0"/>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风机等</w:t>
            </w:r>
          </w:p>
        </w:tc>
        <w:tc>
          <w:tcPr>
            <w:tcW w:w="1695" w:type="dxa"/>
            <w:vAlign w:val="center"/>
          </w:tcPr>
          <w:p w14:paraId="052DC9B7">
            <w:pPr>
              <w:adjustRightInd w:val="0"/>
              <w:snapToGrid w:val="0"/>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噪声</w:t>
            </w:r>
          </w:p>
        </w:tc>
        <w:tc>
          <w:tcPr>
            <w:tcW w:w="3090" w:type="dxa"/>
            <w:vAlign w:val="center"/>
          </w:tcPr>
          <w:p w14:paraId="0EB8A654">
            <w:pPr>
              <w:adjustRightInd w:val="0"/>
              <w:snapToGrid w:val="0"/>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减振垫、墙体隔声、距离衰减</w:t>
            </w:r>
            <w:r>
              <w:rPr>
                <w:rFonts w:hint="eastAsia" w:ascii="Times New Roman" w:hAnsi="Times New Roman" w:eastAsia="宋体" w:cs="Times New Roman"/>
                <w:color w:val="auto"/>
                <w:sz w:val="21"/>
                <w:szCs w:val="21"/>
                <w:highlight w:val="none"/>
                <w:u w:val="none" w:color="auto"/>
                <w:lang w:val="en-US" w:eastAsia="zh-CN"/>
              </w:rPr>
              <w:t>、铝合金窗+密封条</w:t>
            </w:r>
            <w:r>
              <w:rPr>
                <w:rFonts w:hint="default" w:ascii="Times New Roman" w:hAnsi="Times New Roman" w:eastAsia="宋体" w:cs="Times New Roman"/>
                <w:color w:val="auto"/>
                <w:sz w:val="21"/>
                <w:szCs w:val="21"/>
                <w:highlight w:val="none"/>
                <w:u w:val="none" w:color="auto"/>
                <w:lang w:val="en-US" w:eastAsia="zh-CN"/>
              </w:rPr>
              <w:t>等</w:t>
            </w:r>
            <w:r>
              <w:rPr>
                <w:rFonts w:hint="eastAsia" w:cs="Times New Roman"/>
                <w:color w:val="auto"/>
                <w:sz w:val="21"/>
                <w:szCs w:val="21"/>
                <w:highlight w:val="none"/>
                <w:u w:val="none" w:color="auto"/>
                <w:lang w:val="en-US" w:eastAsia="zh-CN"/>
              </w:rPr>
              <w:t>。</w:t>
            </w:r>
          </w:p>
        </w:tc>
        <w:tc>
          <w:tcPr>
            <w:tcW w:w="2777" w:type="dxa"/>
            <w:vAlign w:val="center"/>
          </w:tcPr>
          <w:p w14:paraId="0A5BEAE7">
            <w:pPr>
              <w:adjustRightInd w:val="0"/>
              <w:snapToGrid w:val="0"/>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东侧</w:t>
            </w:r>
            <w:r>
              <w:rPr>
                <w:rFonts w:hint="eastAsia" w:cs="Times New Roman"/>
                <w:color w:val="auto"/>
                <w:sz w:val="21"/>
                <w:szCs w:val="21"/>
                <w:highlight w:val="none"/>
                <w:u w:val="none" w:color="auto"/>
                <w:lang w:val="en-US" w:eastAsia="zh-CN"/>
              </w:rPr>
              <w:t>场</w:t>
            </w:r>
            <w:r>
              <w:rPr>
                <w:rFonts w:hint="eastAsia" w:ascii="Times New Roman" w:hAnsi="Times New Roman" w:eastAsia="宋体" w:cs="Times New Roman"/>
                <w:color w:val="auto"/>
                <w:sz w:val="21"/>
                <w:szCs w:val="21"/>
                <w:highlight w:val="none"/>
                <w:u w:val="none" w:color="auto"/>
                <w:lang w:val="en-US" w:eastAsia="zh-CN"/>
              </w:rPr>
              <w:t>界</w:t>
            </w:r>
            <w:r>
              <w:rPr>
                <w:rFonts w:hint="default" w:ascii="Times New Roman" w:hAnsi="Times New Roman" w:eastAsia="宋体" w:cs="Times New Roman"/>
                <w:color w:val="auto"/>
                <w:sz w:val="21"/>
                <w:szCs w:val="21"/>
                <w:highlight w:val="none"/>
                <w:u w:val="none" w:color="auto"/>
                <w:lang w:val="en-US" w:eastAsia="zh-CN"/>
              </w:rPr>
              <w:t>执行《工业企业厂界环境噪声排放标准》（GB12348-2008）4类标准，其他</w:t>
            </w:r>
            <w:r>
              <w:rPr>
                <w:rFonts w:hint="eastAsia" w:cs="Times New Roman"/>
                <w:color w:val="auto"/>
                <w:sz w:val="21"/>
                <w:szCs w:val="21"/>
                <w:highlight w:val="none"/>
                <w:u w:val="none" w:color="auto"/>
                <w:lang w:val="en-US" w:eastAsia="zh-CN"/>
              </w:rPr>
              <w:t>场</w:t>
            </w:r>
            <w:r>
              <w:rPr>
                <w:rFonts w:hint="eastAsia" w:ascii="Times New Roman" w:hAnsi="Times New Roman" w:eastAsia="宋体" w:cs="Times New Roman"/>
                <w:color w:val="auto"/>
                <w:sz w:val="21"/>
                <w:szCs w:val="21"/>
                <w:highlight w:val="none"/>
                <w:u w:val="none" w:color="auto"/>
                <w:lang w:val="en-US" w:eastAsia="zh-CN"/>
              </w:rPr>
              <w:t>界</w:t>
            </w:r>
            <w:r>
              <w:rPr>
                <w:rFonts w:hint="default" w:ascii="Times New Roman" w:hAnsi="Times New Roman" w:eastAsia="宋体" w:cs="Times New Roman"/>
                <w:color w:val="auto"/>
                <w:sz w:val="21"/>
                <w:szCs w:val="21"/>
                <w:highlight w:val="none"/>
                <w:u w:val="none" w:color="auto"/>
                <w:lang w:val="en-US" w:eastAsia="zh-CN"/>
              </w:rPr>
              <w:t>区域2类标准。</w:t>
            </w:r>
          </w:p>
        </w:tc>
      </w:tr>
      <w:tr w14:paraId="69BE62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08" w:type="dxa"/>
            <w:vAlign w:val="center"/>
          </w:tcPr>
          <w:p w14:paraId="000B5D9D">
            <w:pPr>
              <w:adjustRightInd w:val="0"/>
              <w:snapToGrid w:val="0"/>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电磁辐射</w:t>
            </w:r>
          </w:p>
        </w:tc>
        <w:tc>
          <w:tcPr>
            <w:tcW w:w="1313" w:type="dxa"/>
            <w:vAlign w:val="center"/>
          </w:tcPr>
          <w:p w14:paraId="39DF392E">
            <w:pPr>
              <w:adjustRightInd w:val="0"/>
              <w:snapToGrid w:val="0"/>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c>
          <w:tcPr>
            <w:tcW w:w="1695" w:type="dxa"/>
            <w:vAlign w:val="center"/>
          </w:tcPr>
          <w:p w14:paraId="1C004CE7">
            <w:pPr>
              <w:adjustRightInd w:val="0"/>
              <w:snapToGrid w:val="0"/>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c>
          <w:tcPr>
            <w:tcW w:w="3090" w:type="dxa"/>
            <w:vAlign w:val="center"/>
          </w:tcPr>
          <w:p w14:paraId="5EB724D3">
            <w:pPr>
              <w:adjustRightInd w:val="0"/>
              <w:snapToGrid w:val="0"/>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c>
          <w:tcPr>
            <w:tcW w:w="2777" w:type="dxa"/>
            <w:vAlign w:val="center"/>
          </w:tcPr>
          <w:p w14:paraId="71DDE98D">
            <w:pPr>
              <w:adjustRightInd w:val="0"/>
              <w:snapToGrid w:val="0"/>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61AB96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1008" w:type="dxa"/>
            <w:vAlign w:val="center"/>
          </w:tcPr>
          <w:p w14:paraId="5851B1FB">
            <w:pPr>
              <w:adjustRightInd w:val="0"/>
              <w:snapToGrid w:val="0"/>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固体废物</w:t>
            </w:r>
          </w:p>
        </w:tc>
        <w:tc>
          <w:tcPr>
            <w:tcW w:w="8875" w:type="dxa"/>
            <w:gridSpan w:val="4"/>
            <w:vAlign w:val="center"/>
          </w:tcPr>
          <w:p w14:paraId="3805E77D">
            <w:pPr>
              <w:pStyle w:val="3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医疗废物：分类收集后暂存于</w:t>
            </w:r>
            <w:r>
              <w:rPr>
                <w:rFonts w:hint="eastAsia" w:cs="Times New Roman"/>
                <w:color w:val="auto"/>
                <w:sz w:val="21"/>
                <w:szCs w:val="21"/>
                <w:u w:val="none" w:color="auto"/>
                <w:lang w:val="en-US" w:eastAsia="zh-CN"/>
              </w:rPr>
              <w:t>医疗废物</w:t>
            </w:r>
            <w:r>
              <w:rPr>
                <w:rFonts w:hint="default" w:ascii="Times New Roman" w:hAnsi="Times New Roman" w:eastAsia="宋体" w:cs="Times New Roman"/>
                <w:color w:val="auto"/>
                <w:sz w:val="21"/>
                <w:szCs w:val="21"/>
                <w:u w:val="none" w:color="auto"/>
              </w:rPr>
              <w:t>暂存间，委托</w:t>
            </w:r>
            <w:r>
              <w:rPr>
                <w:rFonts w:hint="eastAsia" w:cs="Times New Roman"/>
                <w:color w:val="auto"/>
                <w:sz w:val="21"/>
                <w:szCs w:val="21"/>
                <w:u w:val="none" w:color="auto"/>
                <w:lang w:val="en-US" w:eastAsia="zh-CN"/>
              </w:rPr>
              <w:t>有相应危险废物处置资质的单位处理</w:t>
            </w:r>
            <w:r>
              <w:rPr>
                <w:rFonts w:hint="default" w:ascii="Times New Roman" w:hAnsi="Times New Roman" w:eastAsia="宋体" w:cs="Times New Roman"/>
                <w:color w:val="auto"/>
                <w:sz w:val="21"/>
                <w:szCs w:val="21"/>
                <w:u w:val="none" w:color="auto"/>
              </w:rPr>
              <w:t>；</w:t>
            </w:r>
          </w:p>
          <w:p w14:paraId="5293AADB">
            <w:pPr>
              <w:pStyle w:val="3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lang w:val="en-US" w:eastAsia="zh-CN"/>
              </w:rPr>
              <w:t>2</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废水处理栅渣、污泥：定期清掏，消毒后交由</w:t>
            </w:r>
            <w:r>
              <w:rPr>
                <w:rFonts w:hint="eastAsia" w:cs="Times New Roman"/>
                <w:color w:val="auto"/>
                <w:sz w:val="21"/>
                <w:szCs w:val="21"/>
                <w:u w:val="none" w:color="auto"/>
                <w:lang w:val="en-US" w:eastAsia="zh-CN"/>
              </w:rPr>
              <w:t>有相应危险废物处置资质的单位处理</w:t>
            </w:r>
            <w:r>
              <w:rPr>
                <w:rFonts w:hint="default" w:ascii="Times New Roman" w:hAnsi="Times New Roman" w:eastAsia="宋体" w:cs="Times New Roman"/>
                <w:color w:val="auto"/>
                <w:sz w:val="21"/>
                <w:szCs w:val="21"/>
                <w:u w:val="none" w:color="auto"/>
              </w:rPr>
              <w:t>；</w:t>
            </w:r>
          </w:p>
          <w:p w14:paraId="4B1381CA">
            <w:pPr>
              <w:pStyle w:val="3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cs="Times New Roman"/>
                <w:color w:val="auto"/>
                <w:sz w:val="21"/>
                <w:szCs w:val="21"/>
                <w:u w:val="none" w:color="auto"/>
                <w:lang w:val="en-US" w:eastAsia="zh-CN"/>
              </w:rPr>
            </w:pPr>
            <w:r>
              <w:rPr>
                <w:rFonts w:hint="eastAsia" w:cs="Times New Roman"/>
                <w:color w:val="auto"/>
                <w:sz w:val="21"/>
                <w:szCs w:val="21"/>
                <w:u w:val="none" w:color="auto"/>
                <w:lang w:eastAsia="zh-CN"/>
              </w:rPr>
              <w:t>（</w:t>
            </w:r>
            <w:r>
              <w:rPr>
                <w:rFonts w:hint="eastAsia" w:cs="Times New Roman"/>
                <w:color w:val="auto"/>
                <w:sz w:val="21"/>
                <w:szCs w:val="21"/>
                <w:u w:val="none" w:color="auto"/>
                <w:lang w:val="en-US" w:eastAsia="zh-CN"/>
              </w:rPr>
              <w:t>3</w:t>
            </w:r>
            <w:r>
              <w:rPr>
                <w:rFonts w:hint="eastAsia" w:cs="Times New Roman"/>
                <w:color w:val="auto"/>
                <w:sz w:val="21"/>
                <w:szCs w:val="21"/>
                <w:u w:val="none" w:color="auto"/>
                <w:lang w:eastAsia="zh-CN"/>
              </w:rPr>
              <w:t>）</w:t>
            </w:r>
            <w:r>
              <w:rPr>
                <w:rFonts w:hint="eastAsia" w:cs="Times New Roman"/>
                <w:color w:val="auto"/>
                <w:sz w:val="21"/>
                <w:szCs w:val="21"/>
                <w:u w:val="none" w:color="auto"/>
                <w:lang w:val="en-US" w:eastAsia="zh-CN"/>
              </w:rPr>
              <w:t>废紫外线灯：收集后暂存于危险废物暂存间，交由有相应危险废物处置资质的单位处理；</w:t>
            </w:r>
          </w:p>
          <w:p w14:paraId="29A3E67D">
            <w:pPr>
              <w:pStyle w:val="3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（4）未被感染的一次性医疗用品、输液瓶（袋）：该部分废物交由具备合法资质、经营范围包含“未被污染的输液瓶（袋）等”条款的公司处置。</w:t>
            </w:r>
          </w:p>
          <w:p w14:paraId="129E60F4">
            <w:pPr>
              <w:pStyle w:val="3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eastAsia="zh-CN"/>
              </w:rPr>
              <w:t>（</w:t>
            </w:r>
            <w:r>
              <w:rPr>
                <w:rFonts w:hint="eastAsia" w:cs="Times New Roman"/>
                <w:color w:val="auto"/>
                <w:sz w:val="21"/>
                <w:szCs w:val="21"/>
                <w:u w:val="none" w:color="auto"/>
                <w:lang w:val="en-US" w:eastAsia="zh-CN"/>
              </w:rPr>
              <w:t>4</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生活垃圾</w:t>
            </w:r>
            <w:r>
              <w:rPr>
                <w:rFonts w:hint="eastAsia" w:cs="Times New Roman"/>
                <w:color w:val="auto"/>
                <w:sz w:val="21"/>
                <w:szCs w:val="21"/>
                <w:u w:val="none" w:color="auto"/>
                <w:lang w:eastAsia="zh-CN"/>
              </w:rPr>
              <w:t>、</w:t>
            </w:r>
            <w:r>
              <w:rPr>
                <w:rFonts w:hint="eastAsia" w:cs="Times New Roman"/>
                <w:color w:val="auto"/>
                <w:sz w:val="21"/>
                <w:szCs w:val="21"/>
                <w:u w:val="none" w:color="auto"/>
                <w:lang w:val="en-US" w:eastAsia="zh-CN"/>
              </w:rPr>
              <w:t>中药渣</w:t>
            </w:r>
            <w:r>
              <w:rPr>
                <w:rFonts w:hint="default" w:ascii="Times New Roman" w:hAnsi="Times New Roman" w:eastAsia="宋体" w:cs="Times New Roman"/>
                <w:color w:val="auto"/>
                <w:sz w:val="21"/>
                <w:szCs w:val="21"/>
                <w:u w:val="none" w:color="auto"/>
                <w:lang w:val="en-US" w:eastAsia="zh-CN"/>
              </w:rPr>
              <w:t>及</w:t>
            </w:r>
            <w:r>
              <w:rPr>
                <w:rFonts w:hint="eastAsia" w:cs="Times New Roman"/>
                <w:color w:val="auto"/>
                <w:sz w:val="21"/>
                <w:szCs w:val="21"/>
                <w:u w:val="none" w:color="auto"/>
                <w:lang w:val="en-US" w:eastAsia="zh-CN"/>
              </w:rPr>
              <w:t>一次性卫生用品</w:t>
            </w:r>
            <w:r>
              <w:rPr>
                <w:rFonts w:hint="default" w:ascii="Times New Roman" w:hAnsi="Times New Roman" w:eastAsia="宋体" w:cs="Times New Roman"/>
                <w:color w:val="auto"/>
                <w:sz w:val="21"/>
                <w:szCs w:val="21"/>
                <w:u w:val="none" w:color="auto"/>
              </w:rPr>
              <w:t>：经收集后由环卫部门统一清运。</w:t>
            </w:r>
          </w:p>
        </w:tc>
      </w:tr>
      <w:tr w14:paraId="4C2E2C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1008" w:type="dxa"/>
            <w:vAlign w:val="center"/>
          </w:tcPr>
          <w:p w14:paraId="59D1CC9D">
            <w:pPr>
              <w:adjustRightInd w:val="0"/>
              <w:snapToGrid w:val="0"/>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土壤及地下水</w:t>
            </w:r>
          </w:p>
          <w:p w14:paraId="5C2DFC9D">
            <w:pPr>
              <w:adjustRightInd w:val="0"/>
              <w:snapToGrid w:val="0"/>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污染防治措施</w:t>
            </w:r>
          </w:p>
        </w:tc>
        <w:tc>
          <w:tcPr>
            <w:tcW w:w="8875" w:type="dxa"/>
            <w:gridSpan w:val="4"/>
            <w:vAlign w:val="center"/>
          </w:tcPr>
          <w:p w14:paraId="16BAB9A1">
            <w:pPr>
              <w:adjustRightInd w:val="0"/>
              <w:snapToGrid w:val="0"/>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医疗废物暂存间、</w:t>
            </w:r>
            <w:r>
              <w:rPr>
                <w:rFonts w:hint="eastAsia" w:cs="Times New Roman"/>
                <w:color w:val="auto"/>
                <w:sz w:val="21"/>
                <w:szCs w:val="21"/>
                <w:u w:val="none" w:color="auto"/>
                <w:lang w:val="en-US" w:eastAsia="zh-CN"/>
              </w:rPr>
              <w:t>危险废物暂存间、</w:t>
            </w:r>
            <w:r>
              <w:rPr>
                <w:rFonts w:hint="default" w:ascii="Times New Roman" w:hAnsi="Times New Roman" w:eastAsia="宋体" w:cs="Times New Roman"/>
                <w:color w:val="auto"/>
                <w:sz w:val="21"/>
                <w:szCs w:val="21"/>
                <w:u w:val="none" w:color="auto"/>
                <w:lang w:val="en-US" w:eastAsia="zh-CN"/>
              </w:rPr>
              <w:t>污水处理站</w:t>
            </w:r>
            <w:r>
              <w:rPr>
                <w:rFonts w:hint="eastAsia" w:cs="Times New Roman"/>
                <w:color w:val="auto"/>
                <w:sz w:val="21"/>
                <w:szCs w:val="21"/>
                <w:u w:val="none" w:color="auto"/>
                <w:lang w:val="en-US" w:eastAsia="zh-CN"/>
              </w:rPr>
              <w:t>、应急事故池等</w:t>
            </w:r>
            <w:r>
              <w:rPr>
                <w:rFonts w:hint="default" w:ascii="Times New Roman" w:hAnsi="Times New Roman" w:eastAsia="宋体" w:cs="Times New Roman"/>
                <w:color w:val="auto"/>
                <w:sz w:val="21"/>
                <w:szCs w:val="21"/>
                <w:u w:val="none" w:color="auto"/>
              </w:rPr>
              <w:t>做好防渗措施</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lang w:val="en-US" w:eastAsia="zh-CN"/>
              </w:rPr>
              <w:t>并加强日常管理。</w:t>
            </w:r>
          </w:p>
        </w:tc>
      </w:tr>
      <w:tr w14:paraId="51C2AE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008" w:type="dxa"/>
            <w:vAlign w:val="center"/>
          </w:tcPr>
          <w:p w14:paraId="70161A74">
            <w:pPr>
              <w:adjustRightInd w:val="0"/>
              <w:snapToGrid w:val="0"/>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生态保护措施</w:t>
            </w:r>
          </w:p>
        </w:tc>
        <w:tc>
          <w:tcPr>
            <w:tcW w:w="8875" w:type="dxa"/>
            <w:gridSpan w:val="4"/>
            <w:vAlign w:val="center"/>
          </w:tcPr>
          <w:p w14:paraId="6F04C487">
            <w:pPr>
              <w:adjustRightInd w:val="0"/>
              <w:snapToGrid w:val="0"/>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14:paraId="3751EA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1008" w:type="dxa"/>
            <w:vAlign w:val="center"/>
          </w:tcPr>
          <w:p w14:paraId="12A98C25">
            <w:pPr>
              <w:adjustRightInd w:val="0"/>
              <w:snapToGrid w:val="0"/>
              <w:ind w:firstLine="0" w:firstLineChars="0"/>
              <w:jc w:val="center"/>
              <w:rPr>
                <w:rFonts w:hint="default" w:ascii="Times New Roman" w:hAnsi="Times New Roman" w:eastAsia="宋体" w:cs="Times New Roman"/>
                <w:color w:val="auto"/>
                <w:spacing w:val="-8"/>
                <w:sz w:val="21"/>
                <w:szCs w:val="21"/>
                <w:u w:val="none" w:color="auto"/>
              </w:rPr>
            </w:pPr>
            <w:r>
              <w:rPr>
                <w:rFonts w:hint="default" w:ascii="Times New Roman" w:hAnsi="Times New Roman" w:eastAsia="宋体" w:cs="Times New Roman"/>
                <w:color w:val="auto"/>
                <w:spacing w:val="-8"/>
                <w:sz w:val="21"/>
                <w:szCs w:val="21"/>
                <w:u w:val="none" w:color="auto"/>
              </w:rPr>
              <w:t>环境风险</w:t>
            </w:r>
          </w:p>
          <w:p w14:paraId="6096E9E0">
            <w:pPr>
              <w:adjustRightInd w:val="0"/>
              <w:snapToGrid w:val="0"/>
              <w:ind w:firstLine="0" w:firstLineChars="0"/>
              <w:jc w:val="center"/>
              <w:rPr>
                <w:rFonts w:hint="default" w:ascii="Times New Roman" w:hAnsi="Times New Roman" w:eastAsia="宋体" w:cs="Times New Roman"/>
                <w:color w:val="auto"/>
                <w:spacing w:val="-8"/>
                <w:sz w:val="21"/>
                <w:szCs w:val="21"/>
                <w:u w:val="none" w:color="auto"/>
              </w:rPr>
            </w:pPr>
            <w:r>
              <w:rPr>
                <w:rFonts w:hint="default" w:ascii="Times New Roman" w:hAnsi="Times New Roman" w:eastAsia="宋体" w:cs="Times New Roman"/>
                <w:color w:val="auto"/>
                <w:spacing w:val="-8"/>
                <w:sz w:val="21"/>
                <w:szCs w:val="21"/>
                <w:u w:val="none" w:color="auto"/>
              </w:rPr>
              <w:t>防范措施</w:t>
            </w:r>
          </w:p>
        </w:tc>
        <w:tc>
          <w:tcPr>
            <w:tcW w:w="8875" w:type="dxa"/>
            <w:gridSpan w:val="4"/>
            <w:vAlign w:val="center"/>
          </w:tcPr>
          <w:p w14:paraId="6D3525F8">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①</w:t>
            </w:r>
            <w:r>
              <w:rPr>
                <w:rFonts w:hint="default" w:ascii="Times New Roman" w:hAnsi="Times New Roman" w:eastAsia="宋体" w:cs="Times New Roman"/>
                <w:color w:val="auto"/>
                <w:sz w:val="21"/>
                <w:szCs w:val="21"/>
                <w:u w:val="none" w:color="auto"/>
              </w:rPr>
              <w:t xml:space="preserve">需对污水处理提供双路电源和应急电源，保证污水处理站用电不间断，重要的设备需有备用，并备有应急用的消毒剂（固体次氯酸钠等），在万一设备停运情况下，直接人工投加消毒剂。 </w:t>
            </w:r>
          </w:p>
          <w:p w14:paraId="5AF06A12">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②</w:t>
            </w:r>
            <w:r>
              <w:rPr>
                <w:rFonts w:hint="default" w:ascii="Times New Roman" w:hAnsi="Times New Roman" w:eastAsia="宋体" w:cs="Times New Roman"/>
                <w:color w:val="auto"/>
                <w:sz w:val="21"/>
                <w:szCs w:val="21"/>
                <w:u w:val="none" w:color="auto"/>
              </w:rPr>
              <w:t>做好防渗、加强污水处理站日常维护</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 xml:space="preserve">建立安全操作规程，在平时严格按规程办事，加强运行管理和进出水的监测工作，未经处理达标的污水严禁外排。 </w:t>
            </w:r>
          </w:p>
          <w:p w14:paraId="5D123A55">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③</w:t>
            </w:r>
            <w:r>
              <w:rPr>
                <w:rFonts w:hint="default" w:ascii="Times New Roman" w:hAnsi="Times New Roman" w:eastAsia="宋体" w:cs="Times New Roman"/>
                <w:color w:val="auto"/>
                <w:sz w:val="21"/>
                <w:szCs w:val="21"/>
                <w:u w:val="none" w:color="auto"/>
              </w:rPr>
              <w:t>建设污水处理站应急事故池</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应急事故池</w:t>
            </w:r>
            <w:r>
              <w:rPr>
                <w:rFonts w:hint="eastAsia" w:cs="Times New Roman"/>
                <w:color w:val="auto"/>
                <w:sz w:val="21"/>
                <w:szCs w:val="21"/>
                <w:u w:val="none" w:color="auto"/>
                <w:lang w:val="en-US" w:eastAsia="zh-CN"/>
              </w:rPr>
              <w:t>有效容积为40</w:t>
            </w:r>
            <w:r>
              <w:rPr>
                <w:rFonts w:ascii="宋体" w:hAnsi="宋体"/>
                <w:color w:val="auto"/>
                <w:sz w:val="24"/>
                <w:u w:val="none" w:color="auto"/>
              </w:rPr>
              <w:t>m</w:t>
            </w:r>
            <w:r>
              <w:rPr>
                <w:rFonts w:ascii="宋体" w:hAnsi="宋体"/>
                <w:color w:val="auto"/>
                <w:sz w:val="24"/>
                <w:u w:val="none" w:color="auto"/>
                <w:vertAlign w:val="superscript"/>
              </w:rPr>
              <w:t>3</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医院在日常运营过程中一旦出现污水处理站运转异常现象，应立即将废水排入应急事故池，并对污水处理站进行检修。待事故结束后妥善处理。</w:t>
            </w:r>
          </w:p>
          <w:p w14:paraId="74E6F386">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④</w:t>
            </w:r>
            <w:r>
              <w:rPr>
                <w:rFonts w:hint="default" w:ascii="Times New Roman" w:hAnsi="Times New Roman" w:eastAsia="宋体" w:cs="Times New Roman"/>
                <w:bCs/>
                <w:color w:val="auto"/>
                <w:sz w:val="21"/>
                <w:szCs w:val="21"/>
                <w:u w:val="none" w:color="auto"/>
                <w:lang w:val="en-US" w:eastAsia="zh-CN"/>
              </w:rPr>
              <w:t>医疗废物</w:t>
            </w:r>
            <w:r>
              <w:rPr>
                <w:rFonts w:hint="default" w:ascii="Times New Roman" w:hAnsi="Times New Roman" w:eastAsia="宋体" w:cs="Times New Roman"/>
                <w:bCs/>
                <w:color w:val="auto"/>
                <w:sz w:val="21"/>
                <w:szCs w:val="21"/>
                <w:u w:val="none" w:color="auto"/>
              </w:rPr>
              <w:t>暂存间</w:t>
            </w:r>
            <w:r>
              <w:rPr>
                <w:rFonts w:hint="eastAsia" w:cs="Times New Roman"/>
                <w:bCs/>
                <w:color w:val="auto"/>
                <w:sz w:val="21"/>
                <w:szCs w:val="21"/>
                <w:u w:val="none" w:color="auto"/>
                <w:lang w:eastAsia="zh-CN"/>
              </w:rPr>
              <w:t>、</w:t>
            </w:r>
            <w:r>
              <w:rPr>
                <w:rFonts w:hint="eastAsia" w:cs="Times New Roman"/>
                <w:bCs/>
                <w:color w:val="auto"/>
                <w:sz w:val="21"/>
                <w:szCs w:val="21"/>
                <w:u w:val="none" w:color="auto"/>
                <w:lang w:val="en-US" w:eastAsia="zh-CN"/>
              </w:rPr>
              <w:t>危险废物暂存间</w:t>
            </w:r>
            <w:r>
              <w:rPr>
                <w:rFonts w:hint="default" w:ascii="Times New Roman" w:hAnsi="Times New Roman" w:eastAsia="宋体" w:cs="Times New Roman"/>
                <w:bCs/>
                <w:color w:val="auto"/>
                <w:sz w:val="21"/>
                <w:szCs w:val="21"/>
                <w:u w:val="none" w:color="auto"/>
              </w:rPr>
              <w:t>必须做好相应防渗措施，应按照《危险废物贮存污染控制标准》（GB 18597—2023）</w:t>
            </w:r>
            <w:r>
              <w:rPr>
                <w:rFonts w:hint="eastAsia" w:cs="Times New Roman"/>
                <w:bCs/>
                <w:color w:val="auto"/>
                <w:sz w:val="21"/>
                <w:szCs w:val="21"/>
                <w:u w:val="none" w:color="auto"/>
                <w:lang w:eastAsia="zh-CN"/>
              </w:rPr>
              <w:t>、《医疗废物处理处置污染控制标准》（GB 39707-2020）、环境影响评价技术导则地下水环境》（HJ610-2016）</w:t>
            </w:r>
            <w:r>
              <w:rPr>
                <w:rFonts w:hint="default" w:ascii="Times New Roman" w:hAnsi="Times New Roman" w:eastAsia="宋体" w:cs="Times New Roman"/>
                <w:bCs/>
                <w:color w:val="auto"/>
                <w:sz w:val="21"/>
                <w:szCs w:val="21"/>
                <w:u w:val="none" w:color="auto"/>
              </w:rPr>
              <w:t>的相关要求进行建设，</w:t>
            </w:r>
            <w:r>
              <w:rPr>
                <w:rFonts w:hint="default" w:ascii="Times New Roman" w:hAnsi="Times New Roman" w:eastAsia="宋体" w:cs="Times New Roman"/>
                <w:color w:val="auto"/>
                <w:sz w:val="21"/>
                <w:szCs w:val="21"/>
                <w:u w:val="none" w:color="auto"/>
              </w:rPr>
              <w:t>贮存场设置警示标志，设施周围设置围挡，应满足防风、防雨、防晒要求，能防止雨水径流进入贮存场所；地面进行防渗硬化处理，满足防渗要求。危险废物容器满足强度要求，保证完好无损，不与危险废物反应。</w:t>
            </w:r>
            <w:r>
              <w:rPr>
                <w:rFonts w:hint="default" w:ascii="Times New Roman" w:hAnsi="Times New Roman" w:eastAsia="宋体" w:cs="Times New Roman"/>
                <w:bCs/>
                <w:color w:val="auto"/>
                <w:sz w:val="21"/>
                <w:szCs w:val="21"/>
                <w:u w:val="none" w:color="auto"/>
              </w:rPr>
              <w:t>要求</w:t>
            </w:r>
            <w:r>
              <w:rPr>
                <w:rFonts w:hint="default" w:ascii="Times New Roman" w:hAnsi="Times New Roman" w:eastAsia="宋体" w:cs="Times New Roman"/>
                <w:bCs/>
                <w:color w:val="auto"/>
                <w:sz w:val="21"/>
                <w:szCs w:val="21"/>
                <w:u w:val="none" w:color="auto"/>
                <w:lang w:val="en-US" w:eastAsia="zh-CN"/>
              </w:rPr>
              <w:t>医疗废物</w:t>
            </w:r>
            <w:r>
              <w:rPr>
                <w:rFonts w:hint="eastAsia" w:cs="Times New Roman"/>
                <w:bCs/>
                <w:color w:val="auto"/>
                <w:sz w:val="21"/>
                <w:szCs w:val="21"/>
                <w:u w:val="none" w:color="auto"/>
                <w:lang w:val="en-US" w:eastAsia="zh-CN"/>
              </w:rPr>
              <w:t>及其他危险废物</w:t>
            </w:r>
            <w:r>
              <w:rPr>
                <w:rFonts w:hint="default" w:ascii="Times New Roman" w:hAnsi="Times New Roman" w:eastAsia="宋体" w:cs="Times New Roman"/>
                <w:bCs/>
                <w:color w:val="auto"/>
                <w:sz w:val="21"/>
                <w:szCs w:val="21"/>
                <w:u w:val="none" w:color="auto"/>
                <w:lang w:val="en-US" w:eastAsia="zh-CN"/>
              </w:rPr>
              <w:t>的</w:t>
            </w:r>
            <w:r>
              <w:rPr>
                <w:rFonts w:hint="default" w:ascii="Times New Roman" w:hAnsi="Times New Roman" w:eastAsia="宋体" w:cs="Times New Roman"/>
                <w:bCs/>
                <w:color w:val="auto"/>
                <w:sz w:val="21"/>
                <w:szCs w:val="21"/>
                <w:u w:val="none" w:color="auto"/>
              </w:rPr>
              <w:t>临时贮存、运输直至安全处置全过程必须符合《危险废物污染防治技术政策</w:t>
            </w:r>
            <w:r>
              <w:rPr>
                <w:rFonts w:hint="eastAsia" w:cs="Times New Roman"/>
                <w:bCs/>
                <w:color w:val="auto"/>
                <w:sz w:val="21"/>
                <w:szCs w:val="21"/>
                <w:u w:val="none" w:color="auto"/>
                <w:lang w:eastAsia="zh-CN"/>
              </w:rPr>
              <w:t>》《</w:t>
            </w:r>
            <w:r>
              <w:rPr>
                <w:rFonts w:hint="default" w:ascii="Times New Roman" w:hAnsi="Times New Roman" w:eastAsia="宋体" w:cs="Times New Roman"/>
                <w:bCs/>
                <w:color w:val="auto"/>
                <w:sz w:val="21"/>
                <w:szCs w:val="21"/>
                <w:u w:val="none" w:color="auto"/>
              </w:rPr>
              <w:t>危险废物贮存污染控制标准》以及《危险废物转移管理办法》中的要求以及规定。</w:t>
            </w:r>
          </w:p>
          <w:p w14:paraId="33C28CCE">
            <w:pPr>
              <w:adjustRightInd w:val="0"/>
              <w:snapToGrid w:val="0"/>
              <w:ind w:firstLine="0" w:firstLineChars="0"/>
              <w:rPr>
                <w:rFonts w:hint="default" w:ascii="Times New Roman" w:hAnsi="Times New Roman" w:eastAsia="宋体" w:cs="Times New Roman"/>
                <w:color w:val="auto"/>
                <w:sz w:val="21"/>
                <w:szCs w:val="21"/>
                <w:u w:val="none" w:color="auto"/>
              </w:rPr>
            </w:pPr>
          </w:p>
        </w:tc>
      </w:tr>
      <w:tr w14:paraId="0072F9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8" w:type="dxa"/>
            <w:vAlign w:val="center"/>
          </w:tcPr>
          <w:p w14:paraId="78FBE85E">
            <w:pPr>
              <w:adjustRightInd w:val="0"/>
              <w:snapToGrid w:val="0"/>
              <w:ind w:firstLine="0" w:firstLineChars="0"/>
              <w:jc w:val="center"/>
              <w:rPr>
                <w:rFonts w:hint="default" w:ascii="Times New Roman" w:hAnsi="Times New Roman" w:eastAsia="宋体" w:cs="Times New Roman"/>
                <w:color w:val="auto"/>
                <w:spacing w:val="-8"/>
                <w:sz w:val="21"/>
                <w:szCs w:val="21"/>
                <w:u w:val="none" w:color="auto"/>
              </w:rPr>
            </w:pPr>
            <w:r>
              <w:rPr>
                <w:rFonts w:hint="default" w:ascii="Times New Roman" w:hAnsi="Times New Roman" w:eastAsia="宋体" w:cs="Times New Roman"/>
                <w:color w:val="auto"/>
                <w:spacing w:val="-8"/>
                <w:sz w:val="21"/>
                <w:szCs w:val="21"/>
                <w:u w:val="none" w:color="auto"/>
              </w:rPr>
              <w:t>其他环境</w:t>
            </w:r>
          </w:p>
          <w:p w14:paraId="0180D023">
            <w:pPr>
              <w:adjustRightInd w:val="0"/>
              <w:snapToGrid w:val="0"/>
              <w:ind w:firstLine="0" w:firstLineChars="0"/>
              <w:jc w:val="center"/>
              <w:rPr>
                <w:rFonts w:hint="default" w:ascii="Times New Roman" w:hAnsi="Times New Roman" w:eastAsia="宋体" w:cs="Times New Roman"/>
                <w:color w:val="auto"/>
                <w:spacing w:val="-8"/>
                <w:sz w:val="21"/>
                <w:szCs w:val="21"/>
                <w:u w:val="none" w:color="auto"/>
              </w:rPr>
            </w:pPr>
            <w:r>
              <w:rPr>
                <w:rFonts w:hint="default" w:ascii="Times New Roman" w:hAnsi="Times New Roman" w:eastAsia="宋体" w:cs="Times New Roman"/>
                <w:color w:val="auto"/>
                <w:spacing w:val="-8"/>
                <w:sz w:val="21"/>
                <w:szCs w:val="21"/>
                <w:u w:val="none" w:color="auto"/>
              </w:rPr>
              <w:t>管理要求</w:t>
            </w:r>
          </w:p>
        </w:tc>
        <w:tc>
          <w:tcPr>
            <w:tcW w:w="8875" w:type="dxa"/>
            <w:gridSpan w:val="4"/>
            <w:vAlign w:val="center"/>
          </w:tcPr>
          <w:p w14:paraId="39C35B63">
            <w:pPr>
              <w:adjustRightInd w:val="0"/>
              <w:snapToGrid w:val="0"/>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按要求做好排污许可证申领工作及竣工环境保护验收工作。</w:t>
            </w:r>
          </w:p>
        </w:tc>
      </w:tr>
    </w:tbl>
    <w:p w14:paraId="262F0086">
      <w:pPr>
        <w:pStyle w:val="19"/>
        <w:ind w:firstLine="480"/>
        <w:jc w:val="center"/>
        <w:outlineLvl w:val="0"/>
        <w:rPr>
          <w:rFonts w:ascii="Times New Roman" w:hAnsi="Times New Roman" w:eastAsia="黑体"/>
          <w:snapToGrid w:val="0"/>
          <w:color w:val="auto"/>
          <w:sz w:val="30"/>
          <w:szCs w:val="30"/>
          <w:u w:val="none" w:color="auto"/>
        </w:rPr>
      </w:pPr>
      <w:r>
        <w:rPr>
          <w:rFonts w:ascii="Times New Roman" w:hAnsi="Times New Roman"/>
          <w:snapToGrid w:val="0"/>
          <w:color w:val="auto"/>
          <w:u w:val="none" w:color="auto"/>
        </w:rPr>
        <w:br w:type="page"/>
      </w:r>
      <w:bookmarkStart w:id="29" w:name="_Toc128130733"/>
      <w:r>
        <w:rPr>
          <w:rFonts w:ascii="Times New Roman" w:hAnsi="Times New Roman" w:eastAsia="黑体"/>
          <w:snapToGrid w:val="0"/>
          <w:color w:val="auto"/>
          <w:sz w:val="30"/>
          <w:szCs w:val="30"/>
          <w:u w:val="none" w:color="auto"/>
        </w:rPr>
        <w:t>六、结论</w:t>
      </w:r>
      <w:bookmarkEnd w:id="29"/>
    </w:p>
    <w:tbl>
      <w:tblPr>
        <w:tblStyle w:val="22"/>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9AF6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991" w:hRule="atLeast"/>
          <w:jc w:val="center"/>
        </w:trPr>
        <w:tc>
          <w:tcPr>
            <w:tcW w:w="8865" w:type="dxa"/>
          </w:tcPr>
          <w:p w14:paraId="1CDAD0B7">
            <w:pPr>
              <w:ind w:firstLine="480"/>
              <w:rPr>
                <w:color w:val="auto"/>
                <w:u w:val="none" w:color="auto"/>
              </w:rPr>
            </w:pPr>
            <w:r>
              <w:rPr>
                <w:rFonts w:hint="eastAsia" w:ascii="宋体" w:hAnsi="宋体"/>
                <w:color w:val="auto"/>
                <w:sz w:val="24"/>
                <w:szCs w:val="24"/>
                <w:u w:val="none" w:color="auto"/>
                <w:lang w:eastAsia="zh-CN"/>
              </w:rPr>
              <w:t>南宁市健宁精神病医院有限公司</w:t>
            </w:r>
            <w:r>
              <w:rPr>
                <w:rFonts w:hint="eastAsia" w:ascii="宋体" w:hAnsi="宋体" w:eastAsia="宋体"/>
                <w:color w:val="auto"/>
                <w:sz w:val="24"/>
                <w:szCs w:val="24"/>
                <w:u w:val="none" w:color="auto"/>
              </w:rPr>
              <w:t>拟在</w:t>
            </w:r>
            <w:r>
              <w:rPr>
                <w:rFonts w:hint="eastAsia" w:ascii="宋体" w:hAnsi="宋体"/>
                <w:color w:val="auto"/>
                <w:sz w:val="24"/>
                <w:szCs w:val="24"/>
                <w:u w:val="none" w:color="auto"/>
                <w:lang w:eastAsia="zh-CN"/>
              </w:rPr>
              <w:t>南宁市、友谊路58-16 号高岭村九组三产综合楼2号楼</w:t>
            </w:r>
            <w:r>
              <w:rPr>
                <w:rFonts w:hint="eastAsia" w:ascii="宋体" w:hAnsi="宋体" w:eastAsia="宋体"/>
                <w:color w:val="auto"/>
                <w:sz w:val="24"/>
                <w:szCs w:val="24"/>
                <w:u w:val="none" w:color="auto"/>
              </w:rPr>
              <w:t>建设</w:t>
            </w:r>
            <w:r>
              <w:rPr>
                <w:rFonts w:hint="eastAsia" w:ascii="宋体" w:hAnsi="宋体"/>
                <w:color w:val="auto"/>
                <w:sz w:val="24"/>
                <w:szCs w:val="24"/>
                <w:u w:val="none" w:color="auto"/>
                <w:lang w:eastAsia="zh-CN"/>
              </w:rPr>
              <w:t>南宁市健宁精神病医院</w:t>
            </w:r>
            <w:r>
              <w:rPr>
                <w:color w:val="auto"/>
                <w:u w:val="none" w:color="auto"/>
              </w:rPr>
              <w:t>，</w:t>
            </w:r>
            <w:r>
              <w:rPr>
                <w:rFonts w:hint="eastAsia"/>
                <w:color w:val="auto"/>
                <w:u w:val="none" w:color="auto"/>
                <w:lang w:val="en-US" w:eastAsia="zh-CN"/>
              </w:rPr>
              <w:t>本项目建设</w:t>
            </w:r>
            <w:r>
              <w:rPr>
                <w:color w:val="auto"/>
                <w:u w:val="none" w:color="auto"/>
              </w:rPr>
              <w:t>符合国家相关产业政策，选址合理。项目在运行过程中会产生废气、废水、噪声及固体废物等，建设单位只要严格执行环保“三同时”制度，在各个实施阶段过程中积极做好污染治理、环境保护和生态建设等工作，严格按照报告提出的各项污染治理措施对项目建设期和运营期产生的污染进行治理，从环境保护的角度考虑，本项目的环境影响是可行的。</w:t>
            </w:r>
          </w:p>
        </w:tc>
      </w:tr>
    </w:tbl>
    <w:p w14:paraId="461480FD">
      <w:pPr>
        <w:ind w:firstLine="480"/>
        <w:rPr>
          <w:color w:val="auto"/>
          <w:u w:val="none" w:color="auto"/>
        </w:rPr>
        <w:sectPr>
          <w:pgSz w:w="11906" w:h="16838"/>
          <w:pgMar w:top="1531" w:right="1531" w:bottom="1531" w:left="1531" w:header="851" w:footer="851" w:gutter="0"/>
          <w:pgBorders>
            <w:top w:val="none" w:sz="0" w:space="0"/>
            <w:left w:val="none" w:sz="0" w:space="0"/>
            <w:bottom w:val="none" w:sz="0" w:space="0"/>
            <w:right w:val="none" w:sz="0" w:space="0"/>
          </w:pgBorders>
          <w:cols w:space="720" w:num="1"/>
          <w:docGrid w:linePitch="312" w:charSpace="0"/>
        </w:sectPr>
      </w:pPr>
    </w:p>
    <w:p w14:paraId="37AD7792">
      <w:pPr>
        <w:pStyle w:val="19"/>
        <w:adjustRightInd w:val="0"/>
        <w:snapToGrid w:val="0"/>
        <w:spacing w:before="0" w:beforeAutospacing="0" w:after="0" w:afterAutospacing="0" w:line="648" w:lineRule="auto"/>
        <w:ind w:firstLine="640"/>
        <w:outlineLvl w:val="0"/>
        <w:rPr>
          <w:rFonts w:ascii="Times New Roman" w:hAnsi="Times New Roman" w:eastAsia="黑体"/>
          <w:snapToGrid w:val="0"/>
          <w:color w:val="auto"/>
          <w:sz w:val="32"/>
          <w:szCs w:val="32"/>
          <w:u w:val="none" w:color="auto"/>
        </w:rPr>
      </w:pPr>
      <w:bookmarkStart w:id="30" w:name="_Toc128130734"/>
      <w:r>
        <w:rPr>
          <w:rFonts w:ascii="Times New Roman" w:hAnsi="Times New Roman" w:eastAsia="黑体"/>
          <w:snapToGrid w:val="0"/>
          <w:color w:val="auto"/>
          <w:sz w:val="32"/>
          <w:szCs w:val="32"/>
          <w:u w:val="none" w:color="auto"/>
        </w:rPr>
        <w:t>附表</w:t>
      </w:r>
      <w:bookmarkEnd w:id="30"/>
    </w:p>
    <w:p w14:paraId="6680539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760"/>
        <w:jc w:val="center"/>
        <w:textAlignment w:val="auto"/>
        <w:outlineLvl w:val="0"/>
        <w:rPr>
          <w:rFonts w:ascii="Times New Roman" w:hAnsi="Times New Roman" w:eastAsia="方正小标宋_GBK"/>
          <w:snapToGrid w:val="0"/>
          <w:color w:val="auto"/>
          <w:sz w:val="38"/>
          <w:szCs w:val="38"/>
          <w:u w:val="none" w:color="auto"/>
        </w:rPr>
      </w:pPr>
      <w:bookmarkStart w:id="31" w:name="_Toc128130735"/>
      <w:bookmarkStart w:id="32" w:name="_Toc127868920"/>
      <w:bookmarkStart w:id="33" w:name="_Toc127979630"/>
      <w:r>
        <w:rPr>
          <w:rFonts w:ascii="Times New Roman" w:hAnsi="Times New Roman" w:eastAsia="方正小标宋_GBK"/>
          <w:snapToGrid w:val="0"/>
          <w:color w:val="auto"/>
          <w:sz w:val="38"/>
          <w:szCs w:val="38"/>
          <w:u w:val="none" w:color="auto"/>
        </w:rPr>
        <w:t>建设项目污染物排放量汇总表</w:t>
      </w:r>
      <w:bookmarkEnd w:id="31"/>
      <w:bookmarkEnd w:id="32"/>
      <w:bookmarkEnd w:id="33"/>
    </w:p>
    <w:tbl>
      <w:tblPr>
        <w:tblStyle w:val="22"/>
        <w:tblW w:w="1450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765"/>
        <w:gridCol w:w="1485"/>
        <w:gridCol w:w="1144"/>
        <w:gridCol w:w="1701"/>
        <w:gridCol w:w="1559"/>
        <w:gridCol w:w="1761"/>
        <w:gridCol w:w="1791"/>
        <w:gridCol w:w="1708"/>
      </w:tblGrid>
      <w:tr w14:paraId="3F390A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8" w:type="dxa"/>
            <w:tcBorders>
              <w:tl2br w:val="single" w:color="auto" w:sz="4" w:space="0"/>
            </w:tcBorders>
            <w:tcMar>
              <w:left w:w="28" w:type="dxa"/>
              <w:right w:w="28" w:type="dxa"/>
            </w:tcMar>
            <w:vAlign w:val="center"/>
          </w:tcPr>
          <w:p w14:paraId="60BCA045">
            <w:pPr>
              <w:pStyle w:val="34"/>
              <w:spacing w:beforeLines="0" w:afterLines="0" w:line="240" w:lineRule="auto"/>
              <w:ind w:firstLine="0" w:firstLineChars="0"/>
              <w:jc w:val="right"/>
              <w:rPr>
                <w:rFonts w:hint="default" w:ascii="Times New Roman" w:hAnsi="Times New Roman" w:eastAsia="宋体" w:cs="Times New Roman"/>
                <w:snapToGrid w:val="0"/>
                <w:color w:val="auto"/>
                <w:spacing w:val="-6"/>
                <w:kern w:val="21"/>
                <w:sz w:val="21"/>
                <w:szCs w:val="21"/>
                <w:u w:val="none" w:color="auto"/>
              </w:rPr>
            </w:pPr>
            <w:r>
              <w:rPr>
                <w:rFonts w:hint="default" w:ascii="Times New Roman" w:hAnsi="Times New Roman" w:eastAsia="宋体" w:cs="Times New Roman"/>
                <w:snapToGrid w:val="0"/>
                <w:color w:val="auto"/>
                <w:spacing w:val="-6"/>
                <w:kern w:val="21"/>
                <w:sz w:val="21"/>
                <w:szCs w:val="21"/>
                <w:u w:val="none" w:color="auto"/>
              </w:rPr>
              <w:t>项目</w:t>
            </w:r>
          </w:p>
          <w:p w14:paraId="713ECC19">
            <w:pPr>
              <w:pStyle w:val="34"/>
              <w:spacing w:beforeLines="0" w:afterLines="0" w:line="240" w:lineRule="auto"/>
              <w:ind w:firstLine="0" w:firstLineChars="0"/>
              <w:jc w:val="left"/>
              <w:rPr>
                <w:rFonts w:hint="default" w:ascii="Times New Roman" w:hAnsi="Times New Roman" w:eastAsia="宋体" w:cs="Times New Roman"/>
                <w:snapToGrid w:val="0"/>
                <w:color w:val="auto"/>
                <w:spacing w:val="-6"/>
                <w:kern w:val="21"/>
                <w:sz w:val="21"/>
                <w:szCs w:val="21"/>
                <w:u w:val="none" w:color="auto"/>
              </w:rPr>
            </w:pPr>
            <w:r>
              <w:rPr>
                <w:rFonts w:hint="default" w:ascii="Times New Roman" w:hAnsi="Times New Roman" w:eastAsia="宋体" w:cs="Times New Roman"/>
                <w:snapToGrid w:val="0"/>
                <w:color w:val="auto"/>
                <w:spacing w:val="-6"/>
                <w:kern w:val="21"/>
                <w:sz w:val="21"/>
                <w:szCs w:val="21"/>
                <w:u w:val="none" w:color="auto"/>
              </w:rPr>
              <w:t>分类</w:t>
            </w:r>
          </w:p>
        </w:tc>
        <w:tc>
          <w:tcPr>
            <w:tcW w:w="1765" w:type="dxa"/>
            <w:tcMar>
              <w:left w:w="28" w:type="dxa"/>
              <w:right w:w="28" w:type="dxa"/>
            </w:tcMar>
            <w:vAlign w:val="center"/>
          </w:tcPr>
          <w:p w14:paraId="4FBB21D4">
            <w:pPr>
              <w:pStyle w:val="34"/>
              <w:spacing w:beforeLines="0" w:afterLines="0" w:line="240" w:lineRule="auto"/>
              <w:ind w:firstLine="0" w:firstLineChars="0"/>
              <w:rPr>
                <w:rFonts w:hint="default" w:ascii="Times New Roman" w:hAnsi="Times New Roman" w:eastAsia="宋体" w:cs="Times New Roman"/>
                <w:snapToGrid w:val="0"/>
                <w:color w:val="auto"/>
                <w:spacing w:val="-6"/>
                <w:kern w:val="21"/>
                <w:sz w:val="21"/>
                <w:szCs w:val="21"/>
                <w:u w:val="none" w:color="auto"/>
              </w:rPr>
            </w:pPr>
            <w:r>
              <w:rPr>
                <w:rFonts w:hint="default" w:ascii="Times New Roman" w:hAnsi="Times New Roman" w:eastAsia="宋体" w:cs="Times New Roman"/>
                <w:snapToGrid w:val="0"/>
                <w:color w:val="auto"/>
                <w:spacing w:val="-6"/>
                <w:kern w:val="21"/>
                <w:sz w:val="21"/>
                <w:szCs w:val="21"/>
                <w:u w:val="none" w:color="auto"/>
              </w:rPr>
              <w:t>污染物名称</w:t>
            </w:r>
          </w:p>
        </w:tc>
        <w:tc>
          <w:tcPr>
            <w:tcW w:w="1485" w:type="dxa"/>
            <w:tcMar>
              <w:left w:w="28" w:type="dxa"/>
              <w:right w:w="28" w:type="dxa"/>
            </w:tcMar>
            <w:vAlign w:val="center"/>
          </w:tcPr>
          <w:p w14:paraId="2279E9F4">
            <w:pPr>
              <w:pStyle w:val="34"/>
              <w:spacing w:beforeLines="0" w:afterLines="0" w:line="240" w:lineRule="auto"/>
              <w:ind w:firstLine="0" w:firstLineChars="0"/>
              <w:rPr>
                <w:rFonts w:hint="default" w:ascii="Times New Roman" w:hAnsi="Times New Roman" w:eastAsia="宋体" w:cs="Times New Roman"/>
                <w:snapToGrid w:val="0"/>
                <w:color w:val="auto"/>
                <w:spacing w:val="-6"/>
                <w:kern w:val="21"/>
                <w:sz w:val="21"/>
                <w:szCs w:val="21"/>
                <w:u w:val="none" w:color="auto"/>
              </w:rPr>
            </w:pPr>
            <w:r>
              <w:rPr>
                <w:rFonts w:hint="default" w:ascii="Times New Roman" w:hAnsi="Times New Roman" w:eastAsia="宋体" w:cs="Times New Roman"/>
                <w:snapToGrid w:val="0"/>
                <w:color w:val="auto"/>
                <w:spacing w:val="-6"/>
                <w:kern w:val="21"/>
                <w:sz w:val="21"/>
                <w:szCs w:val="21"/>
                <w:u w:val="none" w:color="auto"/>
              </w:rPr>
              <w:t>现有工程</w:t>
            </w:r>
          </w:p>
          <w:p w14:paraId="27CCDAD3">
            <w:pPr>
              <w:pStyle w:val="34"/>
              <w:spacing w:beforeLines="0" w:afterLines="0" w:line="240" w:lineRule="auto"/>
              <w:ind w:firstLine="0" w:firstLineChars="0"/>
              <w:rPr>
                <w:rFonts w:hint="default" w:ascii="Times New Roman" w:hAnsi="Times New Roman" w:eastAsia="宋体" w:cs="Times New Roman"/>
                <w:snapToGrid w:val="0"/>
                <w:color w:val="auto"/>
                <w:spacing w:val="-6"/>
                <w:kern w:val="21"/>
                <w:sz w:val="21"/>
                <w:szCs w:val="21"/>
                <w:u w:val="none" w:color="auto"/>
              </w:rPr>
            </w:pPr>
            <w:r>
              <w:rPr>
                <w:rFonts w:hint="default" w:ascii="Times New Roman" w:hAnsi="Times New Roman" w:eastAsia="宋体" w:cs="Times New Roman"/>
                <w:snapToGrid w:val="0"/>
                <w:color w:val="auto"/>
                <w:spacing w:val="-6"/>
                <w:kern w:val="21"/>
                <w:sz w:val="21"/>
                <w:szCs w:val="21"/>
                <w:u w:val="none" w:color="auto"/>
              </w:rPr>
              <w:t>排放量（固体废物产生量）</w:t>
            </w:r>
            <w:r>
              <w:rPr>
                <w:rFonts w:hint="default" w:ascii="Times New Roman" w:hAnsi="Times New Roman" w:eastAsia="宋体" w:cs="Times New Roman"/>
                <w:snapToGrid w:val="0"/>
                <w:color w:val="auto"/>
                <w:spacing w:val="-6"/>
                <w:kern w:val="21"/>
                <w:sz w:val="21"/>
                <w:szCs w:val="21"/>
                <w:u w:val="none" w:color="auto"/>
              </w:rPr>
              <w:fldChar w:fldCharType="begin"/>
            </w:r>
            <w:r>
              <w:rPr>
                <w:rFonts w:hint="default" w:ascii="Times New Roman" w:hAnsi="Times New Roman" w:eastAsia="宋体" w:cs="Times New Roman"/>
                <w:snapToGrid w:val="0"/>
                <w:color w:val="auto"/>
                <w:spacing w:val="-6"/>
                <w:kern w:val="21"/>
                <w:sz w:val="21"/>
                <w:szCs w:val="21"/>
                <w:u w:val="none" w:color="auto"/>
              </w:rPr>
              <w:instrText xml:space="preserve"> = 1 \* GB3 \* MERGEFORMAT </w:instrText>
            </w:r>
            <w:r>
              <w:rPr>
                <w:rFonts w:hint="default" w:ascii="Times New Roman" w:hAnsi="Times New Roman" w:eastAsia="宋体" w:cs="Times New Roman"/>
                <w:snapToGrid w:val="0"/>
                <w:color w:val="auto"/>
                <w:spacing w:val="-6"/>
                <w:kern w:val="21"/>
                <w:sz w:val="21"/>
                <w:szCs w:val="21"/>
                <w:u w:val="none" w:color="auto"/>
              </w:rPr>
              <w:fldChar w:fldCharType="separate"/>
            </w:r>
            <w:r>
              <w:rPr>
                <w:rFonts w:hint="default" w:ascii="Times New Roman" w:hAnsi="Times New Roman" w:eastAsia="宋体" w:cs="Times New Roman"/>
                <w:color w:val="auto"/>
                <w:sz w:val="21"/>
                <w:szCs w:val="21"/>
                <w:u w:val="none" w:color="auto"/>
              </w:rPr>
              <w:t>①</w:t>
            </w:r>
            <w:r>
              <w:rPr>
                <w:rFonts w:hint="default" w:ascii="Times New Roman" w:hAnsi="Times New Roman" w:eastAsia="宋体" w:cs="Times New Roman"/>
                <w:snapToGrid w:val="0"/>
                <w:color w:val="auto"/>
                <w:spacing w:val="-6"/>
                <w:kern w:val="21"/>
                <w:sz w:val="21"/>
                <w:szCs w:val="21"/>
                <w:u w:val="none" w:color="auto"/>
              </w:rPr>
              <w:fldChar w:fldCharType="end"/>
            </w:r>
          </w:p>
        </w:tc>
        <w:tc>
          <w:tcPr>
            <w:tcW w:w="1144" w:type="dxa"/>
            <w:tcMar>
              <w:left w:w="28" w:type="dxa"/>
              <w:right w:w="28" w:type="dxa"/>
            </w:tcMar>
            <w:vAlign w:val="center"/>
          </w:tcPr>
          <w:p w14:paraId="721BC4D2">
            <w:pPr>
              <w:pStyle w:val="34"/>
              <w:spacing w:beforeLines="0" w:afterLines="0" w:line="240" w:lineRule="auto"/>
              <w:ind w:firstLine="0" w:firstLineChars="0"/>
              <w:rPr>
                <w:rFonts w:hint="default" w:ascii="Times New Roman" w:hAnsi="Times New Roman" w:eastAsia="宋体" w:cs="Times New Roman"/>
                <w:snapToGrid w:val="0"/>
                <w:color w:val="auto"/>
                <w:spacing w:val="-6"/>
                <w:kern w:val="21"/>
                <w:sz w:val="21"/>
                <w:szCs w:val="21"/>
                <w:u w:val="none" w:color="auto"/>
              </w:rPr>
            </w:pPr>
            <w:r>
              <w:rPr>
                <w:rFonts w:hint="default" w:ascii="Times New Roman" w:hAnsi="Times New Roman" w:eastAsia="宋体" w:cs="Times New Roman"/>
                <w:snapToGrid w:val="0"/>
                <w:color w:val="auto"/>
                <w:spacing w:val="-6"/>
                <w:kern w:val="21"/>
                <w:sz w:val="21"/>
                <w:szCs w:val="21"/>
                <w:u w:val="none" w:color="auto"/>
              </w:rPr>
              <w:t>现有工程</w:t>
            </w:r>
          </w:p>
          <w:p w14:paraId="3D447705">
            <w:pPr>
              <w:pStyle w:val="34"/>
              <w:spacing w:beforeLines="0" w:afterLines="0" w:line="240" w:lineRule="auto"/>
              <w:ind w:firstLine="0" w:firstLineChars="0"/>
              <w:rPr>
                <w:rFonts w:hint="default" w:ascii="Times New Roman" w:hAnsi="Times New Roman" w:eastAsia="宋体" w:cs="Times New Roman"/>
                <w:snapToGrid w:val="0"/>
                <w:color w:val="auto"/>
                <w:spacing w:val="-6"/>
                <w:kern w:val="21"/>
                <w:sz w:val="21"/>
                <w:szCs w:val="21"/>
                <w:u w:val="none" w:color="auto"/>
              </w:rPr>
            </w:pPr>
            <w:r>
              <w:rPr>
                <w:rFonts w:hint="default" w:ascii="Times New Roman" w:hAnsi="Times New Roman" w:eastAsia="宋体" w:cs="Times New Roman"/>
                <w:snapToGrid w:val="0"/>
                <w:color w:val="auto"/>
                <w:spacing w:val="-6"/>
                <w:kern w:val="21"/>
                <w:sz w:val="21"/>
                <w:szCs w:val="21"/>
                <w:u w:val="none" w:color="auto"/>
              </w:rPr>
              <w:t>许可排放量</w:t>
            </w:r>
          </w:p>
          <w:p w14:paraId="5EA1C8C7">
            <w:pPr>
              <w:pStyle w:val="34"/>
              <w:spacing w:beforeLines="0" w:afterLines="0"/>
              <w:ind w:firstLine="0" w:firstLineChars="0"/>
              <w:rPr>
                <w:rFonts w:hint="default" w:ascii="Times New Roman" w:hAnsi="Times New Roman" w:eastAsia="宋体" w:cs="Times New Roman"/>
                <w:snapToGrid w:val="0"/>
                <w:color w:val="auto"/>
                <w:spacing w:val="-6"/>
                <w:kern w:val="21"/>
                <w:sz w:val="21"/>
                <w:szCs w:val="21"/>
                <w:u w:val="none" w:color="auto"/>
              </w:rPr>
            </w:pPr>
            <w:r>
              <w:rPr>
                <w:rFonts w:hint="default" w:ascii="Times New Roman" w:hAnsi="Times New Roman" w:eastAsia="宋体" w:cs="Times New Roman"/>
                <w:snapToGrid w:val="0"/>
                <w:color w:val="auto"/>
                <w:spacing w:val="-6"/>
                <w:kern w:val="21"/>
                <w:sz w:val="21"/>
                <w:szCs w:val="21"/>
                <w:u w:val="none" w:color="auto"/>
              </w:rPr>
              <w:fldChar w:fldCharType="begin"/>
            </w:r>
            <w:r>
              <w:rPr>
                <w:rFonts w:hint="default" w:ascii="Times New Roman" w:hAnsi="Times New Roman" w:eastAsia="宋体" w:cs="Times New Roman"/>
                <w:snapToGrid w:val="0"/>
                <w:color w:val="auto"/>
                <w:spacing w:val="-6"/>
                <w:kern w:val="21"/>
                <w:sz w:val="21"/>
                <w:szCs w:val="21"/>
                <w:u w:val="none" w:color="auto"/>
              </w:rPr>
              <w:instrText xml:space="preserve"> = 2 \* GB3 \* MERGEFORMAT </w:instrText>
            </w:r>
            <w:r>
              <w:rPr>
                <w:rFonts w:hint="default" w:ascii="Times New Roman" w:hAnsi="Times New Roman" w:eastAsia="宋体" w:cs="Times New Roman"/>
                <w:snapToGrid w:val="0"/>
                <w:color w:val="auto"/>
                <w:spacing w:val="-6"/>
                <w:kern w:val="21"/>
                <w:sz w:val="21"/>
                <w:szCs w:val="21"/>
                <w:u w:val="none" w:color="auto"/>
              </w:rPr>
              <w:fldChar w:fldCharType="separate"/>
            </w:r>
            <w:r>
              <w:rPr>
                <w:rFonts w:hint="default" w:ascii="Times New Roman" w:hAnsi="Times New Roman" w:eastAsia="宋体" w:cs="Times New Roman"/>
                <w:snapToGrid w:val="0"/>
                <w:color w:val="auto"/>
                <w:spacing w:val="-6"/>
                <w:kern w:val="21"/>
                <w:sz w:val="21"/>
                <w:szCs w:val="21"/>
                <w:u w:val="none" w:color="auto"/>
              </w:rPr>
              <w:t>②</w:t>
            </w:r>
            <w:r>
              <w:rPr>
                <w:rFonts w:hint="default" w:ascii="Times New Roman" w:hAnsi="Times New Roman" w:eastAsia="宋体" w:cs="Times New Roman"/>
                <w:snapToGrid w:val="0"/>
                <w:color w:val="auto"/>
                <w:spacing w:val="-6"/>
                <w:kern w:val="21"/>
                <w:sz w:val="21"/>
                <w:szCs w:val="21"/>
                <w:u w:val="none" w:color="auto"/>
              </w:rPr>
              <w:fldChar w:fldCharType="end"/>
            </w:r>
          </w:p>
        </w:tc>
        <w:tc>
          <w:tcPr>
            <w:tcW w:w="1701" w:type="dxa"/>
            <w:tcMar>
              <w:left w:w="28" w:type="dxa"/>
              <w:right w:w="28" w:type="dxa"/>
            </w:tcMar>
            <w:vAlign w:val="center"/>
          </w:tcPr>
          <w:p w14:paraId="0CB9B06D">
            <w:pPr>
              <w:pStyle w:val="34"/>
              <w:spacing w:beforeLines="0" w:afterLines="0" w:line="240" w:lineRule="auto"/>
              <w:ind w:firstLine="0" w:firstLineChars="0"/>
              <w:rPr>
                <w:rFonts w:hint="default" w:ascii="Times New Roman" w:hAnsi="Times New Roman" w:eastAsia="宋体" w:cs="Times New Roman"/>
                <w:snapToGrid w:val="0"/>
                <w:color w:val="auto"/>
                <w:spacing w:val="-6"/>
                <w:kern w:val="21"/>
                <w:sz w:val="21"/>
                <w:szCs w:val="21"/>
                <w:u w:val="none" w:color="auto"/>
              </w:rPr>
            </w:pPr>
            <w:r>
              <w:rPr>
                <w:rFonts w:hint="default" w:ascii="Times New Roman" w:hAnsi="Times New Roman" w:eastAsia="宋体" w:cs="Times New Roman"/>
                <w:snapToGrid w:val="0"/>
                <w:color w:val="auto"/>
                <w:spacing w:val="-6"/>
                <w:kern w:val="21"/>
                <w:sz w:val="21"/>
                <w:szCs w:val="21"/>
                <w:u w:val="none" w:color="auto"/>
              </w:rPr>
              <w:t>在建工程</w:t>
            </w:r>
          </w:p>
          <w:p w14:paraId="7AB611FD">
            <w:pPr>
              <w:pStyle w:val="34"/>
              <w:spacing w:beforeLines="0" w:afterLines="0" w:line="240" w:lineRule="auto"/>
              <w:ind w:firstLine="0" w:firstLineChars="0"/>
              <w:rPr>
                <w:rFonts w:hint="default" w:ascii="Times New Roman" w:hAnsi="Times New Roman" w:eastAsia="宋体" w:cs="Times New Roman"/>
                <w:snapToGrid w:val="0"/>
                <w:color w:val="auto"/>
                <w:spacing w:val="-6"/>
                <w:kern w:val="21"/>
                <w:sz w:val="21"/>
                <w:szCs w:val="21"/>
                <w:u w:val="none" w:color="auto"/>
              </w:rPr>
            </w:pPr>
            <w:r>
              <w:rPr>
                <w:rFonts w:hint="default" w:ascii="Times New Roman" w:hAnsi="Times New Roman" w:eastAsia="宋体" w:cs="Times New Roman"/>
                <w:snapToGrid w:val="0"/>
                <w:color w:val="auto"/>
                <w:spacing w:val="-6"/>
                <w:kern w:val="21"/>
                <w:sz w:val="21"/>
                <w:szCs w:val="21"/>
                <w:u w:val="none" w:color="auto"/>
              </w:rPr>
              <w:t>排放量（固体废物产生量）</w:t>
            </w:r>
            <w:r>
              <w:rPr>
                <w:rFonts w:hint="default" w:ascii="Times New Roman" w:hAnsi="Times New Roman" w:eastAsia="宋体" w:cs="Times New Roman"/>
                <w:snapToGrid w:val="0"/>
                <w:color w:val="auto"/>
                <w:spacing w:val="-6"/>
                <w:kern w:val="21"/>
                <w:sz w:val="21"/>
                <w:szCs w:val="21"/>
                <w:u w:val="none" w:color="auto"/>
              </w:rPr>
              <w:fldChar w:fldCharType="begin"/>
            </w:r>
            <w:r>
              <w:rPr>
                <w:rFonts w:hint="default" w:ascii="Times New Roman" w:hAnsi="Times New Roman" w:eastAsia="宋体" w:cs="Times New Roman"/>
                <w:snapToGrid w:val="0"/>
                <w:color w:val="auto"/>
                <w:spacing w:val="-6"/>
                <w:kern w:val="21"/>
                <w:sz w:val="21"/>
                <w:szCs w:val="21"/>
                <w:u w:val="none" w:color="auto"/>
              </w:rPr>
              <w:instrText xml:space="preserve"> = 3 \* GB3 \* MERGEFORMAT </w:instrText>
            </w:r>
            <w:r>
              <w:rPr>
                <w:rFonts w:hint="default" w:ascii="Times New Roman" w:hAnsi="Times New Roman" w:eastAsia="宋体" w:cs="Times New Roman"/>
                <w:snapToGrid w:val="0"/>
                <w:color w:val="auto"/>
                <w:spacing w:val="-6"/>
                <w:kern w:val="21"/>
                <w:sz w:val="21"/>
                <w:szCs w:val="21"/>
                <w:u w:val="none" w:color="auto"/>
              </w:rPr>
              <w:fldChar w:fldCharType="separate"/>
            </w:r>
            <w:r>
              <w:rPr>
                <w:rFonts w:hint="default" w:ascii="Times New Roman" w:hAnsi="Times New Roman" w:eastAsia="宋体" w:cs="Times New Roman"/>
                <w:color w:val="auto"/>
                <w:sz w:val="21"/>
                <w:szCs w:val="21"/>
                <w:u w:val="none" w:color="auto"/>
              </w:rPr>
              <w:t>③</w:t>
            </w:r>
            <w:r>
              <w:rPr>
                <w:rFonts w:hint="default" w:ascii="Times New Roman" w:hAnsi="Times New Roman" w:eastAsia="宋体" w:cs="Times New Roman"/>
                <w:snapToGrid w:val="0"/>
                <w:color w:val="auto"/>
                <w:spacing w:val="-6"/>
                <w:kern w:val="21"/>
                <w:sz w:val="21"/>
                <w:szCs w:val="21"/>
                <w:u w:val="none" w:color="auto"/>
              </w:rPr>
              <w:fldChar w:fldCharType="end"/>
            </w:r>
          </w:p>
        </w:tc>
        <w:tc>
          <w:tcPr>
            <w:tcW w:w="1559" w:type="dxa"/>
            <w:tcMar>
              <w:left w:w="28" w:type="dxa"/>
              <w:right w:w="28" w:type="dxa"/>
            </w:tcMar>
            <w:vAlign w:val="center"/>
          </w:tcPr>
          <w:p w14:paraId="292BA27F">
            <w:pPr>
              <w:pStyle w:val="34"/>
              <w:spacing w:beforeLines="0" w:afterLines="0" w:line="240" w:lineRule="auto"/>
              <w:ind w:firstLine="0" w:firstLineChars="0"/>
              <w:rPr>
                <w:rFonts w:hint="default" w:ascii="Times New Roman" w:hAnsi="Times New Roman" w:eastAsia="宋体" w:cs="Times New Roman"/>
                <w:snapToGrid w:val="0"/>
                <w:color w:val="auto"/>
                <w:spacing w:val="-6"/>
                <w:kern w:val="21"/>
                <w:sz w:val="21"/>
                <w:szCs w:val="21"/>
                <w:u w:val="none" w:color="auto"/>
              </w:rPr>
            </w:pPr>
            <w:r>
              <w:rPr>
                <w:rFonts w:hint="default" w:ascii="Times New Roman" w:hAnsi="Times New Roman" w:eastAsia="宋体" w:cs="Times New Roman"/>
                <w:snapToGrid w:val="0"/>
                <w:color w:val="auto"/>
                <w:spacing w:val="-6"/>
                <w:kern w:val="21"/>
                <w:sz w:val="21"/>
                <w:szCs w:val="21"/>
                <w:u w:val="none" w:color="auto"/>
              </w:rPr>
              <w:t>本项目</w:t>
            </w:r>
          </w:p>
          <w:p w14:paraId="540DEEE7">
            <w:pPr>
              <w:pStyle w:val="34"/>
              <w:spacing w:beforeLines="0" w:afterLines="0" w:line="240" w:lineRule="auto"/>
              <w:ind w:firstLine="0" w:firstLineChars="0"/>
              <w:rPr>
                <w:rFonts w:hint="default" w:ascii="Times New Roman" w:hAnsi="Times New Roman" w:eastAsia="宋体" w:cs="Times New Roman"/>
                <w:snapToGrid w:val="0"/>
                <w:color w:val="auto"/>
                <w:spacing w:val="-6"/>
                <w:kern w:val="21"/>
                <w:sz w:val="21"/>
                <w:szCs w:val="21"/>
                <w:u w:val="none" w:color="auto"/>
              </w:rPr>
            </w:pPr>
            <w:r>
              <w:rPr>
                <w:rFonts w:hint="default" w:ascii="Times New Roman" w:hAnsi="Times New Roman" w:eastAsia="宋体" w:cs="Times New Roman"/>
                <w:snapToGrid w:val="0"/>
                <w:color w:val="auto"/>
                <w:spacing w:val="-6"/>
                <w:kern w:val="21"/>
                <w:sz w:val="21"/>
                <w:szCs w:val="21"/>
                <w:u w:val="none" w:color="auto"/>
              </w:rPr>
              <w:t>排放量（固体废物产生量）</w:t>
            </w:r>
            <w:r>
              <w:rPr>
                <w:rFonts w:hint="default" w:ascii="Times New Roman" w:hAnsi="Times New Roman" w:eastAsia="宋体" w:cs="Times New Roman"/>
                <w:snapToGrid w:val="0"/>
                <w:color w:val="auto"/>
                <w:spacing w:val="-6"/>
                <w:kern w:val="21"/>
                <w:sz w:val="21"/>
                <w:szCs w:val="21"/>
                <w:u w:val="none" w:color="auto"/>
              </w:rPr>
              <w:fldChar w:fldCharType="begin"/>
            </w:r>
            <w:r>
              <w:rPr>
                <w:rFonts w:hint="default" w:ascii="Times New Roman" w:hAnsi="Times New Roman" w:eastAsia="宋体" w:cs="Times New Roman"/>
                <w:snapToGrid w:val="0"/>
                <w:color w:val="auto"/>
                <w:spacing w:val="-6"/>
                <w:kern w:val="21"/>
                <w:sz w:val="21"/>
                <w:szCs w:val="21"/>
                <w:u w:val="none" w:color="auto"/>
              </w:rPr>
              <w:instrText xml:space="preserve"> = 4 \* GB3 \* MERGEFORMAT </w:instrText>
            </w:r>
            <w:r>
              <w:rPr>
                <w:rFonts w:hint="default" w:ascii="Times New Roman" w:hAnsi="Times New Roman" w:eastAsia="宋体" w:cs="Times New Roman"/>
                <w:snapToGrid w:val="0"/>
                <w:color w:val="auto"/>
                <w:spacing w:val="-6"/>
                <w:kern w:val="21"/>
                <w:sz w:val="21"/>
                <w:szCs w:val="21"/>
                <w:u w:val="none" w:color="auto"/>
              </w:rPr>
              <w:fldChar w:fldCharType="separate"/>
            </w:r>
            <w:r>
              <w:rPr>
                <w:rFonts w:hint="default" w:ascii="Times New Roman" w:hAnsi="Times New Roman" w:eastAsia="宋体" w:cs="Times New Roman"/>
                <w:color w:val="auto"/>
                <w:sz w:val="21"/>
                <w:szCs w:val="21"/>
                <w:u w:val="none" w:color="auto"/>
              </w:rPr>
              <w:t>④</w:t>
            </w:r>
            <w:r>
              <w:rPr>
                <w:rFonts w:hint="default" w:ascii="Times New Roman" w:hAnsi="Times New Roman" w:eastAsia="宋体" w:cs="Times New Roman"/>
                <w:snapToGrid w:val="0"/>
                <w:color w:val="auto"/>
                <w:spacing w:val="-6"/>
                <w:kern w:val="21"/>
                <w:sz w:val="21"/>
                <w:szCs w:val="21"/>
                <w:u w:val="none" w:color="auto"/>
              </w:rPr>
              <w:fldChar w:fldCharType="end"/>
            </w:r>
          </w:p>
        </w:tc>
        <w:tc>
          <w:tcPr>
            <w:tcW w:w="1761" w:type="dxa"/>
            <w:tcMar>
              <w:left w:w="28" w:type="dxa"/>
              <w:right w:w="28" w:type="dxa"/>
            </w:tcMar>
            <w:vAlign w:val="center"/>
          </w:tcPr>
          <w:p w14:paraId="45C258DE">
            <w:pPr>
              <w:pStyle w:val="34"/>
              <w:spacing w:beforeLines="0" w:afterLines="0" w:line="240" w:lineRule="auto"/>
              <w:ind w:firstLine="0" w:firstLineChars="0"/>
              <w:rPr>
                <w:rFonts w:hint="default" w:ascii="Times New Roman" w:hAnsi="Times New Roman" w:eastAsia="宋体" w:cs="Times New Roman"/>
                <w:snapToGrid w:val="0"/>
                <w:color w:val="auto"/>
                <w:spacing w:val="-16"/>
                <w:kern w:val="21"/>
                <w:sz w:val="21"/>
                <w:szCs w:val="21"/>
                <w:u w:val="none" w:color="auto"/>
              </w:rPr>
            </w:pPr>
            <w:r>
              <w:rPr>
                <w:rFonts w:hint="default" w:ascii="Times New Roman" w:hAnsi="Times New Roman" w:eastAsia="宋体" w:cs="Times New Roman"/>
                <w:snapToGrid w:val="0"/>
                <w:color w:val="auto"/>
                <w:spacing w:val="-16"/>
                <w:kern w:val="21"/>
                <w:sz w:val="21"/>
                <w:szCs w:val="21"/>
                <w:u w:val="none" w:color="auto"/>
              </w:rPr>
              <w:t>以新带老削减量</w:t>
            </w:r>
          </w:p>
          <w:p w14:paraId="3F24F2A0">
            <w:pPr>
              <w:pStyle w:val="34"/>
              <w:spacing w:beforeLines="0" w:afterLines="0" w:line="240" w:lineRule="auto"/>
              <w:ind w:firstLine="0" w:firstLineChars="0"/>
              <w:rPr>
                <w:rFonts w:hint="default" w:ascii="Times New Roman" w:hAnsi="Times New Roman" w:eastAsia="宋体" w:cs="Times New Roman"/>
                <w:snapToGrid w:val="0"/>
                <w:color w:val="auto"/>
                <w:spacing w:val="-16"/>
                <w:kern w:val="21"/>
                <w:sz w:val="21"/>
                <w:szCs w:val="21"/>
                <w:u w:val="none" w:color="auto"/>
              </w:rPr>
            </w:pPr>
            <w:r>
              <w:rPr>
                <w:rFonts w:hint="default" w:ascii="Times New Roman" w:hAnsi="Times New Roman" w:eastAsia="宋体" w:cs="Times New Roman"/>
                <w:snapToGrid w:val="0"/>
                <w:color w:val="auto"/>
                <w:spacing w:val="-16"/>
                <w:kern w:val="21"/>
                <w:sz w:val="21"/>
                <w:szCs w:val="21"/>
                <w:u w:val="none" w:color="auto"/>
              </w:rPr>
              <w:t>（新建项目不填）</w:t>
            </w:r>
            <w:r>
              <w:rPr>
                <w:rFonts w:hint="default" w:ascii="Times New Roman" w:hAnsi="Times New Roman" w:eastAsia="宋体" w:cs="Times New Roman"/>
                <w:snapToGrid w:val="0"/>
                <w:color w:val="auto"/>
                <w:spacing w:val="-16"/>
                <w:kern w:val="21"/>
                <w:sz w:val="21"/>
                <w:szCs w:val="21"/>
                <w:u w:val="none" w:color="auto"/>
              </w:rPr>
              <w:fldChar w:fldCharType="begin"/>
            </w:r>
            <w:r>
              <w:rPr>
                <w:rFonts w:hint="default" w:ascii="Times New Roman" w:hAnsi="Times New Roman" w:eastAsia="宋体" w:cs="Times New Roman"/>
                <w:snapToGrid w:val="0"/>
                <w:color w:val="auto"/>
                <w:spacing w:val="-16"/>
                <w:kern w:val="21"/>
                <w:sz w:val="21"/>
                <w:szCs w:val="21"/>
                <w:u w:val="none" w:color="auto"/>
              </w:rPr>
              <w:instrText xml:space="preserve"> = 5 \* GB3 \* MERGEFORMAT </w:instrText>
            </w:r>
            <w:r>
              <w:rPr>
                <w:rFonts w:hint="default" w:ascii="Times New Roman" w:hAnsi="Times New Roman" w:eastAsia="宋体" w:cs="Times New Roman"/>
                <w:snapToGrid w:val="0"/>
                <w:color w:val="auto"/>
                <w:spacing w:val="-16"/>
                <w:kern w:val="21"/>
                <w:sz w:val="21"/>
                <w:szCs w:val="21"/>
                <w:u w:val="none" w:color="auto"/>
              </w:rPr>
              <w:fldChar w:fldCharType="separate"/>
            </w:r>
            <w:r>
              <w:rPr>
                <w:rFonts w:hint="default" w:ascii="Times New Roman" w:hAnsi="Times New Roman" w:eastAsia="宋体" w:cs="Times New Roman"/>
                <w:color w:val="auto"/>
                <w:sz w:val="21"/>
                <w:szCs w:val="21"/>
                <w:u w:val="none" w:color="auto"/>
              </w:rPr>
              <w:t>⑤</w:t>
            </w:r>
            <w:r>
              <w:rPr>
                <w:rFonts w:hint="default" w:ascii="Times New Roman" w:hAnsi="Times New Roman" w:eastAsia="宋体" w:cs="Times New Roman"/>
                <w:snapToGrid w:val="0"/>
                <w:color w:val="auto"/>
                <w:spacing w:val="-16"/>
                <w:kern w:val="21"/>
                <w:sz w:val="21"/>
                <w:szCs w:val="21"/>
                <w:u w:val="none" w:color="auto"/>
              </w:rPr>
              <w:fldChar w:fldCharType="end"/>
            </w:r>
          </w:p>
        </w:tc>
        <w:tc>
          <w:tcPr>
            <w:tcW w:w="1791" w:type="dxa"/>
            <w:tcMar>
              <w:left w:w="28" w:type="dxa"/>
              <w:right w:w="28" w:type="dxa"/>
            </w:tcMar>
            <w:vAlign w:val="center"/>
          </w:tcPr>
          <w:p w14:paraId="57D2D8FA">
            <w:pPr>
              <w:pStyle w:val="34"/>
              <w:spacing w:beforeLines="0" w:afterLines="0" w:line="240" w:lineRule="auto"/>
              <w:ind w:firstLine="0" w:firstLineChars="0"/>
              <w:rPr>
                <w:rFonts w:hint="default" w:ascii="Times New Roman" w:hAnsi="Times New Roman" w:eastAsia="宋体" w:cs="Times New Roman"/>
                <w:snapToGrid w:val="0"/>
                <w:color w:val="auto"/>
                <w:spacing w:val="-16"/>
                <w:kern w:val="21"/>
                <w:sz w:val="21"/>
                <w:szCs w:val="21"/>
                <w:u w:val="none" w:color="auto"/>
              </w:rPr>
            </w:pPr>
            <w:r>
              <w:rPr>
                <w:rFonts w:hint="default" w:ascii="Times New Roman" w:hAnsi="Times New Roman" w:eastAsia="宋体" w:cs="Times New Roman"/>
                <w:snapToGrid w:val="0"/>
                <w:color w:val="auto"/>
                <w:spacing w:val="-16"/>
                <w:kern w:val="21"/>
                <w:sz w:val="21"/>
                <w:szCs w:val="21"/>
                <w:u w:val="none" w:color="auto"/>
              </w:rPr>
              <w:t>本项目建成后</w:t>
            </w:r>
          </w:p>
          <w:p w14:paraId="4AF65A5F">
            <w:pPr>
              <w:pStyle w:val="34"/>
              <w:spacing w:beforeLines="0" w:afterLines="0" w:line="240" w:lineRule="auto"/>
              <w:ind w:firstLine="0" w:firstLineChars="0"/>
              <w:rPr>
                <w:rFonts w:hint="default" w:ascii="Times New Roman" w:hAnsi="Times New Roman" w:eastAsia="宋体" w:cs="Times New Roman"/>
                <w:snapToGrid w:val="0"/>
                <w:color w:val="auto"/>
                <w:spacing w:val="-16"/>
                <w:kern w:val="21"/>
                <w:sz w:val="21"/>
                <w:szCs w:val="21"/>
                <w:u w:val="none" w:color="auto"/>
              </w:rPr>
            </w:pPr>
            <w:r>
              <w:rPr>
                <w:rFonts w:hint="default" w:ascii="Times New Roman" w:hAnsi="Times New Roman" w:eastAsia="宋体" w:cs="Times New Roman"/>
                <w:snapToGrid w:val="0"/>
                <w:color w:val="auto"/>
                <w:spacing w:val="-16"/>
                <w:kern w:val="21"/>
                <w:sz w:val="21"/>
                <w:szCs w:val="21"/>
                <w:u w:val="none" w:color="auto"/>
              </w:rPr>
              <w:t>全厂排放量（固体废物产生量）</w:t>
            </w:r>
            <w:r>
              <w:rPr>
                <w:rFonts w:hint="default" w:ascii="Times New Roman" w:hAnsi="Times New Roman" w:eastAsia="宋体" w:cs="Times New Roman"/>
                <w:snapToGrid w:val="0"/>
                <w:color w:val="auto"/>
                <w:spacing w:val="-16"/>
                <w:kern w:val="21"/>
                <w:sz w:val="21"/>
                <w:szCs w:val="21"/>
                <w:u w:val="none" w:color="auto"/>
              </w:rPr>
              <w:fldChar w:fldCharType="begin"/>
            </w:r>
            <w:r>
              <w:rPr>
                <w:rFonts w:hint="default" w:ascii="Times New Roman" w:hAnsi="Times New Roman" w:eastAsia="宋体" w:cs="Times New Roman"/>
                <w:snapToGrid w:val="0"/>
                <w:color w:val="auto"/>
                <w:spacing w:val="-16"/>
                <w:kern w:val="21"/>
                <w:sz w:val="21"/>
                <w:szCs w:val="21"/>
                <w:u w:val="none" w:color="auto"/>
              </w:rPr>
              <w:instrText xml:space="preserve"> = 6 \* GB3 \* MERGEFORMAT </w:instrText>
            </w:r>
            <w:r>
              <w:rPr>
                <w:rFonts w:hint="default" w:ascii="Times New Roman" w:hAnsi="Times New Roman" w:eastAsia="宋体" w:cs="Times New Roman"/>
                <w:snapToGrid w:val="0"/>
                <w:color w:val="auto"/>
                <w:spacing w:val="-16"/>
                <w:kern w:val="21"/>
                <w:sz w:val="21"/>
                <w:szCs w:val="21"/>
                <w:u w:val="none" w:color="auto"/>
              </w:rPr>
              <w:fldChar w:fldCharType="separate"/>
            </w:r>
            <w:r>
              <w:rPr>
                <w:rFonts w:hint="default" w:ascii="Times New Roman" w:hAnsi="Times New Roman" w:eastAsia="宋体" w:cs="Times New Roman"/>
                <w:color w:val="auto"/>
                <w:sz w:val="21"/>
                <w:szCs w:val="21"/>
                <w:u w:val="none" w:color="auto"/>
              </w:rPr>
              <w:t>⑥</w:t>
            </w:r>
            <w:r>
              <w:rPr>
                <w:rFonts w:hint="default" w:ascii="Times New Roman" w:hAnsi="Times New Roman" w:eastAsia="宋体" w:cs="Times New Roman"/>
                <w:snapToGrid w:val="0"/>
                <w:color w:val="auto"/>
                <w:spacing w:val="-16"/>
                <w:kern w:val="21"/>
                <w:sz w:val="21"/>
                <w:szCs w:val="21"/>
                <w:u w:val="none" w:color="auto"/>
              </w:rPr>
              <w:fldChar w:fldCharType="end"/>
            </w:r>
          </w:p>
        </w:tc>
        <w:tc>
          <w:tcPr>
            <w:tcW w:w="1708" w:type="dxa"/>
            <w:tcMar>
              <w:left w:w="28" w:type="dxa"/>
              <w:right w:w="28" w:type="dxa"/>
            </w:tcMar>
            <w:vAlign w:val="center"/>
          </w:tcPr>
          <w:p w14:paraId="3516D246">
            <w:pPr>
              <w:pStyle w:val="34"/>
              <w:spacing w:beforeLines="0" w:afterLines="0" w:line="240" w:lineRule="auto"/>
              <w:ind w:firstLine="0" w:firstLineChars="0"/>
              <w:rPr>
                <w:rFonts w:hint="default" w:ascii="Times New Roman" w:hAnsi="Times New Roman" w:eastAsia="宋体" w:cs="Times New Roman"/>
                <w:snapToGrid w:val="0"/>
                <w:color w:val="auto"/>
                <w:spacing w:val="-6"/>
                <w:kern w:val="21"/>
                <w:sz w:val="21"/>
                <w:szCs w:val="21"/>
                <w:u w:val="none" w:color="auto"/>
              </w:rPr>
            </w:pPr>
            <w:r>
              <w:rPr>
                <w:rFonts w:hint="default" w:ascii="Times New Roman" w:hAnsi="Times New Roman" w:eastAsia="宋体" w:cs="Times New Roman"/>
                <w:snapToGrid w:val="0"/>
                <w:color w:val="auto"/>
                <w:spacing w:val="-6"/>
                <w:kern w:val="21"/>
                <w:sz w:val="21"/>
                <w:szCs w:val="21"/>
                <w:u w:val="none" w:color="auto"/>
              </w:rPr>
              <w:t>变化量</w:t>
            </w:r>
          </w:p>
          <w:p w14:paraId="11A85BBA">
            <w:pPr>
              <w:pStyle w:val="34"/>
              <w:spacing w:beforeLines="0" w:afterLines="0" w:line="240" w:lineRule="auto"/>
              <w:ind w:firstLine="0" w:firstLineChars="0"/>
              <w:rPr>
                <w:rFonts w:hint="default" w:ascii="Times New Roman" w:hAnsi="Times New Roman" w:eastAsia="宋体" w:cs="Times New Roman"/>
                <w:snapToGrid w:val="0"/>
                <w:color w:val="auto"/>
                <w:spacing w:val="-6"/>
                <w:kern w:val="21"/>
                <w:sz w:val="21"/>
                <w:szCs w:val="21"/>
                <w:u w:val="none" w:color="auto"/>
              </w:rPr>
            </w:pPr>
            <w:r>
              <w:rPr>
                <w:rFonts w:hint="default" w:ascii="Times New Roman" w:hAnsi="Times New Roman" w:eastAsia="宋体" w:cs="Times New Roman"/>
                <w:snapToGrid w:val="0"/>
                <w:color w:val="auto"/>
                <w:spacing w:val="-6"/>
                <w:kern w:val="21"/>
                <w:sz w:val="21"/>
                <w:szCs w:val="21"/>
                <w:u w:val="none" w:color="auto"/>
              </w:rPr>
              <w:fldChar w:fldCharType="begin"/>
            </w:r>
            <w:r>
              <w:rPr>
                <w:rFonts w:hint="default" w:ascii="Times New Roman" w:hAnsi="Times New Roman" w:eastAsia="宋体" w:cs="Times New Roman"/>
                <w:snapToGrid w:val="0"/>
                <w:color w:val="auto"/>
                <w:spacing w:val="-6"/>
                <w:kern w:val="21"/>
                <w:sz w:val="21"/>
                <w:szCs w:val="21"/>
                <w:u w:val="none" w:color="auto"/>
              </w:rPr>
              <w:instrText xml:space="preserve"> = 7 \* GB3 \* MERGEFORMAT </w:instrText>
            </w:r>
            <w:r>
              <w:rPr>
                <w:rFonts w:hint="default" w:ascii="Times New Roman" w:hAnsi="Times New Roman" w:eastAsia="宋体" w:cs="Times New Roman"/>
                <w:snapToGrid w:val="0"/>
                <w:color w:val="auto"/>
                <w:spacing w:val="-6"/>
                <w:kern w:val="21"/>
                <w:sz w:val="21"/>
                <w:szCs w:val="21"/>
                <w:u w:val="none" w:color="auto"/>
              </w:rPr>
              <w:fldChar w:fldCharType="separate"/>
            </w:r>
            <w:r>
              <w:rPr>
                <w:rFonts w:hint="default" w:ascii="Times New Roman" w:hAnsi="Times New Roman" w:eastAsia="宋体" w:cs="Times New Roman"/>
                <w:color w:val="auto"/>
                <w:sz w:val="21"/>
                <w:szCs w:val="21"/>
                <w:u w:val="none" w:color="auto"/>
              </w:rPr>
              <w:t>⑦</w:t>
            </w:r>
            <w:r>
              <w:rPr>
                <w:rFonts w:hint="default" w:ascii="Times New Roman" w:hAnsi="Times New Roman" w:eastAsia="宋体" w:cs="Times New Roman"/>
                <w:snapToGrid w:val="0"/>
                <w:color w:val="auto"/>
                <w:spacing w:val="-6"/>
                <w:kern w:val="21"/>
                <w:sz w:val="21"/>
                <w:szCs w:val="21"/>
                <w:u w:val="none" w:color="auto"/>
              </w:rPr>
              <w:fldChar w:fldCharType="end"/>
            </w:r>
          </w:p>
        </w:tc>
      </w:tr>
      <w:tr w14:paraId="0E74C6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8" w:type="dxa"/>
            <w:vMerge w:val="restart"/>
            <w:vAlign w:val="center"/>
          </w:tcPr>
          <w:p w14:paraId="6EA767A3">
            <w:pPr>
              <w:pStyle w:val="34"/>
              <w:spacing w:beforeLines="0" w:afterLines="0" w:line="240" w:lineRule="auto"/>
              <w:ind w:firstLine="0" w:firstLineChars="0"/>
              <w:rPr>
                <w:rFonts w:hint="default" w:ascii="Times New Roman" w:hAnsi="Times New Roman" w:eastAsia="宋体" w:cs="Times New Roman"/>
                <w:snapToGrid w:val="0"/>
                <w:color w:val="auto"/>
                <w:kern w:val="21"/>
                <w:sz w:val="21"/>
                <w:szCs w:val="21"/>
                <w:u w:val="none" w:color="auto"/>
              </w:rPr>
            </w:pPr>
            <w:r>
              <w:rPr>
                <w:rFonts w:hint="default" w:ascii="Times New Roman" w:hAnsi="Times New Roman" w:eastAsia="宋体" w:cs="Times New Roman"/>
                <w:snapToGrid w:val="0"/>
                <w:color w:val="auto"/>
                <w:kern w:val="21"/>
                <w:sz w:val="21"/>
                <w:szCs w:val="21"/>
                <w:u w:val="none" w:color="auto"/>
              </w:rPr>
              <w:t>废气</w:t>
            </w:r>
          </w:p>
        </w:tc>
        <w:tc>
          <w:tcPr>
            <w:tcW w:w="1765" w:type="dxa"/>
            <w:vAlign w:val="center"/>
          </w:tcPr>
          <w:p w14:paraId="4265A7D2">
            <w:pPr>
              <w:pStyle w:val="35"/>
              <w:jc w:val="center"/>
              <w:rPr>
                <w:rFonts w:hint="default" w:ascii="Times New Roman" w:hAnsi="Times New Roman" w:eastAsia="宋体" w:cs="Times New Roman"/>
                <w:snapToGrid w:val="0"/>
                <w:color w:val="auto"/>
                <w:sz w:val="21"/>
                <w:szCs w:val="21"/>
                <w:u w:val="none" w:color="auto"/>
              </w:rPr>
            </w:pPr>
            <w:r>
              <w:rPr>
                <w:rFonts w:hint="default" w:ascii="Times New Roman" w:hAnsi="Times New Roman" w:eastAsia="宋体" w:cs="Times New Roman"/>
                <w:color w:val="auto"/>
                <w:sz w:val="21"/>
                <w:szCs w:val="21"/>
                <w:u w:val="none" w:color="auto"/>
              </w:rPr>
              <w:t>NH</w:t>
            </w:r>
            <w:r>
              <w:rPr>
                <w:rFonts w:hint="default" w:ascii="Times New Roman" w:hAnsi="Times New Roman" w:eastAsia="宋体" w:cs="Times New Roman"/>
                <w:color w:val="auto"/>
                <w:sz w:val="21"/>
                <w:szCs w:val="21"/>
                <w:u w:val="none" w:color="auto"/>
                <w:vertAlign w:val="subscript"/>
              </w:rPr>
              <w:t>3</w:t>
            </w:r>
          </w:p>
        </w:tc>
        <w:tc>
          <w:tcPr>
            <w:tcW w:w="1485" w:type="dxa"/>
            <w:vAlign w:val="center"/>
          </w:tcPr>
          <w:p w14:paraId="64527576">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144" w:type="dxa"/>
            <w:vAlign w:val="center"/>
          </w:tcPr>
          <w:p w14:paraId="50C765BE">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701" w:type="dxa"/>
            <w:vAlign w:val="center"/>
          </w:tcPr>
          <w:p w14:paraId="29446937">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559" w:type="dxa"/>
            <w:vAlign w:val="center"/>
          </w:tcPr>
          <w:p w14:paraId="406CBDB1">
            <w:pPr>
              <w:pStyle w:val="35"/>
              <w:jc w:val="center"/>
              <w:rPr>
                <w:rFonts w:hint="default" w:ascii="Times New Roman" w:hAnsi="Times New Roman" w:eastAsia="宋体" w:cs="Times New Roman"/>
                <w:snapToGrid w:val="0"/>
                <w:color w:val="auto"/>
                <w:sz w:val="21"/>
                <w:szCs w:val="21"/>
                <w:u w:val="none" w:color="auto"/>
              </w:rPr>
            </w:pPr>
            <w:r>
              <w:rPr>
                <w:rFonts w:hint="eastAsia" w:cs="Times New Roman"/>
                <w:snapToGrid w:val="0"/>
                <w:color w:val="0000FF"/>
                <w:sz w:val="21"/>
                <w:szCs w:val="21"/>
                <w:u w:val="none" w:color="auto"/>
                <w:lang w:val="en-US" w:eastAsia="zh-CN"/>
              </w:rPr>
              <w:t>0.00057</w:t>
            </w:r>
            <w:r>
              <w:rPr>
                <w:rFonts w:hint="default" w:ascii="Times New Roman" w:hAnsi="Times New Roman" w:eastAsia="宋体" w:cs="Times New Roman"/>
                <w:snapToGrid w:val="0"/>
                <w:color w:val="auto"/>
                <w:sz w:val="21"/>
                <w:szCs w:val="21"/>
                <w:u w:val="none" w:color="auto"/>
              </w:rPr>
              <w:t>t/a</w:t>
            </w:r>
          </w:p>
        </w:tc>
        <w:tc>
          <w:tcPr>
            <w:tcW w:w="1761" w:type="dxa"/>
            <w:vAlign w:val="center"/>
          </w:tcPr>
          <w:p w14:paraId="3E0C00BA">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791" w:type="dxa"/>
            <w:vAlign w:val="center"/>
          </w:tcPr>
          <w:p w14:paraId="1C608529">
            <w:pPr>
              <w:pStyle w:val="35"/>
              <w:jc w:val="center"/>
              <w:rPr>
                <w:rFonts w:hint="default" w:ascii="Times New Roman" w:hAnsi="Times New Roman" w:eastAsia="宋体" w:cs="Times New Roman"/>
                <w:snapToGrid w:val="0"/>
                <w:color w:val="auto"/>
                <w:sz w:val="21"/>
                <w:szCs w:val="21"/>
                <w:u w:val="none" w:color="auto"/>
              </w:rPr>
            </w:pPr>
            <w:r>
              <w:rPr>
                <w:rFonts w:hint="eastAsia" w:cs="Times New Roman"/>
                <w:snapToGrid w:val="0"/>
                <w:color w:val="0000FF"/>
                <w:sz w:val="21"/>
                <w:szCs w:val="21"/>
                <w:u w:val="none" w:color="auto"/>
                <w:lang w:val="en-US" w:eastAsia="zh-CN"/>
              </w:rPr>
              <w:t>0.00057</w:t>
            </w:r>
            <w:r>
              <w:rPr>
                <w:rFonts w:hint="default" w:ascii="Times New Roman" w:hAnsi="Times New Roman" w:eastAsia="宋体" w:cs="Times New Roman"/>
                <w:snapToGrid w:val="0"/>
                <w:color w:val="auto"/>
                <w:sz w:val="21"/>
                <w:szCs w:val="21"/>
                <w:u w:val="none" w:color="auto"/>
              </w:rPr>
              <w:t>t/a</w:t>
            </w:r>
          </w:p>
        </w:tc>
        <w:tc>
          <w:tcPr>
            <w:tcW w:w="1708" w:type="dxa"/>
            <w:vAlign w:val="center"/>
          </w:tcPr>
          <w:p w14:paraId="6401CF6E">
            <w:pPr>
              <w:pStyle w:val="35"/>
              <w:jc w:val="center"/>
              <w:rPr>
                <w:rFonts w:hint="default" w:ascii="Times New Roman" w:hAnsi="Times New Roman" w:eastAsia="宋体" w:cs="Times New Roman"/>
                <w:snapToGrid w:val="0"/>
                <w:color w:val="auto"/>
                <w:sz w:val="21"/>
                <w:szCs w:val="21"/>
                <w:u w:val="none" w:color="auto"/>
              </w:rPr>
            </w:pPr>
            <w:r>
              <w:rPr>
                <w:rFonts w:hint="default" w:ascii="Times New Roman" w:hAnsi="Times New Roman" w:eastAsia="宋体" w:cs="Times New Roman"/>
                <w:snapToGrid w:val="0"/>
                <w:color w:val="auto"/>
                <w:sz w:val="21"/>
                <w:szCs w:val="21"/>
                <w:u w:val="none" w:color="auto"/>
                <w:lang w:val="en-US" w:eastAsia="zh-CN"/>
              </w:rPr>
              <w:t>+</w:t>
            </w:r>
            <w:r>
              <w:rPr>
                <w:rFonts w:hint="eastAsia" w:cs="Times New Roman"/>
                <w:snapToGrid w:val="0"/>
                <w:color w:val="0000FF"/>
                <w:sz w:val="21"/>
                <w:szCs w:val="21"/>
                <w:u w:val="none" w:color="auto"/>
                <w:lang w:val="en-US" w:eastAsia="zh-CN"/>
              </w:rPr>
              <w:t>0.00057</w:t>
            </w:r>
            <w:r>
              <w:rPr>
                <w:rFonts w:hint="default" w:ascii="Times New Roman" w:hAnsi="Times New Roman" w:eastAsia="宋体" w:cs="Times New Roman"/>
                <w:snapToGrid w:val="0"/>
                <w:color w:val="auto"/>
                <w:sz w:val="21"/>
                <w:szCs w:val="21"/>
                <w:u w:val="none" w:color="auto"/>
              </w:rPr>
              <w:t>t/a</w:t>
            </w:r>
          </w:p>
        </w:tc>
      </w:tr>
      <w:tr w14:paraId="4EB656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8" w:type="dxa"/>
            <w:vMerge w:val="continue"/>
            <w:vAlign w:val="center"/>
          </w:tcPr>
          <w:p w14:paraId="1EF0EFD1">
            <w:pPr>
              <w:pStyle w:val="34"/>
              <w:spacing w:beforeLines="0" w:afterLines="0" w:line="240" w:lineRule="auto"/>
              <w:ind w:firstLine="0" w:firstLineChars="0"/>
              <w:rPr>
                <w:rFonts w:hint="default" w:ascii="Times New Roman" w:hAnsi="Times New Roman" w:eastAsia="宋体" w:cs="Times New Roman"/>
                <w:snapToGrid w:val="0"/>
                <w:color w:val="auto"/>
                <w:kern w:val="21"/>
                <w:sz w:val="21"/>
                <w:szCs w:val="21"/>
                <w:u w:val="none" w:color="auto"/>
              </w:rPr>
            </w:pPr>
          </w:p>
        </w:tc>
        <w:tc>
          <w:tcPr>
            <w:tcW w:w="1765" w:type="dxa"/>
            <w:vAlign w:val="center"/>
          </w:tcPr>
          <w:p w14:paraId="580C596F">
            <w:pPr>
              <w:pStyle w:val="35"/>
              <w:jc w:val="center"/>
              <w:rPr>
                <w:rFonts w:hint="default" w:ascii="Times New Roman" w:hAnsi="Times New Roman" w:eastAsia="宋体" w:cs="Times New Roman"/>
                <w:snapToGrid w:val="0"/>
                <w:color w:val="auto"/>
                <w:sz w:val="21"/>
                <w:szCs w:val="21"/>
                <w:u w:val="none" w:color="auto"/>
              </w:rPr>
            </w:pPr>
            <w:r>
              <w:rPr>
                <w:rFonts w:hint="default" w:ascii="Times New Roman" w:hAnsi="Times New Roman" w:eastAsia="宋体" w:cs="Times New Roman"/>
                <w:color w:val="auto"/>
                <w:sz w:val="21"/>
                <w:szCs w:val="21"/>
                <w:u w:val="none" w:color="auto"/>
              </w:rPr>
              <w:t>H</w:t>
            </w:r>
            <w:r>
              <w:rPr>
                <w:rFonts w:hint="default" w:ascii="Times New Roman" w:hAnsi="Times New Roman" w:eastAsia="宋体" w:cs="Times New Roman"/>
                <w:color w:val="auto"/>
                <w:sz w:val="21"/>
                <w:szCs w:val="21"/>
                <w:u w:val="none" w:color="auto"/>
                <w:vertAlign w:val="subscript"/>
              </w:rPr>
              <w:t>2</w:t>
            </w:r>
            <w:r>
              <w:rPr>
                <w:rFonts w:hint="default" w:ascii="Times New Roman" w:hAnsi="Times New Roman" w:eastAsia="宋体" w:cs="Times New Roman"/>
                <w:color w:val="auto"/>
                <w:sz w:val="21"/>
                <w:szCs w:val="21"/>
                <w:u w:val="none" w:color="auto"/>
              </w:rPr>
              <w:t>S</w:t>
            </w:r>
          </w:p>
        </w:tc>
        <w:tc>
          <w:tcPr>
            <w:tcW w:w="1485" w:type="dxa"/>
            <w:vAlign w:val="center"/>
          </w:tcPr>
          <w:p w14:paraId="3B2DF3F2">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144" w:type="dxa"/>
            <w:vAlign w:val="center"/>
          </w:tcPr>
          <w:p w14:paraId="07E83CAD">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701" w:type="dxa"/>
            <w:vAlign w:val="center"/>
          </w:tcPr>
          <w:p w14:paraId="23C5539F">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559" w:type="dxa"/>
            <w:vAlign w:val="center"/>
          </w:tcPr>
          <w:p w14:paraId="0FF8E34A">
            <w:pPr>
              <w:pStyle w:val="35"/>
              <w:jc w:val="center"/>
              <w:rPr>
                <w:rFonts w:hint="default" w:ascii="Times New Roman" w:hAnsi="Times New Roman" w:eastAsia="宋体" w:cs="Times New Roman"/>
                <w:snapToGrid w:val="0"/>
                <w:color w:val="auto"/>
                <w:sz w:val="21"/>
                <w:szCs w:val="21"/>
                <w:u w:val="none" w:color="auto"/>
              </w:rPr>
            </w:pPr>
            <w:r>
              <w:rPr>
                <w:rFonts w:hint="eastAsia" w:cs="Times New Roman"/>
                <w:snapToGrid w:val="0"/>
                <w:color w:val="0000FF"/>
                <w:sz w:val="21"/>
                <w:szCs w:val="21"/>
                <w:u w:val="none" w:color="auto"/>
                <w:lang w:eastAsia="zh-CN"/>
              </w:rPr>
              <w:t>0.00002</w:t>
            </w:r>
            <w:r>
              <w:rPr>
                <w:rFonts w:hint="default" w:ascii="Times New Roman" w:hAnsi="Times New Roman" w:eastAsia="宋体" w:cs="Times New Roman"/>
                <w:snapToGrid w:val="0"/>
                <w:color w:val="auto"/>
                <w:sz w:val="21"/>
                <w:szCs w:val="21"/>
                <w:u w:val="none" w:color="auto"/>
              </w:rPr>
              <w:t>t/a</w:t>
            </w:r>
          </w:p>
        </w:tc>
        <w:tc>
          <w:tcPr>
            <w:tcW w:w="1761" w:type="dxa"/>
            <w:vAlign w:val="center"/>
          </w:tcPr>
          <w:p w14:paraId="1425856A">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791" w:type="dxa"/>
            <w:vAlign w:val="center"/>
          </w:tcPr>
          <w:p w14:paraId="02ED7E71">
            <w:pPr>
              <w:pStyle w:val="35"/>
              <w:jc w:val="center"/>
              <w:rPr>
                <w:rFonts w:hint="default" w:ascii="Times New Roman" w:hAnsi="Times New Roman" w:eastAsia="宋体" w:cs="Times New Roman"/>
                <w:snapToGrid w:val="0"/>
                <w:color w:val="auto"/>
                <w:sz w:val="21"/>
                <w:szCs w:val="21"/>
                <w:u w:val="none" w:color="auto"/>
              </w:rPr>
            </w:pPr>
            <w:r>
              <w:rPr>
                <w:rFonts w:hint="eastAsia" w:cs="Times New Roman"/>
                <w:snapToGrid w:val="0"/>
                <w:color w:val="0000FF"/>
                <w:sz w:val="21"/>
                <w:szCs w:val="21"/>
                <w:u w:val="none" w:color="auto"/>
                <w:lang w:eastAsia="zh-CN"/>
              </w:rPr>
              <w:t>0.00002</w:t>
            </w:r>
            <w:r>
              <w:rPr>
                <w:rFonts w:hint="default" w:ascii="Times New Roman" w:hAnsi="Times New Roman" w:eastAsia="宋体" w:cs="Times New Roman"/>
                <w:snapToGrid w:val="0"/>
                <w:color w:val="auto"/>
                <w:sz w:val="21"/>
                <w:szCs w:val="21"/>
                <w:u w:val="none" w:color="auto"/>
              </w:rPr>
              <w:t>t/a</w:t>
            </w:r>
          </w:p>
        </w:tc>
        <w:tc>
          <w:tcPr>
            <w:tcW w:w="1708" w:type="dxa"/>
            <w:vAlign w:val="center"/>
          </w:tcPr>
          <w:p w14:paraId="7CFBFA77">
            <w:pPr>
              <w:pStyle w:val="35"/>
              <w:jc w:val="center"/>
              <w:rPr>
                <w:rFonts w:hint="default" w:ascii="Times New Roman" w:hAnsi="Times New Roman" w:eastAsia="宋体" w:cs="Times New Roman"/>
                <w:snapToGrid w:val="0"/>
                <w:color w:val="auto"/>
                <w:sz w:val="21"/>
                <w:szCs w:val="21"/>
                <w:u w:val="none" w:color="auto"/>
              </w:rPr>
            </w:pPr>
            <w:r>
              <w:rPr>
                <w:rFonts w:hint="default" w:ascii="Times New Roman" w:hAnsi="Times New Roman" w:eastAsia="宋体" w:cs="Times New Roman"/>
                <w:snapToGrid w:val="0"/>
                <w:color w:val="auto"/>
                <w:sz w:val="21"/>
                <w:szCs w:val="21"/>
                <w:u w:val="none" w:color="auto"/>
                <w:lang w:val="en-US" w:eastAsia="zh-CN"/>
              </w:rPr>
              <w:t>+</w:t>
            </w:r>
            <w:r>
              <w:rPr>
                <w:rFonts w:hint="eastAsia" w:cs="Times New Roman"/>
                <w:snapToGrid w:val="0"/>
                <w:color w:val="0000FF"/>
                <w:sz w:val="21"/>
                <w:szCs w:val="21"/>
                <w:u w:val="none" w:color="auto"/>
                <w:lang w:eastAsia="zh-CN"/>
              </w:rPr>
              <w:t>0.00002</w:t>
            </w:r>
            <w:r>
              <w:rPr>
                <w:rFonts w:hint="default" w:ascii="Times New Roman" w:hAnsi="Times New Roman" w:eastAsia="宋体" w:cs="Times New Roman"/>
                <w:snapToGrid w:val="0"/>
                <w:color w:val="auto"/>
                <w:sz w:val="21"/>
                <w:szCs w:val="21"/>
                <w:u w:val="none" w:color="auto"/>
              </w:rPr>
              <w:t>t/a</w:t>
            </w:r>
          </w:p>
        </w:tc>
      </w:tr>
      <w:tr w14:paraId="133326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8" w:type="dxa"/>
            <w:vMerge w:val="restart"/>
            <w:vAlign w:val="center"/>
          </w:tcPr>
          <w:p w14:paraId="0E987086">
            <w:pPr>
              <w:pStyle w:val="34"/>
              <w:spacing w:beforeLines="0" w:afterLines="0" w:line="240" w:lineRule="auto"/>
              <w:ind w:firstLine="0" w:firstLineChars="0"/>
              <w:rPr>
                <w:rFonts w:hint="default" w:ascii="Times New Roman" w:hAnsi="Times New Roman" w:eastAsia="宋体" w:cs="Times New Roman"/>
                <w:snapToGrid w:val="0"/>
                <w:color w:val="auto"/>
                <w:kern w:val="21"/>
                <w:sz w:val="21"/>
                <w:szCs w:val="21"/>
                <w:u w:val="none" w:color="auto"/>
              </w:rPr>
            </w:pPr>
            <w:r>
              <w:rPr>
                <w:rFonts w:hint="default" w:ascii="Times New Roman" w:hAnsi="Times New Roman" w:eastAsia="宋体" w:cs="Times New Roman"/>
                <w:snapToGrid w:val="0"/>
                <w:color w:val="auto"/>
                <w:kern w:val="21"/>
                <w:sz w:val="21"/>
                <w:szCs w:val="21"/>
                <w:u w:val="none" w:color="auto"/>
              </w:rPr>
              <w:t>废水</w:t>
            </w:r>
          </w:p>
        </w:tc>
        <w:tc>
          <w:tcPr>
            <w:tcW w:w="1765" w:type="dxa"/>
            <w:vAlign w:val="center"/>
          </w:tcPr>
          <w:p w14:paraId="469C7A71">
            <w:pPr>
              <w:pStyle w:val="35"/>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废水量</w:t>
            </w:r>
          </w:p>
        </w:tc>
        <w:tc>
          <w:tcPr>
            <w:tcW w:w="1485" w:type="dxa"/>
            <w:vAlign w:val="center"/>
          </w:tcPr>
          <w:p w14:paraId="5738E901">
            <w:pPr>
              <w:pStyle w:val="35"/>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w:t>
            </w:r>
          </w:p>
        </w:tc>
        <w:tc>
          <w:tcPr>
            <w:tcW w:w="1144" w:type="dxa"/>
            <w:vAlign w:val="center"/>
          </w:tcPr>
          <w:p w14:paraId="37D88B4B">
            <w:pPr>
              <w:pStyle w:val="35"/>
              <w:jc w:val="center"/>
              <w:rPr>
                <w:rFonts w:hint="default" w:ascii="Times New Roman" w:hAnsi="Times New Roman" w:eastAsia="宋体" w:cs="Times New Roman"/>
                <w:color w:val="auto"/>
                <w:sz w:val="21"/>
                <w:szCs w:val="21"/>
                <w:u w:val="none" w:color="auto"/>
              </w:rPr>
            </w:pPr>
          </w:p>
        </w:tc>
        <w:tc>
          <w:tcPr>
            <w:tcW w:w="1701" w:type="dxa"/>
            <w:vAlign w:val="center"/>
          </w:tcPr>
          <w:p w14:paraId="7712D382">
            <w:pPr>
              <w:pStyle w:val="35"/>
              <w:jc w:val="center"/>
              <w:rPr>
                <w:rFonts w:hint="default" w:ascii="Times New Roman" w:hAnsi="Times New Roman" w:eastAsia="宋体" w:cs="Times New Roman"/>
                <w:color w:val="auto"/>
                <w:sz w:val="21"/>
                <w:szCs w:val="21"/>
                <w:u w:val="none" w:color="auto"/>
              </w:rPr>
            </w:pPr>
          </w:p>
        </w:tc>
        <w:tc>
          <w:tcPr>
            <w:tcW w:w="1559" w:type="dxa"/>
            <w:vAlign w:val="center"/>
          </w:tcPr>
          <w:p w14:paraId="2C87FE1F">
            <w:pPr>
              <w:pStyle w:val="35"/>
              <w:jc w:val="center"/>
              <w:rPr>
                <w:rFonts w:hint="default" w:ascii="Times New Roman" w:hAnsi="Times New Roman" w:eastAsia="宋体" w:cs="Times New Roman"/>
                <w:snapToGrid w:val="0"/>
                <w:color w:val="auto"/>
                <w:sz w:val="21"/>
                <w:szCs w:val="21"/>
                <w:u w:val="none" w:color="auto"/>
                <w:lang w:val="en-US" w:eastAsia="zh-CN"/>
              </w:rPr>
            </w:pPr>
            <w:r>
              <w:rPr>
                <w:rFonts w:hint="eastAsia" w:cs="Times New Roman"/>
                <w:snapToGrid w:val="0"/>
                <w:color w:val="0000FF"/>
                <w:sz w:val="21"/>
                <w:szCs w:val="21"/>
                <w:u w:val="none" w:color="auto"/>
                <w:lang w:val="en-US" w:eastAsia="zh-CN"/>
              </w:rPr>
              <w:t>3.133744</w:t>
            </w:r>
            <w:r>
              <w:rPr>
                <w:rFonts w:hint="eastAsia" w:ascii="Times New Roman" w:hAnsi="Times New Roman" w:cs="Times New Roman"/>
                <w:snapToGrid w:val="0"/>
                <w:color w:val="auto"/>
                <w:spacing w:val="-6"/>
                <w:kern w:val="21"/>
                <w:u w:val="none" w:color="auto"/>
                <w:lang w:val="en-US" w:eastAsia="zh-CN"/>
              </w:rPr>
              <w:t>万t/a</w:t>
            </w:r>
          </w:p>
        </w:tc>
        <w:tc>
          <w:tcPr>
            <w:tcW w:w="1761" w:type="dxa"/>
            <w:vAlign w:val="center"/>
          </w:tcPr>
          <w:p w14:paraId="5023FA57">
            <w:pPr>
              <w:pStyle w:val="35"/>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w:t>
            </w:r>
          </w:p>
        </w:tc>
        <w:tc>
          <w:tcPr>
            <w:tcW w:w="1791" w:type="dxa"/>
            <w:vAlign w:val="center"/>
          </w:tcPr>
          <w:p w14:paraId="29C3674D">
            <w:pPr>
              <w:pStyle w:val="35"/>
              <w:jc w:val="center"/>
              <w:rPr>
                <w:rFonts w:hint="default" w:ascii="Times New Roman" w:hAnsi="Times New Roman" w:eastAsia="宋体" w:cs="Times New Roman"/>
                <w:snapToGrid w:val="0"/>
                <w:color w:val="auto"/>
                <w:sz w:val="21"/>
                <w:szCs w:val="21"/>
                <w:u w:val="none" w:color="auto"/>
                <w:lang w:val="en-US" w:eastAsia="zh-CN"/>
              </w:rPr>
            </w:pPr>
            <w:r>
              <w:rPr>
                <w:rFonts w:hint="eastAsia" w:cs="Times New Roman"/>
                <w:snapToGrid w:val="0"/>
                <w:color w:val="0000FF"/>
                <w:sz w:val="21"/>
                <w:szCs w:val="21"/>
                <w:u w:val="none" w:color="auto"/>
                <w:lang w:val="en-US" w:eastAsia="zh-CN"/>
              </w:rPr>
              <w:t>3.133744</w:t>
            </w:r>
            <w:r>
              <w:rPr>
                <w:rFonts w:hint="eastAsia" w:ascii="Times New Roman" w:hAnsi="Times New Roman" w:cs="Times New Roman"/>
                <w:snapToGrid w:val="0"/>
                <w:color w:val="auto"/>
                <w:spacing w:val="-6"/>
                <w:kern w:val="21"/>
                <w:u w:val="none" w:color="auto"/>
                <w:lang w:val="en-US" w:eastAsia="zh-CN"/>
              </w:rPr>
              <w:t>万t/a</w:t>
            </w:r>
          </w:p>
        </w:tc>
        <w:tc>
          <w:tcPr>
            <w:tcW w:w="1708" w:type="dxa"/>
            <w:vAlign w:val="center"/>
          </w:tcPr>
          <w:p w14:paraId="3EC571D5">
            <w:pPr>
              <w:pStyle w:val="35"/>
              <w:jc w:val="center"/>
              <w:rPr>
                <w:rFonts w:hint="default" w:ascii="Times New Roman" w:hAnsi="Times New Roman" w:eastAsia="宋体" w:cs="Times New Roman"/>
                <w:snapToGrid w:val="0"/>
                <w:color w:val="auto"/>
                <w:sz w:val="21"/>
                <w:szCs w:val="21"/>
                <w:u w:val="none" w:color="auto"/>
                <w:lang w:val="en-US" w:eastAsia="zh-CN"/>
              </w:rPr>
            </w:pPr>
            <w:r>
              <w:rPr>
                <w:rFonts w:hint="eastAsia" w:ascii="Times New Roman" w:hAnsi="Times New Roman" w:eastAsia="宋体" w:cs="Times New Roman"/>
                <w:snapToGrid w:val="0"/>
                <w:color w:val="auto"/>
                <w:sz w:val="21"/>
                <w:szCs w:val="21"/>
                <w:u w:val="none" w:color="auto"/>
                <w:lang w:val="en-US" w:eastAsia="zh-CN"/>
              </w:rPr>
              <w:t>+</w:t>
            </w:r>
            <w:r>
              <w:rPr>
                <w:rFonts w:hint="eastAsia" w:cs="Times New Roman"/>
                <w:snapToGrid w:val="0"/>
                <w:color w:val="0000FF"/>
                <w:sz w:val="21"/>
                <w:szCs w:val="21"/>
                <w:u w:val="none" w:color="auto"/>
                <w:lang w:val="en-US" w:eastAsia="zh-CN"/>
              </w:rPr>
              <w:t>3.133744</w:t>
            </w:r>
            <w:r>
              <w:rPr>
                <w:rFonts w:hint="eastAsia" w:ascii="Times New Roman" w:hAnsi="Times New Roman" w:cs="Times New Roman"/>
                <w:snapToGrid w:val="0"/>
                <w:color w:val="auto"/>
                <w:spacing w:val="-6"/>
                <w:kern w:val="21"/>
                <w:u w:val="none" w:color="auto"/>
                <w:lang w:val="en-US" w:eastAsia="zh-CN"/>
              </w:rPr>
              <w:t>万t/a</w:t>
            </w:r>
          </w:p>
        </w:tc>
      </w:tr>
      <w:tr w14:paraId="5DC07E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8" w:type="dxa"/>
            <w:vMerge w:val="continue"/>
            <w:vAlign w:val="center"/>
          </w:tcPr>
          <w:p w14:paraId="4AECBA06">
            <w:pPr>
              <w:pStyle w:val="34"/>
              <w:spacing w:beforeLines="0" w:afterLines="0" w:line="240" w:lineRule="auto"/>
              <w:ind w:firstLine="0" w:firstLineChars="0"/>
              <w:rPr>
                <w:rFonts w:hint="default" w:ascii="Times New Roman" w:hAnsi="Times New Roman" w:eastAsia="宋体" w:cs="Times New Roman"/>
                <w:snapToGrid w:val="0"/>
                <w:color w:val="auto"/>
                <w:kern w:val="21"/>
                <w:sz w:val="21"/>
                <w:szCs w:val="21"/>
                <w:u w:val="none" w:color="auto"/>
              </w:rPr>
            </w:pPr>
          </w:p>
        </w:tc>
        <w:tc>
          <w:tcPr>
            <w:tcW w:w="1765" w:type="dxa"/>
            <w:vAlign w:val="center"/>
          </w:tcPr>
          <w:p w14:paraId="220380A4">
            <w:pPr>
              <w:pStyle w:val="35"/>
              <w:jc w:val="center"/>
              <w:rPr>
                <w:rFonts w:hint="default" w:ascii="Times New Roman" w:hAnsi="Times New Roman" w:eastAsia="宋体" w:cs="Times New Roman"/>
                <w:color w:val="auto"/>
                <w:sz w:val="21"/>
                <w:szCs w:val="21"/>
                <w:highlight w:val="yellow"/>
                <w:u w:val="none" w:color="auto"/>
              </w:rPr>
            </w:pPr>
            <w:r>
              <w:rPr>
                <w:rFonts w:hint="default" w:ascii="Times New Roman" w:hAnsi="Times New Roman" w:eastAsia="宋体" w:cs="Times New Roman"/>
                <w:color w:val="auto"/>
                <w:sz w:val="21"/>
                <w:szCs w:val="21"/>
                <w:u w:val="none" w:color="auto"/>
              </w:rPr>
              <w:t>COD</w:t>
            </w:r>
            <w:r>
              <w:rPr>
                <w:rFonts w:hint="default" w:ascii="Times New Roman" w:hAnsi="Times New Roman" w:eastAsia="宋体" w:cs="Times New Roman"/>
                <w:color w:val="auto"/>
                <w:sz w:val="21"/>
                <w:szCs w:val="21"/>
                <w:u w:val="none" w:color="auto"/>
                <w:vertAlign w:val="subscript"/>
              </w:rPr>
              <w:t>Cr</w:t>
            </w:r>
          </w:p>
        </w:tc>
        <w:tc>
          <w:tcPr>
            <w:tcW w:w="1485" w:type="dxa"/>
            <w:vAlign w:val="center"/>
          </w:tcPr>
          <w:p w14:paraId="58CD3162">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144" w:type="dxa"/>
            <w:vAlign w:val="center"/>
          </w:tcPr>
          <w:p w14:paraId="3F3CC7FC">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701" w:type="dxa"/>
            <w:vAlign w:val="center"/>
          </w:tcPr>
          <w:p w14:paraId="1AF72C16">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559" w:type="dxa"/>
            <w:vAlign w:val="center"/>
          </w:tcPr>
          <w:p w14:paraId="3DC28888">
            <w:pPr>
              <w:pStyle w:val="35"/>
              <w:jc w:val="center"/>
              <w:rPr>
                <w:rFonts w:hint="default" w:ascii="Times New Roman" w:hAnsi="Times New Roman" w:eastAsia="宋体" w:cs="Times New Roman"/>
                <w:snapToGrid w:val="0"/>
                <w:color w:val="auto"/>
                <w:sz w:val="21"/>
                <w:szCs w:val="21"/>
                <w:u w:val="none" w:color="auto"/>
              </w:rPr>
            </w:pPr>
            <w:r>
              <w:rPr>
                <w:rFonts w:hint="eastAsia" w:cs="Times New Roman"/>
                <w:color w:val="0000FF"/>
                <w:sz w:val="21"/>
                <w:szCs w:val="21"/>
                <w:u w:val="none" w:color="auto"/>
                <w:lang w:val="en-US" w:eastAsia="zh-CN"/>
              </w:rPr>
              <w:t>1.880</w:t>
            </w:r>
            <w:r>
              <w:rPr>
                <w:rFonts w:hint="default" w:ascii="Times New Roman" w:hAnsi="Times New Roman" w:eastAsia="宋体" w:cs="Times New Roman"/>
                <w:snapToGrid w:val="0"/>
                <w:color w:val="auto"/>
                <w:sz w:val="21"/>
                <w:szCs w:val="21"/>
                <w:u w:val="none" w:color="auto"/>
              </w:rPr>
              <w:t>t/a</w:t>
            </w:r>
          </w:p>
        </w:tc>
        <w:tc>
          <w:tcPr>
            <w:tcW w:w="1761" w:type="dxa"/>
            <w:vAlign w:val="center"/>
          </w:tcPr>
          <w:p w14:paraId="61266C60">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791" w:type="dxa"/>
            <w:vAlign w:val="center"/>
          </w:tcPr>
          <w:p w14:paraId="14DEFAC8">
            <w:pPr>
              <w:pStyle w:val="35"/>
              <w:jc w:val="center"/>
              <w:rPr>
                <w:rFonts w:hint="default" w:ascii="Times New Roman" w:hAnsi="Times New Roman" w:eastAsia="宋体" w:cs="Times New Roman"/>
                <w:snapToGrid w:val="0"/>
                <w:color w:val="auto"/>
                <w:sz w:val="21"/>
                <w:szCs w:val="21"/>
                <w:u w:val="none" w:color="auto"/>
              </w:rPr>
            </w:pPr>
            <w:r>
              <w:rPr>
                <w:rFonts w:hint="eastAsia" w:cs="Times New Roman"/>
                <w:color w:val="0000FF"/>
                <w:sz w:val="21"/>
                <w:szCs w:val="21"/>
                <w:u w:val="none" w:color="auto"/>
                <w:lang w:val="en-US" w:eastAsia="zh-CN"/>
              </w:rPr>
              <w:t>1.880</w:t>
            </w:r>
            <w:r>
              <w:rPr>
                <w:rFonts w:hint="default" w:ascii="Times New Roman" w:hAnsi="Times New Roman" w:eastAsia="宋体" w:cs="Times New Roman"/>
                <w:snapToGrid w:val="0"/>
                <w:color w:val="auto"/>
                <w:sz w:val="21"/>
                <w:szCs w:val="21"/>
                <w:u w:val="none" w:color="auto"/>
              </w:rPr>
              <w:t>t/a</w:t>
            </w:r>
          </w:p>
        </w:tc>
        <w:tc>
          <w:tcPr>
            <w:tcW w:w="1708" w:type="dxa"/>
            <w:vAlign w:val="center"/>
          </w:tcPr>
          <w:p w14:paraId="528297E5">
            <w:pPr>
              <w:pStyle w:val="35"/>
              <w:jc w:val="center"/>
              <w:rPr>
                <w:rFonts w:hint="default" w:ascii="Times New Roman" w:hAnsi="Times New Roman" w:eastAsia="宋体" w:cs="Times New Roman"/>
                <w:snapToGrid w:val="0"/>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w:t>
            </w:r>
            <w:r>
              <w:rPr>
                <w:rFonts w:hint="eastAsia" w:cs="Times New Roman"/>
                <w:color w:val="0000FF"/>
                <w:sz w:val="21"/>
                <w:szCs w:val="21"/>
                <w:u w:val="none" w:color="auto"/>
                <w:lang w:val="en-US" w:eastAsia="zh-CN"/>
              </w:rPr>
              <w:t>1.880</w:t>
            </w:r>
            <w:r>
              <w:rPr>
                <w:rFonts w:hint="default" w:ascii="Times New Roman" w:hAnsi="Times New Roman" w:eastAsia="宋体" w:cs="Times New Roman"/>
                <w:snapToGrid w:val="0"/>
                <w:color w:val="auto"/>
                <w:sz w:val="21"/>
                <w:szCs w:val="21"/>
                <w:u w:val="none" w:color="auto"/>
              </w:rPr>
              <w:t>t/a</w:t>
            </w:r>
          </w:p>
        </w:tc>
      </w:tr>
      <w:tr w14:paraId="63294F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8" w:type="dxa"/>
            <w:vMerge w:val="continue"/>
            <w:vAlign w:val="center"/>
          </w:tcPr>
          <w:p w14:paraId="4F6EC8A4">
            <w:pPr>
              <w:pStyle w:val="34"/>
              <w:spacing w:beforeLines="0" w:afterLines="0" w:line="240" w:lineRule="auto"/>
              <w:ind w:firstLine="0" w:firstLineChars="0"/>
              <w:rPr>
                <w:rFonts w:hint="default" w:ascii="Times New Roman" w:hAnsi="Times New Roman" w:eastAsia="宋体" w:cs="Times New Roman"/>
                <w:snapToGrid w:val="0"/>
                <w:color w:val="auto"/>
                <w:kern w:val="21"/>
                <w:sz w:val="21"/>
                <w:szCs w:val="21"/>
                <w:u w:val="none" w:color="auto"/>
              </w:rPr>
            </w:pPr>
          </w:p>
        </w:tc>
        <w:tc>
          <w:tcPr>
            <w:tcW w:w="1765" w:type="dxa"/>
            <w:vAlign w:val="center"/>
          </w:tcPr>
          <w:p w14:paraId="6FC47874">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BOD</w:t>
            </w:r>
            <w:r>
              <w:rPr>
                <w:rFonts w:hint="default" w:ascii="Times New Roman" w:hAnsi="Times New Roman" w:eastAsia="宋体" w:cs="Times New Roman"/>
                <w:color w:val="auto"/>
                <w:sz w:val="21"/>
                <w:szCs w:val="21"/>
                <w:u w:val="none" w:color="auto"/>
                <w:vertAlign w:val="subscript"/>
              </w:rPr>
              <w:t>5</w:t>
            </w:r>
          </w:p>
        </w:tc>
        <w:tc>
          <w:tcPr>
            <w:tcW w:w="1485" w:type="dxa"/>
            <w:vAlign w:val="center"/>
          </w:tcPr>
          <w:p w14:paraId="0A77BC27">
            <w:pPr>
              <w:pStyle w:val="35"/>
              <w:jc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w:t>
            </w:r>
          </w:p>
        </w:tc>
        <w:tc>
          <w:tcPr>
            <w:tcW w:w="1144" w:type="dxa"/>
            <w:vAlign w:val="center"/>
          </w:tcPr>
          <w:p w14:paraId="3B58C8C6">
            <w:pPr>
              <w:pStyle w:val="35"/>
              <w:jc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w:t>
            </w:r>
          </w:p>
        </w:tc>
        <w:tc>
          <w:tcPr>
            <w:tcW w:w="1701" w:type="dxa"/>
            <w:vAlign w:val="center"/>
          </w:tcPr>
          <w:p w14:paraId="32834D4C">
            <w:pPr>
              <w:pStyle w:val="35"/>
              <w:jc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w:t>
            </w:r>
          </w:p>
        </w:tc>
        <w:tc>
          <w:tcPr>
            <w:tcW w:w="1559" w:type="dxa"/>
            <w:vAlign w:val="center"/>
          </w:tcPr>
          <w:p w14:paraId="13951A39">
            <w:pPr>
              <w:pStyle w:val="35"/>
              <w:jc w:val="center"/>
              <w:rPr>
                <w:rFonts w:hint="default" w:ascii="Times New Roman" w:hAnsi="Times New Roman" w:eastAsia="宋体" w:cs="Times New Roman"/>
                <w:color w:val="auto"/>
                <w:sz w:val="21"/>
                <w:szCs w:val="21"/>
                <w:u w:val="none" w:color="auto"/>
              </w:rPr>
            </w:pPr>
            <w:r>
              <w:rPr>
                <w:rFonts w:hint="eastAsia" w:cs="Times New Roman"/>
                <w:color w:val="0000FF"/>
                <w:sz w:val="21"/>
                <w:szCs w:val="21"/>
                <w:u w:val="none" w:color="auto"/>
                <w:lang w:val="en-US" w:eastAsia="zh-CN"/>
              </w:rPr>
              <w:t>0.705</w:t>
            </w:r>
            <w:r>
              <w:rPr>
                <w:rFonts w:hint="default" w:ascii="Times New Roman" w:hAnsi="Times New Roman" w:eastAsia="宋体" w:cs="Times New Roman"/>
                <w:snapToGrid w:val="0"/>
                <w:color w:val="auto"/>
                <w:sz w:val="21"/>
                <w:szCs w:val="21"/>
                <w:u w:val="none" w:color="auto"/>
              </w:rPr>
              <w:t xml:space="preserve"> t/a</w:t>
            </w:r>
          </w:p>
        </w:tc>
        <w:tc>
          <w:tcPr>
            <w:tcW w:w="1761" w:type="dxa"/>
            <w:vAlign w:val="center"/>
          </w:tcPr>
          <w:p w14:paraId="114CA44E">
            <w:pPr>
              <w:pStyle w:val="35"/>
              <w:jc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w:t>
            </w:r>
          </w:p>
        </w:tc>
        <w:tc>
          <w:tcPr>
            <w:tcW w:w="1791" w:type="dxa"/>
            <w:vAlign w:val="center"/>
          </w:tcPr>
          <w:p w14:paraId="5B0CF1BC">
            <w:pPr>
              <w:pStyle w:val="35"/>
              <w:jc w:val="center"/>
              <w:rPr>
                <w:rFonts w:hint="default" w:ascii="Times New Roman" w:hAnsi="Times New Roman" w:eastAsia="宋体" w:cs="Times New Roman"/>
                <w:color w:val="auto"/>
                <w:sz w:val="21"/>
                <w:szCs w:val="21"/>
                <w:u w:val="none" w:color="auto"/>
              </w:rPr>
            </w:pPr>
            <w:r>
              <w:rPr>
                <w:rFonts w:hint="eastAsia" w:cs="Times New Roman"/>
                <w:color w:val="0000FF"/>
                <w:sz w:val="21"/>
                <w:szCs w:val="21"/>
                <w:u w:val="none" w:color="auto"/>
                <w:lang w:val="en-US" w:eastAsia="zh-CN"/>
              </w:rPr>
              <w:t>0.705</w:t>
            </w:r>
            <w:r>
              <w:rPr>
                <w:rFonts w:hint="default" w:ascii="Times New Roman" w:hAnsi="Times New Roman" w:eastAsia="宋体" w:cs="Times New Roman"/>
                <w:snapToGrid w:val="0"/>
                <w:color w:val="auto"/>
                <w:sz w:val="21"/>
                <w:szCs w:val="21"/>
                <w:u w:val="none" w:color="auto"/>
              </w:rPr>
              <w:t xml:space="preserve"> t/a</w:t>
            </w:r>
          </w:p>
        </w:tc>
        <w:tc>
          <w:tcPr>
            <w:tcW w:w="1708" w:type="dxa"/>
            <w:vAlign w:val="center"/>
          </w:tcPr>
          <w:p w14:paraId="25496007">
            <w:pPr>
              <w:pStyle w:val="35"/>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w:t>
            </w:r>
            <w:r>
              <w:rPr>
                <w:rFonts w:hint="eastAsia" w:cs="Times New Roman"/>
                <w:color w:val="0000FF"/>
                <w:sz w:val="21"/>
                <w:szCs w:val="21"/>
                <w:u w:val="none" w:color="auto"/>
                <w:lang w:val="en-US" w:eastAsia="zh-CN"/>
              </w:rPr>
              <w:t>0.705</w:t>
            </w:r>
            <w:r>
              <w:rPr>
                <w:rFonts w:hint="default" w:ascii="Times New Roman" w:hAnsi="Times New Roman" w:eastAsia="宋体" w:cs="Times New Roman"/>
                <w:snapToGrid w:val="0"/>
                <w:color w:val="auto"/>
                <w:sz w:val="21"/>
                <w:szCs w:val="21"/>
                <w:u w:val="none" w:color="auto"/>
              </w:rPr>
              <w:t xml:space="preserve"> t/a</w:t>
            </w:r>
          </w:p>
        </w:tc>
      </w:tr>
      <w:tr w14:paraId="47BFEB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8" w:type="dxa"/>
            <w:vMerge w:val="continue"/>
            <w:vAlign w:val="center"/>
          </w:tcPr>
          <w:p w14:paraId="6871699D">
            <w:pPr>
              <w:pStyle w:val="34"/>
              <w:spacing w:beforeLines="0" w:afterLines="0" w:line="240" w:lineRule="auto"/>
              <w:ind w:firstLine="0" w:firstLineChars="0"/>
              <w:rPr>
                <w:rFonts w:hint="default" w:ascii="Times New Roman" w:hAnsi="Times New Roman" w:eastAsia="宋体" w:cs="Times New Roman"/>
                <w:snapToGrid w:val="0"/>
                <w:color w:val="auto"/>
                <w:kern w:val="21"/>
                <w:sz w:val="21"/>
                <w:szCs w:val="21"/>
                <w:u w:val="none" w:color="auto"/>
              </w:rPr>
            </w:pPr>
          </w:p>
        </w:tc>
        <w:tc>
          <w:tcPr>
            <w:tcW w:w="1765" w:type="dxa"/>
            <w:vAlign w:val="center"/>
          </w:tcPr>
          <w:p w14:paraId="49CC7C54">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SS</w:t>
            </w:r>
          </w:p>
        </w:tc>
        <w:tc>
          <w:tcPr>
            <w:tcW w:w="1485" w:type="dxa"/>
            <w:vAlign w:val="center"/>
          </w:tcPr>
          <w:p w14:paraId="13A05F2D">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144" w:type="dxa"/>
            <w:vAlign w:val="center"/>
          </w:tcPr>
          <w:p w14:paraId="77E20292">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701" w:type="dxa"/>
            <w:vAlign w:val="center"/>
          </w:tcPr>
          <w:p w14:paraId="6AB169B4">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559" w:type="dxa"/>
            <w:vAlign w:val="center"/>
          </w:tcPr>
          <w:p w14:paraId="37AF991F">
            <w:pPr>
              <w:pStyle w:val="35"/>
              <w:jc w:val="center"/>
              <w:rPr>
                <w:rFonts w:hint="default" w:ascii="Times New Roman" w:hAnsi="Times New Roman" w:eastAsia="宋体" w:cs="Times New Roman"/>
                <w:snapToGrid w:val="0"/>
                <w:color w:val="auto"/>
                <w:sz w:val="21"/>
                <w:szCs w:val="21"/>
                <w:u w:val="none" w:color="auto"/>
              </w:rPr>
            </w:pPr>
            <w:r>
              <w:rPr>
                <w:rFonts w:hint="eastAsia" w:cs="Times New Roman"/>
                <w:color w:val="0000FF"/>
                <w:sz w:val="21"/>
                <w:szCs w:val="21"/>
                <w:u w:val="none" w:color="auto"/>
                <w:lang w:val="en-US" w:eastAsia="zh-CN"/>
              </w:rPr>
              <w:t>0.940</w:t>
            </w:r>
            <w:r>
              <w:rPr>
                <w:rFonts w:hint="default" w:ascii="Times New Roman" w:hAnsi="Times New Roman" w:eastAsia="宋体" w:cs="Times New Roman"/>
                <w:snapToGrid w:val="0"/>
                <w:color w:val="auto"/>
                <w:sz w:val="21"/>
                <w:szCs w:val="21"/>
                <w:u w:val="none" w:color="auto"/>
              </w:rPr>
              <w:t xml:space="preserve"> t/a</w:t>
            </w:r>
          </w:p>
        </w:tc>
        <w:tc>
          <w:tcPr>
            <w:tcW w:w="1761" w:type="dxa"/>
            <w:vAlign w:val="center"/>
          </w:tcPr>
          <w:p w14:paraId="5300346C">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791" w:type="dxa"/>
            <w:vAlign w:val="center"/>
          </w:tcPr>
          <w:p w14:paraId="0C4425A1">
            <w:pPr>
              <w:pStyle w:val="35"/>
              <w:jc w:val="center"/>
              <w:rPr>
                <w:rFonts w:hint="default" w:ascii="Times New Roman" w:hAnsi="Times New Roman" w:eastAsia="宋体" w:cs="Times New Roman"/>
                <w:snapToGrid w:val="0"/>
                <w:color w:val="auto"/>
                <w:sz w:val="21"/>
                <w:szCs w:val="21"/>
                <w:u w:val="none" w:color="auto"/>
              </w:rPr>
            </w:pPr>
            <w:r>
              <w:rPr>
                <w:rFonts w:hint="eastAsia" w:cs="Times New Roman"/>
                <w:color w:val="0000FF"/>
                <w:sz w:val="21"/>
                <w:szCs w:val="21"/>
                <w:u w:val="none" w:color="auto"/>
                <w:lang w:val="en-US" w:eastAsia="zh-CN"/>
              </w:rPr>
              <w:t>0.940</w:t>
            </w:r>
            <w:r>
              <w:rPr>
                <w:rFonts w:hint="default" w:ascii="Times New Roman" w:hAnsi="Times New Roman" w:eastAsia="宋体" w:cs="Times New Roman"/>
                <w:snapToGrid w:val="0"/>
                <w:color w:val="auto"/>
                <w:sz w:val="21"/>
                <w:szCs w:val="21"/>
                <w:u w:val="none" w:color="auto"/>
              </w:rPr>
              <w:t xml:space="preserve"> t/a</w:t>
            </w:r>
          </w:p>
        </w:tc>
        <w:tc>
          <w:tcPr>
            <w:tcW w:w="1708" w:type="dxa"/>
            <w:vAlign w:val="center"/>
          </w:tcPr>
          <w:p w14:paraId="57AA2D61">
            <w:pPr>
              <w:pStyle w:val="35"/>
              <w:jc w:val="center"/>
              <w:rPr>
                <w:rFonts w:hint="default" w:ascii="Times New Roman" w:hAnsi="Times New Roman" w:eastAsia="宋体" w:cs="Times New Roman"/>
                <w:snapToGrid w:val="0"/>
                <w:color w:val="auto"/>
                <w:sz w:val="21"/>
                <w:szCs w:val="21"/>
                <w:u w:val="none" w:color="auto"/>
              </w:rPr>
            </w:pPr>
            <w:r>
              <w:rPr>
                <w:rFonts w:hint="eastAsia" w:ascii="Times New Roman" w:hAnsi="Times New Roman" w:eastAsia="宋体" w:cs="Times New Roman"/>
                <w:snapToGrid w:val="0"/>
                <w:color w:val="auto"/>
                <w:sz w:val="21"/>
                <w:szCs w:val="21"/>
                <w:u w:val="none" w:color="auto"/>
                <w:lang w:val="en-US" w:eastAsia="zh-CN"/>
              </w:rPr>
              <w:t>+</w:t>
            </w:r>
            <w:r>
              <w:rPr>
                <w:rFonts w:hint="eastAsia" w:cs="Times New Roman"/>
                <w:snapToGrid w:val="0"/>
                <w:color w:val="0000FF"/>
                <w:sz w:val="21"/>
                <w:szCs w:val="21"/>
                <w:u w:val="none" w:color="auto"/>
                <w:lang w:val="en-US" w:eastAsia="zh-CN"/>
              </w:rPr>
              <w:t>0.940</w:t>
            </w:r>
            <w:r>
              <w:rPr>
                <w:rFonts w:hint="default" w:ascii="Times New Roman" w:hAnsi="Times New Roman" w:eastAsia="宋体" w:cs="Times New Roman"/>
                <w:snapToGrid w:val="0"/>
                <w:color w:val="auto"/>
                <w:sz w:val="21"/>
                <w:szCs w:val="21"/>
                <w:u w:val="none" w:color="auto"/>
              </w:rPr>
              <w:t xml:space="preserve"> t/a</w:t>
            </w:r>
          </w:p>
        </w:tc>
      </w:tr>
      <w:tr w14:paraId="153A42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8" w:type="dxa"/>
            <w:vMerge w:val="continue"/>
            <w:vAlign w:val="center"/>
          </w:tcPr>
          <w:p w14:paraId="367F274D">
            <w:pPr>
              <w:pStyle w:val="34"/>
              <w:spacing w:beforeLines="0" w:afterLines="0" w:line="240" w:lineRule="auto"/>
              <w:ind w:firstLine="0" w:firstLineChars="0"/>
              <w:rPr>
                <w:rFonts w:hint="default" w:ascii="Times New Roman" w:hAnsi="Times New Roman" w:eastAsia="宋体" w:cs="Times New Roman"/>
                <w:snapToGrid w:val="0"/>
                <w:color w:val="auto"/>
                <w:kern w:val="21"/>
                <w:sz w:val="21"/>
                <w:szCs w:val="21"/>
                <w:u w:val="none" w:color="auto"/>
              </w:rPr>
            </w:pPr>
          </w:p>
        </w:tc>
        <w:tc>
          <w:tcPr>
            <w:tcW w:w="1765" w:type="dxa"/>
            <w:vAlign w:val="center"/>
          </w:tcPr>
          <w:p w14:paraId="5413A706">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NH</w:t>
            </w:r>
            <w:r>
              <w:rPr>
                <w:rFonts w:hint="default" w:ascii="Times New Roman" w:hAnsi="Times New Roman" w:eastAsia="宋体" w:cs="Times New Roman"/>
                <w:color w:val="auto"/>
                <w:sz w:val="21"/>
                <w:szCs w:val="21"/>
                <w:u w:val="none" w:color="auto"/>
                <w:vertAlign w:val="subscript"/>
              </w:rPr>
              <w:t>3</w:t>
            </w:r>
            <w:r>
              <w:rPr>
                <w:rFonts w:hint="default" w:ascii="Times New Roman" w:hAnsi="Times New Roman" w:eastAsia="宋体" w:cs="Times New Roman"/>
                <w:color w:val="auto"/>
                <w:sz w:val="21"/>
                <w:szCs w:val="21"/>
                <w:u w:val="none" w:color="auto"/>
              </w:rPr>
              <w:t>-N</w:t>
            </w:r>
          </w:p>
        </w:tc>
        <w:tc>
          <w:tcPr>
            <w:tcW w:w="1485" w:type="dxa"/>
            <w:vAlign w:val="center"/>
          </w:tcPr>
          <w:p w14:paraId="64180661">
            <w:pPr>
              <w:pStyle w:val="35"/>
              <w:jc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w:t>
            </w:r>
          </w:p>
        </w:tc>
        <w:tc>
          <w:tcPr>
            <w:tcW w:w="1144" w:type="dxa"/>
            <w:vAlign w:val="center"/>
          </w:tcPr>
          <w:p w14:paraId="150693EA">
            <w:pPr>
              <w:pStyle w:val="35"/>
              <w:jc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w:t>
            </w:r>
          </w:p>
        </w:tc>
        <w:tc>
          <w:tcPr>
            <w:tcW w:w="1701" w:type="dxa"/>
            <w:vAlign w:val="center"/>
          </w:tcPr>
          <w:p w14:paraId="5744B6C8">
            <w:pPr>
              <w:pStyle w:val="35"/>
              <w:jc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w:t>
            </w:r>
          </w:p>
        </w:tc>
        <w:tc>
          <w:tcPr>
            <w:tcW w:w="1559" w:type="dxa"/>
            <w:vAlign w:val="center"/>
          </w:tcPr>
          <w:p w14:paraId="7056B597">
            <w:pPr>
              <w:pStyle w:val="35"/>
              <w:jc w:val="center"/>
              <w:rPr>
                <w:rFonts w:hint="default" w:ascii="Times New Roman" w:hAnsi="Times New Roman" w:eastAsia="宋体" w:cs="Times New Roman"/>
                <w:color w:val="auto"/>
                <w:sz w:val="21"/>
                <w:szCs w:val="21"/>
                <w:u w:val="none" w:color="auto"/>
              </w:rPr>
            </w:pPr>
            <w:r>
              <w:rPr>
                <w:rFonts w:hint="eastAsia" w:cs="Times New Roman"/>
                <w:color w:val="0000FF"/>
                <w:sz w:val="21"/>
                <w:szCs w:val="21"/>
                <w:u w:val="none" w:color="auto"/>
                <w:lang w:val="en-US" w:eastAsia="zh-CN"/>
              </w:rPr>
              <w:t>0.627</w:t>
            </w:r>
            <w:r>
              <w:rPr>
                <w:rFonts w:hint="default" w:ascii="Times New Roman" w:hAnsi="Times New Roman" w:eastAsia="宋体" w:cs="Times New Roman"/>
                <w:snapToGrid w:val="0"/>
                <w:color w:val="auto"/>
                <w:sz w:val="21"/>
                <w:szCs w:val="21"/>
                <w:u w:val="none" w:color="auto"/>
              </w:rPr>
              <w:t xml:space="preserve"> t/a</w:t>
            </w:r>
          </w:p>
        </w:tc>
        <w:tc>
          <w:tcPr>
            <w:tcW w:w="1761" w:type="dxa"/>
            <w:vAlign w:val="center"/>
          </w:tcPr>
          <w:p w14:paraId="4895A46E">
            <w:pPr>
              <w:pStyle w:val="35"/>
              <w:jc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w:t>
            </w:r>
          </w:p>
        </w:tc>
        <w:tc>
          <w:tcPr>
            <w:tcW w:w="1791" w:type="dxa"/>
            <w:vAlign w:val="center"/>
          </w:tcPr>
          <w:p w14:paraId="68ED0F29">
            <w:pPr>
              <w:pStyle w:val="35"/>
              <w:jc w:val="center"/>
              <w:rPr>
                <w:rFonts w:hint="default" w:ascii="Times New Roman" w:hAnsi="Times New Roman" w:eastAsia="宋体" w:cs="Times New Roman"/>
                <w:color w:val="auto"/>
                <w:sz w:val="21"/>
                <w:szCs w:val="21"/>
                <w:u w:val="none" w:color="auto"/>
              </w:rPr>
            </w:pPr>
            <w:r>
              <w:rPr>
                <w:rFonts w:hint="eastAsia" w:cs="Times New Roman"/>
                <w:color w:val="0000FF"/>
                <w:sz w:val="21"/>
                <w:szCs w:val="21"/>
                <w:u w:val="none" w:color="auto"/>
                <w:lang w:val="en-US" w:eastAsia="zh-CN"/>
              </w:rPr>
              <w:t>0.627</w:t>
            </w:r>
            <w:r>
              <w:rPr>
                <w:rFonts w:hint="default" w:ascii="Times New Roman" w:hAnsi="Times New Roman" w:eastAsia="宋体" w:cs="Times New Roman"/>
                <w:snapToGrid w:val="0"/>
                <w:color w:val="auto"/>
                <w:sz w:val="21"/>
                <w:szCs w:val="21"/>
                <w:u w:val="none" w:color="auto"/>
              </w:rPr>
              <w:t xml:space="preserve"> t/a</w:t>
            </w:r>
          </w:p>
        </w:tc>
        <w:tc>
          <w:tcPr>
            <w:tcW w:w="1708" w:type="dxa"/>
            <w:vAlign w:val="center"/>
          </w:tcPr>
          <w:p w14:paraId="5D91BA03">
            <w:pPr>
              <w:pStyle w:val="35"/>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w:t>
            </w:r>
            <w:r>
              <w:rPr>
                <w:rFonts w:hint="eastAsia" w:cs="Times New Roman"/>
                <w:color w:val="0000FF"/>
                <w:sz w:val="21"/>
                <w:szCs w:val="21"/>
                <w:u w:val="none" w:color="auto"/>
                <w:lang w:val="en-US" w:eastAsia="zh-CN"/>
              </w:rPr>
              <w:t>0.627</w:t>
            </w:r>
            <w:r>
              <w:rPr>
                <w:rFonts w:hint="default" w:ascii="Times New Roman" w:hAnsi="Times New Roman" w:eastAsia="宋体" w:cs="Times New Roman"/>
                <w:snapToGrid w:val="0"/>
                <w:color w:val="auto"/>
                <w:sz w:val="21"/>
                <w:szCs w:val="21"/>
                <w:u w:val="none" w:color="auto"/>
              </w:rPr>
              <w:t xml:space="preserve"> t/a</w:t>
            </w:r>
          </w:p>
        </w:tc>
      </w:tr>
      <w:tr w14:paraId="313555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8" w:type="dxa"/>
            <w:vMerge w:val="continue"/>
            <w:vAlign w:val="center"/>
          </w:tcPr>
          <w:p w14:paraId="7E8C6FCE">
            <w:pPr>
              <w:pStyle w:val="34"/>
              <w:spacing w:beforeLines="0" w:afterLines="0" w:line="240" w:lineRule="auto"/>
              <w:ind w:firstLine="0" w:firstLineChars="0"/>
              <w:rPr>
                <w:rFonts w:hint="default" w:ascii="Times New Roman" w:hAnsi="Times New Roman" w:eastAsia="宋体" w:cs="Times New Roman"/>
                <w:snapToGrid w:val="0"/>
                <w:color w:val="auto"/>
                <w:kern w:val="21"/>
                <w:sz w:val="21"/>
                <w:szCs w:val="21"/>
                <w:u w:val="none" w:color="auto"/>
              </w:rPr>
            </w:pPr>
          </w:p>
        </w:tc>
        <w:tc>
          <w:tcPr>
            <w:tcW w:w="1765" w:type="dxa"/>
            <w:vAlign w:val="center"/>
          </w:tcPr>
          <w:p w14:paraId="68562545">
            <w:pPr>
              <w:pStyle w:val="35"/>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动植物油</w:t>
            </w:r>
          </w:p>
        </w:tc>
        <w:tc>
          <w:tcPr>
            <w:tcW w:w="1485" w:type="dxa"/>
            <w:vAlign w:val="center"/>
          </w:tcPr>
          <w:p w14:paraId="75F49922">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144" w:type="dxa"/>
            <w:vAlign w:val="center"/>
          </w:tcPr>
          <w:p w14:paraId="0052DFB6">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701" w:type="dxa"/>
            <w:vAlign w:val="center"/>
          </w:tcPr>
          <w:p w14:paraId="493EC326">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559" w:type="dxa"/>
            <w:vAlign w:val="center"/>
          </w:tcPr>
          <w:p w14:paraId="343975F8">
            <w:pPr>
              <w:pStyle w:val="35"/>
              <w:jc w:val="center"/>
              <w:rPr>
                <w:rFonts w:hint="default" w:ascii="Times New Roman" w:hAnsi="Times New Roman" w:eastAsia="宋体" w:cs="Times New Roman"/>
                <w:snapToGrid w:val="0"/>
                <w:color w:val="auto"/>
                <w:sz w:val="21"/>
                <w:szCs w:val="21"/>
                <w:u w:val="none" w:color="auto"/>
              </w:rPr>
            </w:pPr>
            <w:r>
              <w:rPr>
                <w:rFonts w:hint="eastAsia" w:cs="Times New Roman"/>
                <w:color w:val="0000FF"/>
                <w:sz w:val="21"/>
                <w:szCs w:val="21"/>
                <w:u w:val="none" w:color="auto"/>
                <w:lang w:val="en-US" w:eastAsia="zh-CN"/>
              </w:rPr>
              <w:t>0.313</w:t>
            </w:r>
            <w:r>
              <w:rPr>
                <w:rFonts w:hint="default" w:ascii="Times New Roman" w:hAnsi="Times New Roman" w:eastAsia="宋体" w:cs="Times New Roman"/>
                <w:snapToGrid w:val="0"/>
                <w:color w:val="auto"/>
                <w:sz w:val="21"/>
                <w:szCs w:val="21"/>
                <w:u w:val="none" w:color="auto"/>
              </w:rPr>
              <w:t xml:space="preserve"> t/a</w:t>
            </w:r>
          </w:p>
        </w:tc>
        <w:tc>
          <w:tcPr>
            <w:tcW w:w="1761" w:type="dxa"/>
            <w:vAlign w:val="center"/>
          </w:tcPr>
          <w:p w14:paraId="2D797671">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791" w:type="dxa"/>
            <w:vAlign w:val="center"/>
          </w:tcPr>
          <w:p w14:paraId="5FCC9348">
            <w:pPr>
              <w:pStyle w:val="35"/>
              <w:jc w:val="center"/>
              <w:rPr>
                <w:rFonts w:hint="default" w:ascii="Times New Roman" w:hAnsi="Times New Roman" w:eastAsia="宋体" w:cs="Times New Roman"/>
                <w:snapToGrid w:val="0"/>
                <w:color w:val="auto"/>
                <w:sz w:val="21"/>
                <w:szCs w:val="21"/>
                <w:u w:val="none" w:color="auto"/>
              </w:rPr>
            </w:pPr>
            <w:r>
              <w:rPr>
                <w:rFonts w:hint="eastAsia" w:cs="Times New Roman"/>
                <w:color w:val="0000FF"/>
                <w:sz w:val="21"/>
                <w:szCs w:val="21"/>
                <w:u w:val="none" w:color="auto"/>
                <w:lang w:val="en-US" w:eastAsia="zh-CN"/>
              </w:rPr>
              <w:t>0.313</w:t>
            </w:r>
            <w:r>
              <w:rPr>
                <w:rFonts w:hint="default" w:ascii="Times New Roman" w:hAnsi="Times New Roman" w:eastAsia="宋体" w:cs="Times New Roman"/>
                <w:snapToGrid w:val="0"/>
                <w:color w:val="auto"/>
                <w:sz w:val="21"/>
                <w:szCs w:val="21"/>
                <w:u w:val="none" w:color="auto"/>
              </w:rPr>
              <w:t xml:space="preserve"> t/a</w:t>
            </w:r>
          </w:p>
        </w:tc>
        <w:tc>
          <w:tcPr>
            <w:tcW w:w="1708" w:type="dxa"/>
            <w:vAlign w:val="center"/>
          </w:tcPr>
          <w:p w14:paraId="6AED1CD9">
            <w:pPr>
              <w:pStyle w:val="35"/>
              <w:jc w:val="center"/>
              <w:rPr>
                <w:rFonts w:hint="default" w:ascii="Times New Roman" w:hAnsi="Times New Roman" w:eastAsia="宋体" w:cs="Times New Roman"/>
                <w:snapToGrid w:val="0"/>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w:t>
            </w:r>
            <w:r>
              <w:rPr>
                <w:rFonts w:hint="eastAsia" w:cs="Times New Roman"/>
                <w:color w:val="0000FF"/>
                <w:sz w:val="21"/>
                <w:szCs w:val="21"/>
                <w:u w:val="none" w:color="auto"/>
                <w:lang w:val="en-US" w:eastAsia="zh-CN"/>
              </w:rPr>
              <w:t>0.313</w:t>
            </w:r>
            <w:r>
              <w:rPr>
                <w:rFonts w:hint="default" w:ascii="Times New Roman" w:hAnsi="Times New Roman" w:eastAsia="宋体" w:cs="Times New Roman"/>
                <w:snapToGrid w:val="0"/>
                <w:color w:val="auto"/>
                <w:sz w:val="21"/>
                <w:szCs w:val="21"/>
                <w:u w:val="none" w:color="auto"/>
              </w:rPr>
              <w:t xml:space="preserve"> t/a</w:t>
            </w:r>
          </w:p>
        </w:tc>
      </w:tr>
      <w:tr w14:paraId="6913C6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588" w:type="dxa"/>
            <w:vMerge w:val="continue"/>
            <w:vAlign w:val="center"/>
          </w:tcPr>
          <w:p w14:paraId="3C867904">
            <w:pPr>
              <w:pStyle w:val="34"/>
              <w:spacing w:beforeLines="0" w:afterLines="0" w:line="240" w:lineRule="auto"/>
              <w:ind w:firstLine="0" w:firstLineChars="0"/>
              <w:rPr>
                <w:rFonts w:hint="default" w:ascii="Times New Roman" w:hAnsi="Times New Roman" w:eastAsia="宋体" w:cs="Times New Roman"/>
                <w:snapToGrid w:val="0"/>
                <w:color w:val="auto"/>
                <w:kern w:val="21"/>
                <w:sz w:val="21"/>
                <w:szCs w:val="21"/>
                <w:u w:val="none" w:color="auto"/>
              </w:rPr>
            </w:pPr>
          </w:p>
        </w:tc>
        <w:tc>
          <w:tcPr>
            <w:tcW w:w="1765" w:type="dxa"/>
            <w:vAlign w:val="center"/>
          </w:tcPr>
          <w:p w14:paraId="66FDC359">
            <w:pPr>
              <w:pStyle w:val="35"/>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阴离子表面活性剂</w:t>
            </w:r>
          </w:p>
        </w:tc>
        <w:tc>
          <w:tcPr>
            <w:tcW w:w="1485" w:type="dxa"/>
            <w:vAlign w:val="center"/>
          </w:tcPr>
          <w:p w14:paraId="717E0656">
            <w:pPr>
              <w:pStyle w:val="35"/>
              <w:jc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w:t>
            </w:r>
          </w:p>
        </w:tc>
        <w:tc>
          <w:tcPr>
            <w:tcW w:w="1144" w:type="dxa"/>
            <w:vAlign w:val="center"/>
          </w:tcPr>
          <w:p w14:paraId="45DCE1D1">
            <w:pPr>
              <w:pStyle w:val="35"/>
              <w:jc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w:t>
            </w:r>
          </w:p>
        </w:tc>
        <w:tc>
          <w:tcPr>
            <w:tcW w:w="1701" w:type="dxa"/>
            <w:vAlign w:val="center"/>
          </w:tcPr>
          <w:p w14:paraId="4794CEC3">
            <w:pPr>
              <w:pStyle w:val="35"/>
              <w:jc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w:t>
            </w:r>
          </w:p>
        </w:tc>
        <w:tc>
          <w:tcPr>
            <w:tcW w:w="1559" w:type="dxa"/>
            <w:vAlign w:val="center"/>
          </w:tcPr>
          <w:p w14:paraId="37838DDA">
            <w:pPr>
              <w:pStyle w:val="35"/>
              <w:jc w:val="center"/>
              <w:rPr>
                <w:rFonts w:hint="eastAsia" w:cs="Times New Roman"/>
                <w:color w:val="auto"/>
                <w:sz w:val="21"/>
                <w:szCs w:val="21"/>
                <w:u w:val="none" w:color="auto"/>
                <w:lang w:val="en-US" w:eastAsia="zh-CN"/>
              </w:rPr>
            </w:pPr>
            <w:r>
              <w:rPr>
                <w:rFonts w:hint="eastAsia" w:cs="Times New Roman"/>
                <w:color w:val="0000FF"/>
                <w:sz w:val="21"/>
                <w:szCs w:val="21"/>
                <w:u w:val="none" w:color="auto"/>
                <w:lang w:val="en-US" w:eastAsia="zh-CN"/>
              </w:rPr>
              <w:t>0.039</w:t>
            </w:r>
            <w:r>
              <w:rPr>
                <w:rFonts w:hint="default" w:ascii="Times New Roman" w:hAnsi="Times New Roman" w:eastAsia="宋体" w:cs="Times New Roman"/>
                <w:snapToGrid w:val="0"/>
                <w:color w:val="auto"/>
                <w:sz w:val="21"/>
                <w:szCs w:val="21"/>
                <w:u w:val="none" w:color="auto"/>
              </w:rPr>
              <w:t xml:space="preserve"> t/a</w:t>
            </w:r>
          </w:p>
        </w:tc>
        <w:tc>
          <w:tcPr>
            <w:tcW w:w="1761" w:type="dxa"/>
            <w:vAlign w:val="center"/>
          </w:tcPr>
          <w:p w14:paraId="03A02700">
            <w:pPr>
              <w:pStyle w:val="35"/>
              <w:jc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w:t>
            </w:r>
          </w:p>
        </w:tc>
        <w:tc>
          <w:tcPr>
            <w:tcW w:w="1791" w:type="dxa"/>
            <w:vAlign w:val="center"/>
          </w:tcPr>
          <w:p w14:paraId="4FA2D096">
            <w:pPr>
              <w:pStyle w:val="35"/>
              <w:jc w:val="center"/>
              <w:rPr>
                <w:rFonts w:hint="eastAsia" w:cs="Times New Roman"/>
                <w:color w:val="auto"/>
                <w:sz w:val="21"/>
                <w:szCs w:val="21"/>
                <w:u w:val="none" w:color="auto"/>
                <w:lang w:val="en-US" w:eastAsia="zh-CN"/>
              </w:rPr>
            </w:pPr>
            <w:r>
              <w:rPr>
                <w:rFonts w:hint="eastAsia" w:cs="Times New Roman"/>
                <w:color w:val="0000FF"/>
                <w:sz w:val="21"/>
                <w:szCs w:val="21"/>
                <w:u w:val="none" w:color="auto"/>
                <w:lang w:val="en-US" w:eastAsia="zh-CN"/>
              </w:rPr>
              <w:t>0.039</w:t>
            </w:r>
            <w:r>
              <w:rPr>
                <w:rFonts w:hint="default" w:ascii="Times New Roman" w:hAnsi="Times New Roman" w:eastAsia="宋体" w:cs="Times New Roman"/>
                <w:snapToGrid w:val="0"/>
                <w:color w:val="auto"/>
                <w:sz w:val="21"/>
                <w:szCs w:val="21"/>
                <w:u w:val="none" w:color="auto"/>
              </w:rPr>
              <w:t xml:space="preserve"> t/a</w:t>
            </w:r>
          </w:p>
        </w:tc>
        <w:tc>
          <w:tcPr>
            <w:tcW w:w="1708" w:type="dxa"/>
            <w:vAlign w:val="center"/>
          </w:tcPr>
          <w:p w14:paraId="6DC24066">
            <w:pPr>
              <w:pStyle w:val="35"/>
              <w:jc w:val="center"/>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r>
              <w:rPr>
                <w:rFonts w:hint="eastAsia" w:cs="Times New Roman"/>
                <w:color w:val="0000FF"/>
                <w:sz w:val="21"/>
                <w:szCs w:val="21"/>
                <w:u w:val="none" w:color="auto"/>
                <w:lang w:val="en-US" w:eastAsia="zh-CN"/>
              </w:rPr>
              <w:t>0.039</w:t>
            </w:r>
            <w:r>
              <w:rPr>
                <w:rFonts w:hint="default" w:ascii="Times New Roman" w:hAnsi="Times New Roman" w:eastAsia="宋体" w:cs="Times New Roman"/>
                <w:snapToGrid w:val="0"/>
                <w:color w:val="auto"/>
                <w:sz w:val="21"/>
                <w:szCs w:val="21"/>
                <w:u w:val="none" w:color="auto"/>
              </w:rPr>
              <w:t xml:space="preserve"> t/a</w:t>
            </w:r>
          </w:p>
        </w:tc>
      </w:tr>
      <w:tr w14:paraId="0CE2AF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8" w:type="dxa"/>
            <w:vMerge w:val="continue"/>
            <w:vAlign w:val="center"/>
          </w:tcPr>
          <w:p w14:paraId="280E6883">
            <w:pPr>
              <w:pStyle w:val="34"/>
              <w:spacing w:beforeLines="0" w:afterLines="0" w:line="240" w:lineRule="auto"/>
              <w:ind w:firstLine="0" w:firstLineChars="0"/>
              <w:rPr>
                <w:rFonts w:hint="default" w:ascii="Times New Roman" w:hAnsi="Times New Roman" w:eastAsia="宋体" w:cs="Times New Roman"/>
                <w:snapToGrid w:val="0"/>
                <w:color w:val="auto"/>
                <w:kern w:val="21"/>
                <w:sz w:val="21"/>
                <w:szCs w:val="21"/>
                <w:u w:val="none" w:color="auto"/>
              </w:rPr>
            </w:pPr>
          </w:p>
        </w:tc>
        <w:tc>
          <w:tcPr>
            <w:tcW w:w="1765" w:type="dxa"/>
            <w:vAlign w:val="center"/>
          </w:tcPr>
          <w:p w14:paraId="4A6973CE">
            <w:pPr>
              <w:pStyle w:val="35"/>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挥发酚</w:t>
            </w:r>
          </w:p>
        </w:tc>
        <w:tc>
          <w:tcPr>
            <w:tcW w:w="1485" w:type="dxa"/>
            <w:vAlign w:val="center"/>
          </w:tcPr>
          <w:p w14:paraId="45EFC0B3">
            <w:pPr>
              <w:pStyle w:val="35"/>
              <w:jc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w:t>
            </w:r>
          </w:p>
        </w:tc>
        <w:tc>
          <w:tcPr>
            <w:tcW w:w="1144" w:type="dxa"/>
            <w:vAlign w:val="center"/>
          </w:tcPr>
          <w:p w14:paraId="75E1AE0F">
            <w:pPr>
              <w:pStyle w:val="35"/>
              <w:jc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w:t>
            </w:r>
          </w:p>
        </w:tc>
        <w:tc>
          <w:tcPr>
            <w:tcW w:w="1701" w:type="dxa"/>
            <w:vAlign w:val="center"/>
          </w:tcPr>
          <w:p w14:paraId="2E34934C">
            <w:pPr>
              <w:pStyle w:val="35"/>
              <w:jc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w:t>
            </w:r>
          </w:p>
        </w:tc>
        <w:tc>
          <w:tcPr>
            <w:tcW w:w="1559" w:type="dxa"/>
            <w:vAlign w:val="center"/>
          </w:tcPr>
          <w:p w14:paraId="170086E6">
            <w:pPr>
              <w:pStyle w:val="35"/>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0.0001</w:t>
            </w:r>
            <w:r>
              <w:rPr>
                <w:rFonts w:hint="default" w:ascii="Times New Roman" w:hAnsi="Times New Roman" w:eastAsia="宋体" w:cs="Times New Roman"/>
                <w:snapToGrid w:val="0"/>
                <w:color w:val="auto"/>
                <w:sz w:val="21"/>
                <w:szCs w:val="21"/>
                <w:u w:val="none" w:color="auto"/>
              </w:rPr>
              <w:t xml:space="preserve"> t/a</w:t>
            </w:r>
          </w:p>
        </w:tc>
        <w:tc>
          <w:tcPr>
            <w:tcW w:w="1761" w:type="dxa"/>
            <w:vAlign w:val="center"/>
          </w:tcPr>
          <w:p w14:paraId="24D7527C">
            <w:pPr>
              <w:pStyle w:val="35"/>
              <w:jc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w:t>
            </w:r>
          </w:p>
        </w:tc>
        <w:tc>
          <w:tcPr>
            <w:tcW w:w="1791" w:type="dxa"/>
            <w:vAlign w:val="center"/>
          </w:tcPr>
          <w:p w14:paraId="34DBC1F6">
            <w:pPr>
              <w:pStyle w:val="35"/>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0.0001</w:t>
            </w:r>
            <w:r>
              <w:rPr>
                <w:rFonts w:hint="default" w:ascii="Times New Roman" w:hAnsi="Times New Roman" w:eastAsia="宋体" w:cs="Times New Roman"/>
                <w:snapToGrid w:val="0"/>
                <w:color w:val="auto"/>
                <w:sz w:val="21"/>
                <w:szCs w:val="21"/>
                <w:u w:val="none" w:color="auto"/>
              </w:rPr>
              <w:t xml:space="preserve"> t/a</w:t>
            </w:r>
          </w:p>
        </w:tc>
        <w:tc>
          <w:tcPr>
            <w:tcW w:w="1708" w:type="dxa"/>
            <w:vAlign w:val="center"/>
          </w:tcPr>
          <w:p w14:paraId="343F0F84">
            <w:pPr>
              <w:pStyle w:val="35"/>
              <w:jc w:val="center"/>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+0.0001</w:t>
            </w:r>
            <w:r>
              <w:rPr>
                <w:rFonts w:hint="default" w:ascii="Times New Roman" w:hAnsi="Times New Roman" w:eastAsia="宋体" w:cs="Times New Roman"/>
                <w:snapToGrid w:val="0"/>
                <w:color w:val="auto"/>
                <w:sz w:val="21"/>
                <w:szCs w:val="21"/>
                <w:u w:val="none" w:color="auto"/>
              </w:rPr>
              <w:t xml:space="preserve"> t/a</w:t>
            </w:r>
          </w:p>
        </w:tc>
      </w:tr>
      <w:tr w14:paraId="679142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8" w:type="dxa"/>
            <w:vMerge w:val="restart"/>
            <w:vAlign w:val="center"/>
          </w:tcPr>
          <w:p w14:paraId="373310B6">
            <w:pPr>
              <w:pStyle w:val="34"/>
              <w:spacing w:beforeLines="0" w:afterLines="0" w:line="240" w:lineRule="auto"/>
              <w:ind w:firstLine="0" w:firstLineChars="0"/>
              <w:rPr>
                <w:rFonts w:hint="default" w:ascii="Times New Roman" w:hAnsi="Times New Roman" w:eastAsia="宋体" w:cs="Times New Roman"/>
                <w:snapToGrid w:val="0"/>
                <w:color w:val="auto"/>
                <w:kern w:val="21"/>
                <w:sz w:val="21"/>
                <w:szCs w:val="21"/>
                <w:u w:val="none" w:color="auto"/>
              </w:rPr>
            </w:pPr>
            <w:r>
              <w:rPr>
                <w:rFonts w:hint="default" w:ascii="Times New Roman" w:hAnsi="Times New Roman" w:eastAsia="宋体" w:cs="Times New Roman"/>
                <w:snapToGrid w:val="0"/>
                <w:color w:val="auto"/>
                <w:kern w:val="21"/>
                <w:sz w:val="21"/>
                <w:szCs w:val="21"/>
                <w:u w:val="none" w:color="auto"/>
              </w:rPr>
              <w:t>一般工业</w:t>
            </w:r>
          </w:p>
          <w:p w14:paraId="6D91CF8B">
            <w:pPr>
              <w:pStyle w:val="34"/>
              <w:spacing w:beforeLines="0" w:afterLines="0" w:line="240" w:lineRule="auto"/>
              <w:ind w:firstLine="0" w:firstLineChars="0"/>
              <w:rPr>
                <w:rFonts w:hint="default" w:ascii="Times New Roman" w:hAnsi="Times New Roman" w:eastAsia="宋体" w:cs="Times New Roman"/>
                <w:snapToGrid w:val="0"/>
                <w:color w:val="auto"/>
                <w:kern w:val="21"/>
                <w:sz w:val="21"/>
                <w:szCs w:val="21"/>
                <w:u w:val="none" w:color="auto"/>
              </w:rPr>
            </w:pPr>
            <w:r>
              <w:rPr>
                <w:rFonts w:hint="default" w:ascii="Times New Roman" w:hAnsi="Times New Roman" w:eastAsia="宋体" w:cs="Times New Roman"/>
                <w:snapToGrid w:val="0"/>
                <w:color w:val="auto"/>
                <w:kern w:val="21"/>
                <w:sz w:val="21"/>
                <w:szCs w:val="21"/>
                <w:u w:val="none" w:color="auto"/>
              </w:rPr>
              <w:t>固体废物</w:t>
            </w:r>
          </w:p>
        </w:tc>
        <w:tc>
          <w:tcPr>
            <w:tcW w:w="1765" w:type="dxa"/>
            <w:vAlign w:val="center"/>
          </w:tcPr>
          <w:p w14:paraId="7D82D4B9">
            <w:pPr>
              <w:pStyle w:val="35"/>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一般性固体废物</w:t>
            </w:r>
          </w:p>
        </w:tc>
        <w:tc>
          <w:tcPr>
            <w:tcW w:w="1485" w:type="dxa"/>
            <w:vAlign w:val="center"/>
          </w:tcPr>
          <w:p w14:paraId="7D30851D">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144" w:type="dxa"/>
            <w:vAlign w:val="center"/>
          </w:tcPr>
          <w:p w14:paraId="7E8DCF64">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701" w:type="dxa"/>
            <w:vAlign w:val="center"/>
          </w:tcPr>
          <w:p w14:paraId="4FC47B3E">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559" w:type="dxa"/>
            <w:vAlign w:val="center"/>
          </w:tcPr>
          <w:p w14:paraId="238B95E4">
            <w:pPr>
              <w:pStyle w:val="35"/>
              <w:jc w:val="center"/>
              <w:rPr>
                <w:rFonts w:hint="default" w:ascii="Times New Roman" w:hAnsi="Times New Roman" w:eastAsia="宋体" w:cs="Times New Roman"/>
                <w:snapToGrid w:val="0"/>
                <w:color w:val="auto"/>
                <w:sz w:val="21"/>
                <w:szCs w:val="21"/>
                <w:u w:val="none" w:color="auto"/>
              </w:rPr>
            </w:pPr>
            <w:r>
              <w:rPr>
                <w:rFonts w:hint="eastAsia" w:cs="Times New Roman"/>
                <w:color w:val="0000FF"/>
                <w:sz w:val="21"/>
                <w:szCs w:val="21"/>
                <w:u w:val="none" w:color="auto"/>
                <w:lang w:val="en-US" w:eastAsia="zh-CN"/>
              </w:rPr>
              <w:t>3.5</w:t>
            </w:r>
            <w:r>
              <w:rPr>
                <w:rFonts w:hint="eastAsia" w:cs="Times New Roman"/>
                <w:color w:val="auto"/>
                <w:sz w:val="21"/>
                <w:szCs w:val="21"/>
                <w:u w:val="none" w:color="auto"/>
                <w:lang w:val="en-US" w:eastAsia="zh-CN"/>
              </w:rPr>
              <w:t>t/a</w:t>
            </w:r>
          </w:p>
        </w:tc>
        <w:tc>
          <w:tcPr>
            <w:tcW w:w="1761" w:type="dxa"/>
            <w:vAlign w:val="center"/>
          </w:tcPr>
          <w:p w14:paraId="62C8262D">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791" w:type="dxa"/>
            <w:vAlign w:val="center"/>
          </w:tcPr>
          <w:p w14:paraId="439462B6">
            <w:pPr>
              <w:pStyle w:val="35"/>
              <w:jc w:val="center"/>
              <w:rPr>
                <w:rFonts w:hint="default" w:ascii="Times New Roman" w:hAnsi="Times New Roman" w:eastAsia="宋体" w:cs="Times New Roman"/>
                <w:snapToGrid w:val="0"/>
                <w:color w:val="auto"/>
                <w:sz w:val="21"/>
                <w:szCs w:val="21"/>
                <w:u w:val="none" w:color="auto"/>
              </w:rPr>
            </w:pPr>
            <w:r>
              <w:rPr>
                <w:rFonts w:hint="eastAsia" w:cs="Times New Roman"/>
                <w:color w:val="0000FF"/>
                <w:sz w:val="21"/>
                <w:szCs w:val="21"/>
                <w:u w:val="none" w:color="auto"/>
                <w:lang w:val="en-US" w:eastAsia="zh-CN"/>
              </w:rPr>
              <w:t>3.5</w:t>
            </w:r>
            <w:r>
              <w:rPr>
                <w:rFonts w:hint="eastAsia" w:cs="Times New Roman"/>
                <w:color w:val="auto"/>
                <w:sz w:val="21"/>
                <w:szCs w:val="21"/>
                <w:u w:val="none" w:color="auto"/>
                <w:lang w:val="en-US" w:eastAsia="zh-CN"/>
              </w:rPr>
              <w:t>t/a</w:t>
            </w:r>
          </w:p>
        </w:tc>
        <w:tc>
          <w:tcPr>
            <w:tcW w:w="1708" w:type="dxa"/>
            <w:vAlign w:val="center"/>
          </w:tcPr>
          <w:p w14:paraId="0A5386CC">
            <w:pPr>
              <w:pStyle w:val="35"/>
              <w:jc w:val="center"/>
              <w:rPr>
                <w:rFonts w:hint="default" w:ascii="Times New Roman" w:hAnsi="Times New Roman" w:eastAsia="宋体" w:cs="Times New Roman"/>
                <w:snapToGrid w:val="0"/>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w:t>
            </w:r>
            <w:r>
              <w:rPr>
                <w:rFonts w:hint="eastAsia" w:cs="Times New Roman"/>
                <w:color w:val="0000FF"/>
                <w:sz w:val="21"/>
                <w:szCs w:val="21"/>
                <w:u w:val="none" w:color="auto"/>
                <w:lang w:val="en-US" w:eastAsia="zh-CN"/>
              </w:rPr>
              <w:t>3.5</w:t>
            </w:r>
            <w:r>
              <w:rPr>
                <w:rFonts w:hint="eastAsia" w:cs="Times New Roman"/>
                <w:color w:val="auto"/>
                <w:sz w:val="21"/>
                <w:szCs w:val="21"/>
                <w:u w:val="none" w:color="auto"/>
                <w:lang w:val="en-US" w:eastAsia="zh-CN"/>
              </w:rPr>
              <w:t>t/a</w:t>
            </w:r>
          </w:p>
        </w:tc>
      </w:tr>
      <w:tr w14:paraId="4D59E9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8" w:type="dxa"/>
            <w:vMerge w:val="continue"/>
            <w:vAlign w:val="center"/>
          </w:tcPr>
          <w:p w14:paraId="6D84DA83">
            <w:pPr>
              <w:pStyle w:val="34"/>
              <w:spacing w:beforeLines="0" w:afterLines="0" w:line="240" w:lineRule="auto"/>
              <w:ind w:firstLine="0" w:firstLineChars="0"/>
              <w:rPr>
                <w:rFonts w:hint="default" w:ascii="Times New Roman" w:hAnsi="Times New Roman" w:eastAsia="宋体" w:cs="Times New Roman"/>
                <w:snapToGrid w:val="0"/>
                <w:color w:val="auto"/>
                <w:kern w:val="21"/>
                <w:sz w:val="21"/>
                <w:szCs w:val="21"/>
                <w:u w:val="none" w:color="auto"/>
              </w:rPr>
            </w:pPr>
          </w:p>
        </w:tc>
        <w:tc>
          <w:tcPr>
            <w:tcW w:w="1765" w:type="dxa"/>
            <w:vAlign w:val="center"/>
          </w:tcPr>
          <w:p w14:paraId="03FB418C">
            <w:pPr>
              <w:pStyle w:val="35"/>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食堂隔油</w:t>
            </w:r>
          </w:p>
        </w:tc>
        <w:tc>
          <w:tcPr>
            <w:tcW w:w="1485" w:type="dxa"/>
            <w:vAlign w:val="center"/>
          </w:tcPr>
          <w:p w14:paraId="0C58C399">
            <w:pPr>
              <w:pStyle w:val="35"/>
              <w:jc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color w:val="auto"/>
                <w:kern w:val="0"/>
                <w:sz w:val="21"/>
                <w:szCs w:val="21"/>
                <w:u w:val="none" w:color="auto"/>
                <w:lang w:val="en-US" w:eastAsia="zh-CN" w:bidi="ar"/>
              </w:rPr>
              <w:t>/</w:t>
            </w:r>
          </w:p>
        </w:tc>
        <w:tc>
          <w:tcPr>
            <w:tcW w:w="1144" w:type="dxa"/>
            <w:vAlign w:val="center"/>
          </w:tcPr>
          <w:p w14:paraId="27F6DCDE">
            <w:pPr>
              <w:pStyle w:val="35"/>
              <w:jc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color w:val="auto"/>
                <w:kern w:val="0"/>
                <w:sz w:val="21"/>
                <w:szCs w:val="21"/>
                <w:u w:val="none" w:color="auto"/>
                <w:lang w:val="en-US" w:eastAsia="zh-CN" w:bidi="ar"/>
              </w:rPr>
              <w:t>/</w:t>
            </w:r>
          </w:p>
        </w:tc>
        <w:tc>
          <w:tcPr>
            <w:tcW w:w="1701" w:type="dxa"/>
            <w:vAlign w:val="center"/>
          </w:tcPr>
          <w:p w14:paraId="552B198E">
            <w:pPr>
              <w:pStyle w:val="35"/>
              <w:jc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color w:val="auto"/>
                <w:kern w:val="0"/>
                <w:sz w:val="21"/>
                <w:szCs w:val="21"/>
                <w:u w:val="none" w:color="auto"/>
                <w:lang w:val="en-US" w:eastAsia="zh-CN" w:bidi="ar"/>
              </w:rPr>
              <w:t>/</w:t>
            </w:r>
          </w:p>
        </w:tc>
        <w:tc>
          <w:tcPr>
            <w:tcW w:w="1559" w:type="dxa"/>
            <w:vAlign w:val="center"/>
          </w:tcPr>
          <w:p w14:paraId="06623A01">
            <w:pPr>
              <w:pStyle w:val="35"/>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0000FF"/>
                <w:sz w:val="21"/>
                <w:szCs w:val="21"/>
                <w:u w:val="none" w:color="auto"/>
                <w:lang w:val="en-US" w:eastAsia="zh-CN"/>
              </w:rPr>
              <w:t>1.8</w:t>
            </w:r>
            <w:r>
              <w:rPr>
                <w:rFonts w:hint="eastAsia" w:cs="Times New Roman"/>
                <w:color w:val="auto"/>
                <w:sz w:val="21"/>
                <w:szCs w:val="21"/>
                <w:u w:val="none" w:color="auto"/>
                <w:lang w:val="en-US" w:eastAsia="zh-CN"/>
              </w:rPr>
              <w:t>t/a</w:t>
            </w:r>
          </w:p>
        </w:tc>
        <w:tc>
          <w:tcPr>
            <w:tcW w:w="1761" w:type="dxa"/>
            <w:vAlign w:val="center"/>
          </w:tcPr>
          <w:p w14:paraId="2C6CAAA2">
            <w:pPr>
              <w:pStyle w:val="35"/>
              <w:jc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w:t>
            </w:r>
          </w:p>
        </w:tc>
        <w:tc>
          <w:tcPr>
            <w:tcW w:w="1791" w:type="dxa"/>
            <w:vAlign w:val="center"/>
          </w:tcPr>
          <w:p w14:paraId="3B83CF49">
            <w:pPr>
              <w:pStyle w:val="35"/>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0000FF"/>
                <w:sz w:val="21"/>
                <w:szCs w:val="21"/>
                <w:u w:val="none" w:color="auto"/>
                <w:lang w:val="en-US" w:eastAsia="zh-CN"/>
              </w:rPr>
              <w:t>1.8</w:t>
            </w:r>
            <w:r>
              <w:rPr>
                <w:rFonts w:hint="eastAsia" w:cs="Times New Roman"/>
                <w:color w:val="auto"/>
                <w:sz w:val="21"/>
                <w:szCs w:val="21"/>
                <w:u w:val="none" w:color="auto"/>
                <w:lang w:val="en-US" w:eastAsia="zh-CN"/>
              </w:rPr>
              <w:t>t/a</w:t>
            </w:r>
          </w:p>
        </w:tc>
        <w:tc>
          <w:tcPr>
            <w:tcW w:w="1708" w:type="dxa"/>
            <w:vAlign w:val="center"/>
          </w:tcPr>
          <w:p w14:paraId="39AFB2F4">
            <w:pPr>
              <w:pStyle w:val="35"/>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r>
              <w:rPr>
                <w:rFonts w:hint="eastAsia" w:cs="Times New Roman"/>
                <w:color w:val="0000FF"/>
                <w:sz w:val="21"/>
                <w:szCs w:val="21"/>
                <w:u w:val="none" w:color="auto"/>
                <w:lang w:val="en-US" w:eastAsia="zh-CN"/>
              </w:rPr>
              <w:t>1.8</w:t>
            </w:r>
            <w:r>
              <w:rPr>
                <w:rFonts w:hint="eastAsia" w:cs="Times New Roman"/>
                <w:color w:val="auto"/>
                <w:sz w:val="21"/>
                <w:szCs w:val="21"/>
                <w:u w:val="none" w:color="auto"/>
                <w:lang w:val="en-US" w:eastAsia="zh-CN"/>
              </w:rPr>
              <w:t>t/a</w:t>
            </w:r>
          </w:p>
        </w:tc>
      </w:tr>
      <w:tr w14:paraId="469341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8" w:type="dxa"/>
            <w:vMerge w:val="continue"/>
            <w:vAlign w:val="center"/>
          </w:tcPr>
          <w:p w14:paraId="22E0FF44">
            <w:pPr>
              <w:pStyle w:val="34"/>
              <w:spacing w:beforeLines="0" w:afterLines="0" w:line="240" w:lineRule="auto"/>
              <w:ind w:firstLine="0" w:firstLineChars="0"/>
              <w:rPr>
                <w:rFonts w:hint="default" w:ascii="Times New Roman" w:hAnsi="Times New Roman" w:eastAsia="宋体" w:cs="Times New Roman"/>
                <w:snapToGrid w:val="0"/>
                <w:color w:val="auto"/>
                <w:kern w:val="21"/>
                <w:sz w:val="21"/>
                <w:szCs w:val="21"/>
                <w:u w:val="none" w:color="auto"/>
              </w:rPr>
            </w:pPr>
          </w:p>
        </w:tc>
        <w:tc>
          <w:tcPr>
            <w:tcW w:w="1765" w:type="dxa"/>
            <w:vAlign w:val="center"/>
          </w:tcPr>
          <w:p w14:paraId="2CC6643D">
            <w:pPr>
              <w:pStyle w:val="35"/>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药渣</w:t>
            </w:r>
          </w:p>
        </w:tc>
        <w:tc>
          <w:tcPr>
            <w:tcW w:w="1485" w:type="dxa"/>
            <w:vAlign w:val="center"/>
          </w:tcPr>
          <w:p w14:paraId="40E192D3">
            <w:pPr>
              <w:pStyle w:val="35"/>
              <w:jc w:val="center"/>
              <w:rPr>
                <w:rFonts w:hint="default" w:ascii="Times New Roman" w:hAnsi="Times New Roman" w:eastAsia="宋体" w:cs="Times New Roman"/>
                <w:color w:val="auto"/>
                <w:kern w:val="0"/>
                <w:sz w:val="21"/>
                <w:szCs w:val="21"/>
                <w:u w:val="none" w:color="auto"/>
                <w:lang w:val="en-US" w:eastAsia="zh-CN" w:bidi="ar"/>
              </w:rPr>
            </w:pPr>
            <w:r>
              <w:rPr>
                <w:rFonts w:hint="eastAsia" w:cs="Times New Roman"/>
                <w:color w:val="auto"/>
                <w:kern w:val="0"/>
                <w:sz w:val="21"/>
                <w:szCs w:val="21"/>
                <w:u w:val="none" w:color="auto"/>
                <w:lang w:val="en-US" w:eastAsia="zh-CN" w:bidi="ar"/>
              </w:rPr>
              <w:t>/</w:t>
            </w:r>
          </w:p>
        </w:tc>
        <w:tc>
          <w:tcPr>
            <w:tcW w:w="1144" w:type="dxa"/>
            <w:vAlign w:val="center"/>
          </w:tcPr>
          <w:p w14:paraId="174B000F">
            <w:pPr>
              <w:pStyle w:val="35"/>
              <w:jc w:val="center"/>
              <w:rPr>
                <w:rFonts w:hint="default" w:ascii="Times New Roman" w:hAnsi="Times New Roman" w:eastAsia="宋体" w:cs="Times New Roman"/>
                <w:color w:val="auto"/>
                <w:kern w:val="0"/>
                <w:sz w:val="21"/>
                <w:szCs w:val="21"/>
                <w:u w:val="none" w:color="auto"/>
                <w:lang w:val="en-US" w:eastAsia="zh-CN" w:bidi="ar"/>
              </w:rPr>
            </w:pPr>
            <w:r>
              <w:rPr>
                <w:rFonts w:hint="eastAsia" w:cs="Times New Roman"/>
                <w:color w:val="auto"/>
                <w:kern w:val="0"/>
                <w:sz w:val="21"/>
                <w:szCs w:val="21"/>
                <w:u w:val="none" w:color="auto"/>
                <w:lang w:val="en-US" w:eastAsia="zh-CN" w:bidi="ar"/>
              </w:rPr>
              <w:t>/</w:t>
            </w:r>
          </w:p>
        </w:tc>
        <w:tc>
          <w:tcPr>
            <w:tcW w:w="1701" w:type="dxa"/>
            <w:vAlign w:val="center"/>
          </w:tcPr>
          <w:p w14:paraId="6AE06FCF">
            <w:pPr>
              <w:pStyle w:val="35"/>
              <w:jc w:val="center"/>
              <w:rPr>
                <w:rFonts w:hint="default" w:ascii="Times New Roman" w:hAnsi="Times New Roman" w:eastAsia="宋体" w:cs="Times New Roman"/>
                <w:color w:val="auto"/>
                <w:kern w:val="0"/>
                <w:sz w:val="21"/>
                <w:szCs w:val="21"/>
                <w:u w:val="none" w:color="auto"/>
                <w:lang w:val="en-US" w:eastAsia="zh-CN" w:bidi="ar"/>
              </w:rPr>
            </w:pPr>
            <w:r>
              <w:rPr>
                <w:rFonts w:hint="eastAsia" w:cs="Times New Roman"/>
                <w:color w:val="auto"/>
                <w:kern w:val="0"/>
                <w:sz w:val="21"/>
                <w:szCs w:val="21"/>
                <w:u w:val="none" w:color="auto"/>
                <w:lang w:val="en-US" w:eastAsia="zh-CN" w:bidi="ar"/>
              </w:rPr>
              <w:t>/</w:t>
            </w:r>
          </w:p>
        </w:tc>
        <w:tc>
          <w:tcPr>
            <w:tcW w:w="1559" w:type="dxa"/>
            <w:vAlign w:val="center"/>
          </w:tcPr>
          <w:p w14:paraId="050DB87F">
            <w:pPr>
              <w:pStyle w:val="35"/>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0.8t/a</w:t>
            </w:r>
          </w:p>
        </w:tc>
        <w:tc>
          <w:tcPr>
            <w:tcW w:w="1761" w:type="dxa"/>
            <w:vAlign w:val="center"/>
          </w:tcPr>
          <w:p w14:paraId="1E4E1D8B">
            <w:pPr>
              <w:pStyle w:val="35"/>
              <w:jc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w:t>
            </w:r>
          </w:p>
        </w:tc>
        <w:tc>
          <w:tcPr>
            <w:tcW w:w="1791" w:type="dxa"/>
            <w:vAlign w:val="center"/>
          </w:tcPr>
          <w:p w14:paraId="42DD7757">
            <w:pPr>
              <w:pStyle w:val="35"/>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0.8t/a</w:t>
            </w:r>
          </w:p>
        </w:tc>
        <w:tc>
          <w:tcPr>
            <w:tcW w:w="1708" w:type="dxa"/>
            <w:vAlign w:val="center"/>
          </w:tcPr>
          <w:p w14:paraId="2453C3F6">
            <w:pPr>
              <w:pStyle w:val="35"/>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r>
              <w:rPr>
                <w:rFonts w:hint="eastAsia" w:cs="Times New Roman"/>
                <w:color w:val="auto"/>
                <w:sz w:val="21"/>
                <w:szCs w:val="21"/>
                <w:u w:val="none" w:color="auto"/>
                <w:lang w:val="en-US" w:eastAsia="zh-CN"/>
              </w:rPr>
              <w:t>0.8t/a</w:t>
            </w:r>
          </w:p>
        </w:tc>
      </w:tr>
      <w:tr w14:paraId="4861D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8" w:type="dxa"/>
            <w:vMerge w:val="restart"/>
            <w:vAlign w:val="center"/>
          </w:tcPr>
          <w:p w14:paraId="5BA61966">
            <w:pPr>
              <w:pStyle w:val="34"/>
              <w:spacing w:beforeLines="0" w:afterLines="0" w:line="240" w:lineRule="auto"/>
              <w:ind w:firstLine="0" w:firstLineChars="0"/>
              <w:rPr>
                <w:rFonts w:hint="default" w:ascii="Times New Roman" w:hAnsi="Times New Roman" w:eastAsia="宋体" w:cs="Times New Roman"/>
                <w:snapToGrid w:val="0"/>
                <w:color w:val="auto"/>
                <w:kern w:val="21"/>
                <w:sz w:val="21"/>
                <w:szCs w:val="21"/>
                <w:u w:val="none" w:color="auto"/>
              </w:rPr>
            </w:pPr>
            <w:r>
              <w:rPr>
                <w:rFonts w:hint="default" w:ascii="Times New Roman" w:hAnsi="Times New Roman" w:eastAsia="宋体" w:cs="Times New Roman"/>
                <w:snapToGrid w:val="0"/>
                <w:color w:val="auto"/>
                <w:kern w:val="21"/>
                <w:sz w:val="21"/>
                <w:szCs w:val="21"/>
                <w:u w:val="none" w:color="auto"/>
              </w:rPr>
              <w:t>危险废物</w:t>
            </w:r>
          </w:p>
        </w:tc>
        <w:tc>
          <w:tcPr>
            <w:tcW w:w="1765" w:type="dxa"/>
            <w:vAlign w:val="center"/>
          </w:tcPr>
          <w:p w14:paraId="1A4BC02C">
            <w:pPr>
              <w:pStyle w:val="35"/>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医疗废物</w:t>
            </w:r>
          </w:p>
        </w:tc>
        <w:tc>
          <w:tcPr>
            <w:tcW w:w="1485" w:type="dxa"/>
            <w:vAlign w:val="center"/>
          </w:tcPr>
          <w:p w14:paraId="01706A05">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144" w:type="dxa"/>
            <w:vAlign w:val="center"/>
          </w:tcPr>
          <w:p w14:paraId="0DFE2CB5">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701" w:type="dxa"/>
            <w:vAlign w:val="center"/>
          </w:tcPr>
          <w:p w14:paraId="71A3A8B0">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559" w:type="dxa"/>
            <w:vAlign w:val="center"/>
          </w:tcPr>
          <w:p w14:paraId="3E8A7615">
            <w:pPr>
              <w:pStyle w:val="35"/>
              <w:jc w:val="center"/>
              <w:rPr>
                <w:rFonts w:hint="default" w:ascii="Times New Roman" w:hAnsi="Times New Roman" w:eastAsia="宋体" w:cs="Times New Roman"/>
                <w:snapToGrid w:val="0"/>
                <w:color w:val="auto"/>
                <w:sz w:val="21"/>
                <w:szCs w:val="21"/>
                <w:u w:val="none" w:color="auto"/>
              </w:rPr>
            </w:pPr>
            <w:r>
              <w:rPr>
                <w:rFonts w:hint="eastAsia" w:cs="Times New Roman"/>
                <w:color w:val="0000FF"/>
                <w:sz w:val="21"/>
                <w:szCs w:val="21"/>
                <w:u w:val="none" w:color="auto"/>
                <w:lang w:val="en-US" w:eastAsia="zh-CN"/>
              </w:rPr>
              <w:t>38.91</w:t>
            </w:r>
            <w:r>
              <w:rPr>
                <w:rFonts w:hint="eastAsia" w:cs="Times New Roman"/>
                <w:color w:val="auto"/>
                <w:sz w:val="21"/>
                <w:szCs w:val="21"/>
                <w:u w:val="none" w:color="auto"/>
                <w:lang w:val="en-US" w:eastAsia="zh-CN"/>
              </w:rPr>
              <w:t>t/a</w:t>
            </w:r>
          </w:p>
        </w:tc>
        <w:tc>
          <w:tcPr>
            <w:tcW w:w="1761" w:type="dxa"/>
            <w:vAlign w:val="center"/>
          </w:tcPr>
          <w:p w14:paraId="0616E474">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791" w:type="dxa"/>
            <w:vAlign w:val="center"/>
          </w:tcPr>
          <w:p w14:paraId="7C68A371">
            <w:pPr>
              <w:pStyle w:val="35"/>
              <w:jc w:val="center"/>
              <w:rPr>
                <w:rFonts w:hint="default" w:ascii="Times New Roman" w:hAnsi="Times New Roman" w:eastAsia="宋体" w:cs="Times New Roman"/>
                <w:snapToGrid w:val="0"/>
                <w:color w:val="auto"/>
                <w:sz w:val="21"/>
                <w:szCs w:val="21"/>
                <w:u w:val="none" w:color="auto"/>
              </w:rPr>
            </w:pPr>
            <w:r>
              <w:rPr>
                <w:rFonts w:hint="eastAsia" w:cs="Times New Roman"/>
                <w:color w:val="0000FF"/>
                <w:sz w:val="21"/>
                <w:szCs w:val="21"/>
                <w:u w:val="none" w:color="auto"/>
                <w:lang w:val="en-US" w:eastAsia="zh-CN"/>
              </w:rPr>
              <w:t>38.91</w:t>
            </w:r>
            <w:r>
              <w:rPr>
                <w:rFonts w:hint="eastAsia" w:cs="Times New Roman"/>
                <w:color w:val="auto"/>
                <w:sz w:val="21"/>
                <w:szCs w:val="21"/>
                <w:u w:val="none" w:color="auto"/>
                <w:lang w:val="en-US" w:eastAsia="zh-CN"/>
              </w:rPr>
              <w:t>t/a</w:t>
            </w:r>
          </w:p>
        </w:tc>
        <w:tc>
          <w:tcPr>
            <w:tcW w:w="1708" w:type="dxa"/>
            <w:vAlign w:val="center"/>
          </w:tcPr>
          <w:p w14:paraId="5D53054A">
            <w:pPr>
              <w:pStyle w:val="35"/>
              <w:jc w:val="center"/>
              <w:rPr>
                <w:rFonts w:hint="default" w:ascii="Times New Roman" w:hAnsi="Times New Roman" w:eastAsia="宋体" w:cs="Times New Roman"/>
                <w:snapToGrid w:val="0"/>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w:t>
            </w:r>
            <w:r>
              <w:rPr>
                <w:rFonts w:hint="eastAsia" w:cs="Times New Roman"/>
                <w:color w:val="0000FF"/>
                <w:sz w:val="21"/>
                <w:szCs w:val="21"/>
                <w:u w:val="none" w:color="auto"/>
                <w:lang w:val="en-US" w:eastAsia="zh-CN"/>
              </w:rPr>
              <w:t>38.91</w:t>
            </w:r>
            <w:r>
              <w:rPr>
                <w:rFonts w:hint="eastAsia" w:cs="Times New Roman"/>
                <w:color w:val="auto"/>
                <w:sz w:val="21"/>
                <w:szCs w:val="21"/>
                <w:u w:val="none" w:color="auto"/>
                <w:lang w:val="en-US" w:eastAsia="zh-CN"/>
              </w:rPr>
              <w:t>t/a</w:t>
            </w:r>
          </w:p>
        </w:tc>
      </w:tr>
      <w:tr w14:paraId="6C02DF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8" w:type="dxa"/>
            <w:vMerge w:val="continue"/>
            <w:vAlign w:val="center"/>
          </w:tcPr>
          <w:p w14:paraId="54F71B58">
            <w:pPr>
              <w:pStyle w:val="34"/>
              <w:spacing w:beforeLines="0" w:afterLines="0" w:line="240" w:lineRule="auto"/>
              <w:ind w:firstLine="0" w:firstLineChars="0"/>
              <w:rPr>
                <w:rFonts w:hint="default" w:ascii="Times New Roman" w:hAnsi="Times New Roman" w:eastAsia="宋体" w:cs="Times New Roman"/>
                <w:snapToGrid w:val="0"/>
                <w:color w:val="auto"/>
                <w:kern w:val="21"/>
                <w:sz w:val="21"/>
                <w:szCs w:val="21"/>
                <w:u w:val="none" w:color="auto"/>
              </w:rPr>
            </w:pPr>
          </w:p>
        </w:tc>
        <w:tc>
          <w:tcPr>
            <w:tcW w:w="1765" w:type="dxa"/>
            <w:vAlign w:val="center"/>
          </w:tcPr>
          <w:p w14:paraId="42C82ADC">
            <w:pPr>
              <w:pStyle w:val="35"/>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废紫外线灯管</w:t>
            </w:r>
          </w:p>
        </w:tc>
        <w:tc>
          <w:tcPr>
            <w:tcW w:w="1485" w:type="dxa"/>
            <w:vAlign w:val="center"/>
          </w:tcPr>
          <w:p w14:paraId="5572D1D2">
            <w:pPr>
              <w:pStyle w:val="35"/>
              <w:jc w:val="center"/>
              <w:rPr>
                <w:rFonts w:hint="eastAsia" w:ascii="Times New Roman" w:hAnsi="Times New Roman" w:eastAsia="宋体" w:cs="Times New Roman"/>
                <w:color w:val="auto"/>
                <w:kern w:val="0"/>
                <w:sz w:val="21"/>
                <w:szCs w:val="21"/>
                <w:u w:val="none" w:color="auto"/>
                <w:lang w:val="en-US" w:eastAsia="zh-CN" w:bidi="ar"/>
              </w:rPr>
            </w:pPr>
            <w:r>
              <w:rPr>
                <w:rFonts w:hint="eastAsia" w:cs="Times New Roman"/>
                <w:color w:val="auto"/>
                <w:kern w:val="0"/>
                <w:sz w:val="21"/>
                <w:szCs w:val="21"/>
                <w:u w:val="none" w:color="auto"/>
                <w:lang w:val="en-US" w:eastAsia="zh-CN" w:bidi="ar"/>
              </w:rPr>
              <w:t>/</w:t>
            </w:r>
          </w:p>
        </w:tc>
        <w:tc>
          <w:tcPr>
            <w:tcW w:w="1144" w:type="dxa"/>
            <w:vAlign w:val="center"/>
          </w:tcPr>
          <w:p w14:paraId="0BE41ED3">
            <w:pPr>
              <w:pStyle w:val="35"/>
              <w:jc w:val="center"/>
              <w:rPr>
                <w:rFonts w:hint="eastAsia" w:ascii="Times New Roman" w:hAnsi="Times New Roman" w:eastAsia="宋体" w:cs="Times New Roman"/>
                <w:color w:val="auto"/>
                <w:kern w:val="0"/>
                <w:sz w:val="21"/>
                <w:szCs w:val="21"/>
                <w:u w:val="none" w:color="auto"/>
                <w:lang w:val="en-US" w:eastAsia="zh-CN" w:bidi="ar"/>
              </w:rPr>
            </w:pPr>
            <w:r>
              <w:rPr>
                <w:rFonts w:hint="eastAsia" w:cs="Times New Roman"/>
                <w:color w:val="auto"/>
                <w:kern w:val="0"/>
                <w:sz w:val="21"/>
                <w:szCs w:val="21"/>
                <w:u w:val="none" w:color="auto"/>
                <w:lang w:val="en-US" w:eastAsia="zh-CN" w:bidi="ar"/>
              </w:rPr>
              <w:t>/</w:t>
            </w:r>
          </w:p>
        </w:tc>
        <w:tc>
          <w:tcPr>
            <w:tcW w:w="1701" w:type="dxa"/>
            <w:vAlign w:val="center"/>
          </w:tcPr>
          <w:p w14:paraId="3E931D3B">
            <w:pPr>
              <w:pStyle w:val="35"/>
              <w:jc w:val="center"/>
              <w:rPr>
                <w:rFonts w:hint="eastAsia" w:ascii="Times New Roman" w:hAnsi="Times New Roman" w:eastAsia="宋体" w:cs="Times New Roman"/>
                <w:color w:val="auto"/>
                <w:kern w:val="0"/>
                <w:sz w:val="21"/>
                <w:szCs w:val="21"/>
                <w:u w:val="none" w:color="auto"/>
                <w:lang w:val="en-US" w:eastAsia="zh-CN" w:bidi="ar"/>
              </w:rPr>
            </w:pPr>
            <w:r>
              <w:rPr>
                <w:rFonts w:hint="eastAsia" w:cs="Times New Roman"/>
                <w:color w:val="auto"/>
                <w:kern w:val="0"/>
                <w:sz w:val="21"/>
                <w:szCs w:val="21"/>
                <w:u w:val="none" w:color="auto"/>
                <w:lang w:val="en-US" w:eastAsia="zh-CN" w:bidi="ar"/>
              </w:rPr>
              <w:t>/</w:t>
            </w:r>
          </w:p>
        </w:tc>
        <w:tc>
          <w:tcPr>
            <w:tcW w:w="1559" w:type="dxa"/>
            <w:vAlign w:val="center"/>
          </w:tcPr>
          <w:p w14:paraId="26622392">
            <w:pPr>
              <w:pStyle w:val="35"/>
              <w:jc w:val="center"/>
              <w:rPr>
                <w:rFonts w:hint="default" w:ascii="Times New Roman" w:hAnsi="Times New Roman" w:eastAsia="宋体" w:cs="Times New Roman"/>
                <w:color w:val="0000FF"/>
                <w:sz w:val="21"/>
                <w:szCs w:val="21"/>
                <w:u w:val="none" w:color="auto"/>
                <w:lang w:val="en-US" w:eastAsia="zh-CN"/>
              </w:rPr>
            </w:pPr>
            <w:r>
              <w:rPr>
                <w:rFonts w:hint="eastAsia" w:cs="Times New Roman"/>
                <w:color w:val="0000FF"/>
                <w:sz w:val="21"/>
                <w:szCs w:val="21"/>
                <w:u w:val="none" w:color="auto"/>
                <w:lang w:val="en-US" w:eastAsia="zh-CN"/>
              </w:rPr>
              <w:t>0.04t/a</w:t>
            </w:r>
          </w:p>
        </w:tc>
        <w:tc>
          <w:tcPr>
            <w:tcW w:w="1761" w:type="dxa"/>
            <w:vAlign w:val="center"/>
          </w:tcPr>
          <w:p w14:paraId="763E3028">
            <w:pPr>
              <w:pStyle w:val="35"/>
              <w:jc w:val="center"/>
              <w:rPr>
                <w:rFonts w:hint="default" w:ascii="Times New Roman" w:hAnsi="Times New Roman" w:eastAsia="宋体" w:cs="Times New Roman"/>
                <w:color w:val="0000FF"/>
                <w:kern w:val="0"/>
                <w:sz w:val="21"/>
                <w:szCs w:val="21"/>
                <w:u w:val="none" w:color="auto"/>
                <w:lang w:bidi="ar"/>
              </w:rPr>
            </w:pPr>
            <w:r>
              <w:rPr>
                <w:rFonts w:hint="default" w:ascii="Times New Roman" w:hAnsi="Times New Roman" w:eastAsia="宋体" w:cs="Times New Roman"/>
                <w:color w:val="0000FF"/>
                <w:kern w:val="0"/>
                <w:sz w:val="21"/>
                <w:szCs w:val="21"/>
                <w:u w:val="none" w:color="auto"/>
                <w:lang w:bidi="ar"/>
              </w:rPr>
              <w:t>/</w:t>
            </w:r>
          </w:p>
        </w:tc>
        <w:tc>
          <w:tcPr>
            <w:tcW w:w="1791" w:type="dxa"/>
            <w:vAlign w:val="center"/>
          </w:tcPr>
          <w:p w14:paraId="02D1CA7E">
            <w:pPr>
              <w:pStyle w:val="35"/>
              <w:jc w:val="center"/>
              <w:rPr>
                <w:rFonts w:hint="eastAsia" w:cs="Times New Roman"/>
                <w:color w:val="0000FF"/>
                <w:sz w:val="21"/>
                <w:szCs w:val="21"/>
                <w:u w:val="none" w:color="auto"/>
                <w:lang w:val="en-US" w:eastAsia="zh-CN"/>
              </w:rPr>
            </w:pPr>
            <w:r>
              <w:rPr>
                <w:rFonts w:hint="eastAsia" w:cs="Times New Roman"/>
                <w:color w:val="0000FF"/>
                <w:sz w:val="21"/>
                <w:szCs w:val="21"/>
                <w:u w:val="none" w:color="auto"/>
                <w:lang w:val="en-US" w:eastAsia="zh-CN"/>
              </w:rPr>
              <w:t>0.04t/a</w:t>
            </w:r>
          </w:p>
        </w:tc>
        <w:tc>
          <w:tcPr>
            <w:tcW w:w="1708" w:type="dxa"/>
            <w:vAlign w:val="center"/>
          </w:tcPr>
          <w:p w14:paraId="57346111">
            <w:pPr>
              <w:pStyle w:val="35"/>
              <w:jc w:val="center"/>
              <w:rPr>
                <w:rFonts w:hint="eastAsia" w:ascii="Times New Roman" w:hAnsi="Times New Roman" w:eastAsia="宋体" w:cs="Times New Roman"/>
                <w:color w:val="0000FF"/>
                <w:sz w:val="21"/>
                <w:szCs w:val="21"/>
                <w:u w:val="none" w:color="auto"/>
                <w:lang w:val="en-US" w:eastAsia="zh-CN"/>
              </w:rPr>
            </w:pPr>
            <w:r>
              <w:rPr>
                <w:rFonts w:hint="eastAsia" w:ascii="Times New Roman" w:hAnsi="Times New Roman" w:eastAsia="宋体" w:cs="Times New Roman"/>
                <w:color w:val="0000FF"/>
                <w:sz w:val="21"/>
                <w:szCs w:val="21"/>
                <w:u w:val="none" w:color="auto"/>
                <w:lang w:val="en-US" w:eastAsia="zh-CN"/>
              </w:rPr>
              <w:t>+</w:t>
            </w:r>
            <w:r>
              <w:rPr>
                <w:rFonts w:hint="eastAsia" w:cs="Times New Roman"/>
                <w:color w:val="0000FF"/>
                <w:sz w:val="21"/>
                <w:szCs w:val="21"/>
                <w:u w:val="none" w:color="auto"/>
                <w:lang w:val="en-US" w:eastAsia="zh-CN"/>
              </w:rPr>
              <w:t>0.04t/a</w:t>
            </w:r>
          </w:p>
        </w:tc>
      </w:tr>
      <w:tr w14:paraId="363B45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8" w:type="dxa"/>
            <w:vMerge w:val="continue"/>
            <w:vAlign w:val="center"/>
          </w:tcPr>
          <w:p w14:paraId="07457372">
            <w:pPr>
              <w:pStyle w:val="34"/>
              <w:spacing w:beforeLines="0" w:afterLines="0" w:line="240" w:lineRule="auto"/>
              <w:ind w:firstLine="0" w:firstLineChars="0"/>
              <w:rPr>
                <w:rFonts w:hint="default" w:ascii="Times New Roman" w:hAnsi="Times New Roman" w:eastAsia="宋体" w:cs="Times New Roman"/>
                <w:snapToGrid w:val="0"/>
                <w:color w:val="auto"/>
                <w:kern w:val="21"/>
                <w:sz w:val="21"/>
                <w:szCs w:val="21"/>
                <w:u w:val="none" w:color="auto"/>
              </w:rPr>
            </w:pPr>
          </w:p>
        </w:tc>
        <w:tc>
          <w:tcPr>
            <w:tcW w:w="1765" w:type="dxa"/>
            <w:vAlign w:val="center"/>
          </w:tcPr>
          <w:p w14:paraId="323BEBA6">
            <w:pPr>
              <w:pStyle w:val="35"/>
              <w:jc w:val="center"/>
              <w:rPr>
                <w:rFonts w:hint="default" w:ascii="Times New Roman" w:hAnsi="Times New Roman" w:eastAsia="宋体" w:cs="Times New Roman"/>
                <w:snapToGrid w:val="0"/>
                <w:color w:val="auto"/>
                <w:sz w:val="21"/>
                <w:szCs w:val="21"/>
                <w:u w:val="none" w:color="auto"/>
              </w:rPr>
            </w:pPr>
            <w:r>
              <w:rPr>
                <w:rFonts w:hint="default" w:ascii="Times New Roman" w:hAnsi="Times New Roman" w:eastAsia="宋体" w:cs="Times New Roman"/>
                <w:snapToGrid w:val="0"/>
                <w:color w:val="auto"/>
                <w:sz w:val="21"/>
                <w:szCs w:val="21"/>
                <w:u w:val="none" w:color="auto"/>
              </w:rPr>
              <w:t>污水处理站格</w:t>
            </w:r>
            <w:r>
              <w:rPr>
                <w:rFonts w:hint="eastAsia" w:cs="Times New Roman"/>
                <w:snapToGrid w:val="0"/>
                <w:color w:val="auto"/>
                <w:sz w:val="21"/>
                <w:szCs w:val="21"/>
                <w:u w:val="none" w:color="auto"/>
                <w:lang w:val="en-US" w:eastAsia="zh-CN"/>
              </w:rPr>
              <w:t>栅、</w:t>
            </w:r>
            <w:r>
              <w:rPr>
                <w:rFonts w:hint="default" w:ascii="Times New Roman" w:hAnsi="Times New Roman" w:eastAsia="宋体" w:cs="Times New Roman"/>
                <w:snapToGrid w:val="0"/>
                <w:color w:val="auto"/>
                <w:sz w:val="21"/>
                <w:szCs w:val="21"/>
                <w:u w:val="none" w:color="auto"/>
              </w:rPr>
              <w:t>污泥</w:t>
            </w:r>
          </w:p>
        </w:tc>
        <w:tc>
          <w:tcPr>
            <w:tcW w:w="1485" w:type="dxa"/>
            <w:vAlign w:val="center"/>
          </w:tcPr>
          <w:p w14:paraId="0A5BA2E4">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144" w:type="dxa"/>
            <w:vAlign w:val="center"/>
          </w:tcPr>
          <w:p w14:paraId="6915B976">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701" w:type="dxa"/>
            <w:vAlign w:val="center"/>
          </w:tcPr>
          <w:p w14:paraId="10C4822C">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559" w:type="dxa"/>
            <w:vAlign w:val="center"/>
          </w:tcPr>
          <w:p w14:paraId="43B0F75B">
            <w:pPr>
              <w:pStyle w:val="35"/>
              <w:jc w:val="center"/>
              <w:rPr>
                <w:rFonts w:hint="default" w:ascii="Times New Roman" w:hAnsi="Times New Roman" w:eastAsia="宋体" w:cs="Times New Roman"/>
                <w:snapToGrid w:val="0"/>
                <w:color w:val="auto"/>
                <w:sz w:val="21"/>
                <w:szCs w:val="21"/>
                <w:u w:val="none" w:color="auto"/>
              </w:rPr>
            </w:pPr>
            <w:r>
              <w:rPr>
                <w:rFonts w:hint="eastAsia" w:cs="Times New Roman"/>
                <w:color w:val="0000FF"/>
                <w:sz w:val="21"/>
                <w:szCs w:val="21"/>
                <w:u w:val="none" w:color="auto"/>
                <w:lang w:val="en-US" w:eastAsia="zh-CN"/>
              </w:rPr>
              <w:t>13.07</w:t>
            </w:r>
            <w:r>
              <w:rPr>
                <w:rFonts w:hint="eastAsia" w:cs="Times New Roman"/>
                <w:color w:val="auto"/>
                <w:sz w:val="21"/>
                <w:szCs w:val="21"/>
                <w:u w:val="none" w:color="auto"/>
                <w:lang w:val="en-US" w:eastAsia="zh-CN"/>
              </w:rPr>
              <w:t>t/a</w:t>
            </w:r>
          </w:p>
        </w:tc>
        <w:tc>
          <w:tcPr>
            <w:tcW w:w="1761" w:type="dxa"/>
            <w:vAlign w:val="center"/>
          </w:tcPr>
          <w:p w14:paraId="28DECF10">
            <w:pPr>
              <w:pStyle w:val="35"/>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0"/>
                <w:sz w:val="21"/>
                <w:szCs w:val="21"/>
                <w:u w:val="none" w:color="auto"/>
                <w:lang w:bidi="ar"/>
              </w:rPr>
              <w:t>/</w:t>
            </w:r>
          </w:p>
        </w:tc>
        <w:tc>
          <w:tcPr>
            <w:tcW w:w="1791" w:type="dxa"/>
            <w:vAlign w:val="center"/>
          </w:tcPr>
          <w:p w14:paraId="3A9D3C06">
            <w:pPr>
              <w:pStyle w:val="35"/>
              <w:jc w:val="center"/>
              <w:rPr>
                <w:rFonts w:hint="default" w:ascii="Times New Roman" w:hAnsi="Times New Roman" w:eastAsia="宋体" w:cs="Times New Roman"/>
                <w:snapToGrid w:val="0"/>
                <w:color w:val="auto"/>
                <w:sz w:val="21"/>
                <w:szCs w:val="21"/>
                <w:u w:val="none" w:color="auto"/>
              </w:rPr>
            </w:pPr>
            <w:r>
              <w:rPr>
                <w:rFonts w:hint="eastAsia" w:cs="Times New Roman"/>
                <w:color w:val="0000FF"/>
                <w:sz w:val="21"/>
                <w:szCs w:val="21"/>
                <w:u w:val="none" w:color="auto"/>
                <w:lang w:val="en-US" w:eastAsia="zh-CN"/>
              </w:rPr>
              <w:t>13.07</w:t>
            </w:r>
            <w:r>
              <w:rPr>
                <w:rFonts w:hint="eastAsia" w:cs="Times New Roman"/>
                <w:color w:val="auto"/>
                <w:sz w:val="21"/>
                <w:szCs w:val="21"/>
                <w:u w:val="none" w:color="auto"/>
                <w:lang w:val="en-US" w:eastAsia="zh-CN"/>
              </w:rPr>
              <w:t>t/a</w:t>
            </w:r>
          </w:p>
        </w:tc>
        <w:tc>
          <w:tcPr>
            <w:tcW w:w="1708" w:type="dxa"/>
            <w:vAlign w:val="center"/>
          </w:tcPr>
          <w:p w14:paraId="2971D71E">
            <w:pPr>
              <w:pStyle w:val="35"/>
              <w:jc w:val="center"/>
              <w:rPr>
                <w:rFonts w:hint="default" w:ascii="Times New Roman" w:hAnsi="Times New Roman" w:eastAsia="宋体" w:cs="Times New Roman"/>
                <w:snapToGrid w:val="0"/>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w:t>
            </w:r>
            <w:r>
              <w:rPr>
                <w:rFonts w:hint="eastAsia" w:cs="Times New Roman"/>
                <w:color w:val="0000FF"/>
                <w:sz w:val="21"/>
                <w:szCs w:val="21"/>
                <w:u w:val="none" w:color="auto"/>
                <w:lang w:val="en-US" w:eastAsia="zh-CN"/>
              </w:rPr>
              <w:t>13.07</w:t>
            </w:r>
            <w:r>
              <w:rPr>
                <w:rFonts w:hint="eastAsia" w:cs="Times New Roman"/>
                <w:color w:val="auto"/>
                <w:sz w:val="21"/>
                <w:szCs w:val="21"/>
                <w:u w:val="none" w:color="auto"/>
                <w:lang w:val="en-US" w:eastAsia="zh-CN"/>
              </w:rPr>
              <w:t>t/a</w:t>
            </w:r>
          </w:p>
        </w:tc>
      </w:tr>
      <w:tr w14:paraId="501550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8" w:type="dxa"/>
            <w:vMerge w:val="continue"/>
            <w:vAlign w:val="center"/>
          </w:tcPr>
          <w:p w14:paraId="11D1E3A0">
            <w:pPr>
              <w:pStyle w:val="34"/>
              <w:spacing w:beforeLines="0" w:afterLines="0" w:line="240" w:lineRule="auto"/>
              <w:ind w:firstLine="0" w:firstLineChars="0"/>
              <w:rPr>
                <w:rFonts w:hint="default" w:ascii="Times New Roman" w:hAnsi="Times New Roman" w:eastAsia="宋体" w:cs="Times New Roman"/>
                <w:snapToGrid w:val="0"/>
                <w:color w:val="auto"/>
                <w:kern w:val="21"/>
                <w:sz w:val="21"/>
                <w:szCs w:val="21"/>
                <w:u w:val="none" w:color="auto"/>
              </w:rPr>
            </w:pPr>
          </w:p>
        </w:tc>
        <w:tc>
          <w:tcPr>
            <w:tcW w:w="1765" w:type="dxa"/>
            <w:vAlign w:val="center"/>
          </w:tcPr>
          <w:p w14:paraId="7B4BEB8F">
            <w:pPr>
              <w:pStyle w:val="35"/>
              <w:jc w:val="center"/>
              <w:rPr>
                <w:rFonts w:hint="default" w:ascii="Times New Roman" w:hAnsi="Times New Roman" w:eastAsia="宋体" w:cs="Times New Roman"/>
                <w:snapToGrid w:val="0"/>
                <w:color w:val="auto"/>
                <w:sz w:val="21"/>
                <w:szCs w:val="21"/>
                <w:u w:val="none" w:color="auto"/>
                <w:lang w:val="en-US" w:eastAsia="zh-CN"/>
              </w:rPr>
            </w:pPr>
            <w:r>
              <w:rPr>
                <w:rFonts w:hint="eastAsia" w:cs="Times New Roman"/>
                <w:snapToGrid w:val="0"/>
                <w:color w:val="auto"/>
                <w:sz w:val="21"/>
                <w:szCs w:val="21"/>
                <w:u w:val="none" w:color="auto"/>
                <w:lang w:val="en-US" w:eastAsia="zh-CN"/>
              </w:rPr>
              <w:t>化粪池污泥</w:t>
            </w:r>
          </w:p>
        </w:tc>
        <w:tc>
          <w:tcPr>
            <w:tcW w:w="1485" w:type="dxa"/>
            <w:vAlign w:val="center"/>
          </w:tcPr>
          <w:p w14:paraId="0815CE2F">
            <w:pPr>
              <w:pStyle w:val="35"/>
              <w:jc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w:t>
            </w:r>
          </w:p>
        </w:tc>
        <w:tc>
          <w:tcPr>
            <w:tcW w:w="1144" w:type="dxa"/>
            <w:vAlign w:val="center"/>
          </w:tcPr>
          <w:p w14:paraId="53F8022E">
            <w:pPr>
              <w:pStyle w:val="35"/>
              <w:jc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w:t>
            </w:r>
          </w:p>
        </w:tc>
        <w:tc>
          <w:tcPr>
            <w:tcW w:w="1701" w:type="dxa"/>
            <w:vAlign w:val="center"/>
          </w:tcPr>
          <w:p w14:paraId="0C578B1E">
            <w:pPr>
              <w:pStyle w:val="35"/>
              <w:jc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w:t>
            </w:r>
          </w:p>
        </w:tc>
        <w:tc>
          <w:tcPr>
            <w:tcW w:w="1559" w:type="dxa"/>
            <w:vAlign w:val="center"/>
          </w:tcPr>
          <w:p w14:paraId="6318AC66">
            <w:pPr>
              <w:pStyle w:val="35"/>
              <w:jc w:val="center"/>
              <w:rPr>
                <w:rFonts w:hint="eastAsia" w:cs="Times New Roman"/>
                <w:color w:val="auto"/>
                <w:sz w:val="21"/>
                <w:szCs w:val="21"/>
                <w:u w:val="none" w:color="auto"/>
                <w:lang w:val="en-US" w:eastAsia="zh-CN"/>
              </w:rPr>
            </w:pPr>
            <w:r>
              <w:rPr>
                <w:rFonts w:hint="eastAsia" w:cs="Times New Roman"/>
                <w:color w:val="0000FF"/>
                <w:sz w:val="21"/>
                <w:szCs w:val="21"/>
                <w:u w:val="none" w:color="auto"/>
                <w:lang w:val="en-US" w:eastAsia="zh-CN"/>
              </w:rPr>
              <w:t>12.74</w:t>
            </w:r>
            <w:r>
              <w:rPr>
                <w:rFonts w:hint="eastAsia" w:cs="Times New Roman"/>
                <w:color w:val="auto"/>
                <w:sz w:val="21"/>
                <w:szCs w:val="21"/>
                <w:u w:val="none" w:color="auto"/>
                <w:lang w:val="en-US" w:eastAsia="zh-CN"/>
              </w:rPr>
              <w:t>t/a</w:t>
            </w:r>
          </w:p>
        </w:tc>
        <w:tc>
          <w:tcPr>
            <w:tcW w:w="1761" w:type="dxa"/>
            <w:vAlign w:val="center"/>
          </w:tcPr>
          <w:p w14:paraId="4484814B">
            <w:pPr>
              <w:pStyle w:val="35"/>
              <w:jc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w:t>
            </w:r>
          </w:p>
        </w:tc>
        <w:tc>
          <w:tcPr>
            <w:tcW w:w="1791" w:type="dxa"/>
            <w:vAlign w:val="center"/>
          </w:tcPr>
          <w:p w14:paraId="750303C6">
            <w:pPr>
              <w:pStyle w:val="35"/>
              <w:jc w:val="center"/>
              <w:rPr>
                <w:rFonts w:hint="eastAsia" w:cs="Times New Roman"/>
                <w:color w:val="auto"/>
                <w:sz w:val="21"/>
                <w:szCs w:val="21"/>
                <w:u w:val="none" w:color="auto"/>
                <w:lang w:val="en-US" w:eastAsia="zh-CN"/>
              </w:rPr>
            </w:pPr>
            <w:r>
              <w:rPr>
                <w:rFonts w:hint="eastAsia" w:cs="Times New Roman"/>
                <w:color w:val="0000FF"/>
                <w:sz w:val="21"/>
                <w:szCs w:val="21"/>
                <w:u w:val="none" w:color="auto"/>
                <w:lang w:val="en-US" w:eastAsia="zh-CN"/>
              </w:rPr>
              <w:t>12.74</w:t>
            </w:r>
            <w:r>
              <w:rPr>
                <w:rFonts w:hint="eastAsia" w:cs="Times New Roman"/>
                <w:color w:val="auto"/>
                <w:sz w:val="21"/>
                <w:szCs w:val="21"/>
                <w:u w:val="none" w:color="auto"/>
                <w:lang w:val="en-US" w:eastAsia="zh-CN"/>
              </w:rPr>
              <w:t>t/a</w:t>
            </w:r>
          </w:p>
        </w:tc>
        <w:tc>
          <w:tcPr>
            <w:tcW w:w="1708" w:type="dxa"/>
            <w:vAlign w:val="center"/>
          </w:tcPr>
          <w:p w14:paraId="08EC8186">
            <w:pPr>
              <w:pStyle w:val="35"/>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r>
              <w:rPr>
                <w:rFonts w:hint="eastAsia" w:cs="Times New Roman"/>
                <w:color w:val="0000FF"/>
                <w:sz w:val="21"/>
                <w:szCs w:val="21"/>
                <w:u w:val="none" w:color="auto"/>
                <w:lang w:val="en-US" w:eastAsia="zh-CN"/>
              </w:rPr>
              <w:t>12.74</w:t>
            </w:r>
            <w:r>
              <w:rPr>
                <w:rFonts w:hint="eastAsia" w:cs="Times New Roman"/>
                <w:color w:val="auto"/>
                <w:sz w:val="21"/>
                <w:szCs w:val="21"/>
                <w:u w:val="none" w:color="auto"/>
                <w:lang w:val="en-US" w:eastAsia="zh-CN"/>
              </w:rPr>
              <w:t>t/a</w:t>
            </w:r>
          </w:p>
        </w:tc>
      </w:tr>
      <w:tr w14:paraId="609EF6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8" w:type="dxa"/>
            <w:vAlign w:val="center"/>
          </w:tcPr>
          <w:p w14:paraId="68A4DAD3">
            <w:pPr>
              <w:pStyle w:val="34"/>
              <w:spacing w:beforeLines="0" w:afterLines="0" w:line="240" w:lineRule="auto"/>
              <w:ind w:firstLine="0" w:firstLineChars="0"/>
              <w:rPr>
                <w:rFonts w:hint="default" w:ascii="Times New Roman" w:hAnsi="Times New Roman" w:eastAsia="宋体" w:cs="Times New Roman"/>
                <w:snapToGrid w:val="0"/>
                <w:color w:val="auto"/>
                <w:kern w:val="21"/>
                <w:sz w:val="21"/>
                <w:szCs w:val="21"/>
                <w:highlight w:val="none"/>
                <w:u w:val="none" w:color="auto"/>
                <w:lang w:val="en-US" w:eastAsia="zh-CN"/>
              </w:rPr>
            </w:pPr>
            <w:r>
              <w:rPr>
                <w:rFonts w:hint="default" w:ascii="Times New Roman" w:hAnsi="Times New Roman" w:eastAsia="宋体" w:cs="Times New Roman"/>
                <w:snapToGrid w:val="0"/>
                <w:color w:val="auto"/>
                <w:kern w:val="21"/>
                <w:sz w:val="21"/>
                <w:szCs w:val="21"/>
                <w:highlight w:val="none"/>
                <w:u w:val="none" w:color="auto"/>
                <w:lang w:val="en-US" w:eastAsia="zh-CN"/>
              </w:rPr>
              <w:t>生活垃圾</w:t>
            </w:r>
          </w:p>
        </w:tc>
        <w:tc>
          <w:tcPr>
            <w:tcW w:w="1765" w:type="dxa"/>
            <w:vAlign w:val="center"/>
          </w:tcPr>
          <w:p w14:paraId="79E1A5C8">
            <w:pPr>
              <w:pStyle w:val="35"/>
              <w:jc w:val="center"/>
              <w:rPr>
                <w:rFonts w:hint="default" w:ascii="Times New Roman" w:hAnsi="Times New Roman" w:eastAsia="宋体" w:cs="Times New Roman"/>
                <w:snapToGrid w:val="0"/>
                <w:color w:val="auto"/>
                <w:sz w:val="21"/>
                <w:szCs w:val="21"/>
                <w:highlight w:val="none"/>
                <w:u w:val="none" w:color="auto"/>
                <w:lang w:val="en-US" w:eastAsia="zh-CN"/>
              </w:rPr>
            </w:pPr>
            <w:r>
              <w:rPr>
                <w:rFonts w:hint="default" w:ascii="Times New Roman" w:hAnsi="Times New Roman" w:eastAsia="宋体" w:cs="Times New Roman"/>
                <w:snapToGrid w:val="0"/>
                <w:color w:val="auto"/>
                <w:sz w:val="21"/>
                <w:szCs w:val="21"/>
                <w:highlight w:val="none"/>
                <w:u w:val="none" w:color="auto"/>
                <w:lang w:val="en-US" w:eastAsia="zh-CN"/>
              </w:rPr>
              <w:t>生活垃圾</w:t>
            </w:r>
          </w:p>
        </w:tc>
        <w:tc>
          <w:tcPr>
            <w:tcW w:w="1485" w:type="dxa"/>
            <w:vAlign w:val="center"/>
          </w:tcPr>
          <w:p w14:paraId="31777F3C">
            <w:pPr>
              <w:pStyle w:val="35"/>
              <w:jc w:val="center"/>
              <w:rPr>
                <w:rFonts w:hint="default" w:ascii="Times New Roman" w:hAnsi="Times New Roman" w:eastAsia="宋体" w:cs="Times New Roman"/>
                <w:color w:val="auto"/>
                <w:kern w:val="0"/>
                <w:sz w:val="21"/>
                <w:szCs w:val="21"/>
                <w:highlight w:val="none"/>
                <w:u w:val="none" w:color="auto"/>
                <w:lang w:bidi="ar"/>
              </w:rPr>
            </w:pPr>
            <w:r>
              <w:rPr>
                <w:rFonts w:hint="default" w:ascii="Times New Roman" w:hAnsi="Times New Roman" w:eastAsia="宋体" w:cs="Times New Roman"/>
                <w:color w:val="auto"/>
                <w:kern w:val="0"/>
                <w:sz w:val="21"/>
                <w:szCs w:val="21"/>
                <w:highlight w:val="none"/>
                <w:u w:val="none" w:color="auto"/>
                <w:lang w:bidi="ar"/>
              </w:rPr>
              <w:t>/</w:t>
            </w:r>
          </w:p>
        </w:tc>
        <w:tc>
          <w:tcPr>
            <w:tcW w:w="1144" w:type="dxa"/>
            <w:vAlign w:val="center"/>
          </w:tcPr>
          <w:p w14:paraId="6196B1AB">
            <w:pPr>
              <w:pStyle w:val="35"/>
              <w:jc w:val="center"/>
              <w:rPr>
                <w:rFonts w:hint="default" w:ascii="Times New Roman" w:hAnsi="Times New Roman" w:eastAsia="宋体" w:cs="Times New Roman"/>
                <w:color w:val="auto"/>
                <w:kern w:val="0"/>
                <w:sz w:val="21"/>
                <w:szCs w:val="21"/>
                <w:highlight w:val="none"/>
                <w:u w:val="none" w:color="auto"/>
                <w:lang w:bidi="ar"/>
              </w:rPr>
            </w:pPr>
            <w:r>
              <w:rPr>
                <w:rFonts w:hint="default" w:ascii="Times New Roman" w:hAnsi="Times New Roman" w:eastAsia="宋体" w:cs="Times New Roman"/>
                <w:color w:val="auto"/>
                <w:kern w:val="0"/>
                <w:sz w:val="21"/>
                <w:szCs w:val="21"/>
                <w:highlight w:val="none"/>
                <w:u w:val="none" w:color="auto"/>
                <w:lang w:bidi="ar"/>
              </w:rPr>
              <w:t>/</w:t>
            </w:r>
          </w:p>
        </w:tc>
        <w:tc>
          <w:tcPr>
            <w:tcW w:w="1701" w:type="dxa"/>
            <w:vAlign w:val="center"/>
          </w:tcPr>
          <w:p w14:paraId="405E93B5">
            <w:pPr>
              <w:pStyle w:val="35"/>
              <w:jc w:val="center"/>
              <w:rPr>
                <w:rFonts w:hint="default" w:ascii="Times New Roman" w:hAnsi="Times New Roman" w:eastAsia="宋体" w:cs="Times New Roman"/>
                <w:color w:val="auto"/>
                <w:kern w:val="0"/>
                <w:sz w:val="21"/>
                <w:szCs w:val="21"/>
                <w:highlight w:val="none"/>
                <w:u w:val="none" w:color="auto"/>
                <w:lang w:bidi="ar"/>
              </w:rPr>
            </w:pPr>
            <w:r>
              <w:rPr>
                <w:rFonts w:hint="default" w:ascii="Times New Roman" w:hAnsi="Times New Roman" w:eastAsia="宋体" w:cs="Times New Roman"/>
                <w:color w:val="auto"/>
                <w:kern w:val="0"/>
                <w:sz w:val="21"/>
                <w:szCs w:val="21"/>
                <w:highlight w:val="none"/>
                <w:u w:val="none" w:color="auto"/>
                <w:lang w:bidi="ar"/>
              </w:rPr>
              <w:t>/</w:t>
            </w:r>
          </w:p>
        </w:tc>
        <w:tc>
          <w:tcPr>
            <w:tcW w:w="1559" w:type="dxa"/>
            <w:vAlign w:val="center"/>
          </w:tcPr>
          <w:p w14:paraId="32E5AE63">
            <w:pPr>
              <w:pStyle w:val="35"/>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0000FF"/>
                <w:sz w:val="21"/>
                <w:szCs w:val="21"/>
                <w:highlight w:val="none"/>
                <w:u w:val="none" w:color="auto"/>
                <w:lang w:val="en-US" w:eastAsia="zh-CN"/>
              </w:rPr>
              <w:t>87.965</w:t>
            </w:r>
            <w:r>
              <w:rPr>
                <w:rFonts w:hint="eastAsia" w:cs="Times New Roman"/>
                <w:color w:val="auto"/>
                <w:sz w:val="21"/>
                <w:szCs w:val="21"/>
                <w:highlight w:val="none"/>
                <w:u w:val="none" w:color="auto"/>
                <w:lang w:val="en-US" w:eastAsia="zh-CN"/>
              </w:rPr>
              <w:t>t/a</w:t>
            </w:r>
          </w:p>
        </w:tc>
        <w:tc>
          <w:tcPr>
            <w:tcW w:w="1761" w:type="dxa"/>
            <w:vAlign w:val="center"/>
          </w:tcPr>
          <w:p w14:paraId="1F1413DA">
            <w:pPr>
              <w:pStyle w:val="35"/>
              <w:jc w:val="center"/>
              <w:rPr>
                <w:rFonts w:hint="default" w:ascii="Times New Roman" w:hAnsi="Times New Roman" w:eastAsia="宋体" w:cs="Times New Roman"/>
                <w:color w:val="auto"/>
                <w:kern w:val="0"/>
                <w:sz w:val="21"/>
                <w:szCs w:val="21"/>
                <w:highlight w:val="none"/>
                <w:u w:val="none" w:color="auto"/>
                <w:lang w:bidi="ar"/>
              </w:rPr>
            </w:pPr>
            <w:r>
              <w:rPr>
                <w:rFonts w:hint="default" w:ascii="Times New Roman" w:hAnsi="Times New Roman" w:eastAsia="宋体" w:cs="Times New Roman"/>
                <w:color w:val="auto"/>
                <w:kern w:val="0"/>
                <w:sz w:val="21"/>
                <w:szCs w:val="21"/>
                <w:highlight w:val="none"/>
                <w:u w:val="none" w:color="auto"/>
                <w:lang w:bidi="ar"/>
              </w:rPr>
              <w:t>/</w:t>
            </w:r>
          </w:p>
        </w:tc>
        <w:tc>
          <w:tcPr>
            <w:tcW w:w="1791" w:type="dxa"/>
            <w:vAlign w:val="center"/>
          </w:tcPr>
          <w:p w14:paraId="4DE78E7C">
            <w:pPr>
              <w:pStyle w:val="35"/>
              <w:jc w:val="center"/>
              <w:rPr>
                <w:rFonts w:hint="default" w:ascii="Times New Roman" w:hAnsi="Times New Roman" w:eastAsia="宋体" w:cs="Times New Roman"/>
                <w:color w:val="auto"/>
                <w:sz w:val="21"/>
                <w:szCs w:val="21"/>
                <w:highlight w:val="none"/>
                <w:u w:val="none" w:color="auto"/>
              </w:rPr>
            </w:pPr>
            <w:r>
              <w:rPr>
                <w:rFonts w:hint="eastAsia" w:cs="Times New Roman"/>
                <w:color w:val="0000FF"/>
                <w:sz w:val="21"/>
                <w:szCs w:val="21"/>
                <w:highlight w:val="none"/>
                <w:u w:val="none" w:color="auto"/>
                <w:lang w:val="en-US" w:eastAsia="zh-CN"/>
              </w:rPr>
              <w:t>87.965</w:t>
            </w:r>
            <w:r>
              <w:rPr>
                <w:rFonts w:hint="eastAsia" w:cs="Times New Roman"/>
                <w:color w:val="auto"/>
                <w:sz w:val="21"/>
                <w:szCs w:val="21"/>
                <w:highlight w:val="none"/>
                <w:u w:val="none" w:color="auto"/>
                <w:lang w:val="en-US" w:eastAsia="zh-CN"/>
              </w:rPr>
              <w:t>t/a</w:t>
            </w:r>
          </w:p>
        </w:tc>
        <w:tc>
          <w:tcPr>
            <w:tcW w:w="1708" w:type="dxa"/>
            <w:vAlign w:val="center"/>
          </w:tcPr>
          <w:p w14:paraId="0EEA870C">
            <w:pPr>
              <w:pStyle w:val="35"/>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w:t>
            </w:r>
            <w:r>
              <w:rPr>
                <w:rFonts w:hint="eastAsia" w:cs="Times New Roman"/>
                <w:color w:val="0000FF"/>
                <w:sz w:val="21"/>
                <w:szCs w:val="21"/>
                <w:highlight w:val="none"/>
                <w:u w:val="none" w:color="auto"/>
                <w:lang w:val="en-US" w:eastAsia="zh-CN"/>
              </w:rPr>
              <w:t>87.965</w:t>
            </w:r>
            <w:r>
              <w:rPr>
                <w:rFonts w:hint="eastAsia" w:cs="Times New Roman"/>
                <w:color w:val="auto"/>
                <w:sz w:val="21"/>
                <w:szCs w:val="21"/>
                <w:highlight w:val="none"/>
                <w:u w:val="none" w:color="auto"/>
                <w:lang w:val="en-US" w:eastAsia="zh-CN"/>
              </w:rPr>
              <w:t>t/a</w:t>
            </w:r>
          </w:p>
        </w:tc>
      </w:tr>
    </w:tbl>
    <w:p w14:paraId="4C33FB15">
      <w:pPr>
        <w:pStyle w:val="34"/>
        <w:spacing w:before="192" w:beforeLines="80" w:after="24"/>
        <w:ind w:firstLine="480"/>
        <w:jc w:val="left"/>
        <w:rPr>
          <w:rFonts w:ascii="Times New Roman" w:hAnsi="Times New Roman" w:cs="Times New Roman"/>
          <w:snapToGrid w:val="0"/>
          <w:color w:val="auto"/>
          <w:spacing w:val="-6"/>
          <w:kern w:val="21"/>
          <w:u w:val="none" w:color="auto"/>
        </w:rPr>
        <w:sectPr>
          <w:pgSz w:w="16838" w:h="11906" w:orient="landscape"/>
          <w:pgMar w:top="1531" w:right="1531" w:bottom="1531" w:left="1531" w:header="851" w:footer="851" w:gutter="0"/>
          <w:pgBorders>
            <w:top w:val="none" w:sz="0" w:space="0"/>
            <w:left w:val="none" w:sz="0" w:space="0"/>
            <w:bottom w:val="none" w:sz="0" w:space="0"/>
            <w:right w:val="none" w:sz="0" w:space="0"/>
          </w:pgBorders>
          <w:cols w:space="720" w:num="1"/>
          <w:docGrid w:linePitch="326" w:charSpace="0"/>
        </w:sectPr>
      </w:pPr>
      <w:r>
        <w:rPr>
          <w:rFonts w:ascii="Times New Roman" w:hAnsi="Times New Roman" w:cs="Times New Roman"/>
          <w:snapToGrid w:val="0"/>
          <w:color w:val="auto"/>
          <w:spacing w:val="-6"/>
          <w:kern w:val="21"/>
          <w:u w:val="none" w:color="auto"/>
        </w:rPr>
        <w:t>注：</w:t>
      </w:r>
      <w:r>
        <w:rPr>
          <w:rFonts w:ascii="Times New Roman" w:hAnsi="Times New Roman" w:cs="Times New Roman"/>
          <w:snapToGrid w:val="0"/>
          <w:color w:val="auto"/>
          <w:spacing w:val="-6"/>
          <w:kern w:val="21"/>
          <w:u w:val="none" w:color="auto"/>
        </w:rPr>
        <w:fldChar w:fldCharType="begin"/>
      </w:r>
      <w:r>
        <w:rPr>
          <w:rFonts w:ascii="Times New Roman" w:hAnsi="Times New Roman" w:cs="Times New Roman"/>
          <w:snapToGrid w:val="0"/>
          <w:color w:val="auto"/>
          <w:spacing w:val="-6"/>
          <w:kern w:val="21"/>
          <w:u w:val="none" w:color="auto"/>
        </w:rPr>
        <w:instrText xml:space="preserve"> = 6 \* GB3 \* MERGEFORMAT </w:instrText>
      </w:r>
      <w:r>
        <w:rPr>
          <w:rFonts w:ascii="Times New Roman" w:hAnsi="Times New Roman" w:cs="Times New Roman"/>
          <w:snapToGrid w:val="0"/>
          <w:color w:val="auto"/>
          <w:spacing w:val="-6"/>
          <w:kern w:val="21"/>
          <w:u w:val="none" w:color="auto"/>
        </w:rPr>
        <w:fldChar w:fldCharType="separate"/>
      </w:r>
      <w:r>
        <w:rPr>
          <w:rFonts w:hint="eastAsia" w:ascii="Times New Roman" w:hAnsi="Times New Roman" w:cs="Times New Roman"/>
          <w:snapToGrid w:val="0"/>
          <w:color w:val="auto"/>
          <w:spacing w:val="-6"/>
          <w:kern w:val="21"/>
          <w:u w:val="none" w:color="auto"/>
        </w:rPr>
        <w:t>⑥</w:t>
      </w:r>
      <w:r>
        <w:rPr>
          <w:rFonts w:ascii="Times New Roman" w:hAnsi="Times New Roman" w:cs="Times New Roman"/>
          <w:snapToGrid w:val="0"/>
          <w:color w:val="auto"/>
          <w:spacing w:val="-6"/>
          <w:kern w:val="21"/>
          <w:u w:val="none" w:color="auto"/>
        </w:rPr>
        <w:fldChar w:fldCharType="end"/>
      </w:r>
      <w:r>
        <w:rPr>
          <w:rFonts w:ascii="Times New Roman" w:hAnsi="Times New Roman" w:cs="Times New Roman"/>
          <w:snapToGrid w:val="0"/>
          <w:color w:val="auto"/>
          <w:spacing w:val="-6"/>
          <w:kern w:val="21"/>
          <w:u w:val="none" w:color="auto"/>
        </w:rPr>
        <w:t>=</w:t>
      </w:r>
      <w:r>
        <w:rPr>
          <w:rFonts w:ascii="Times New Roman" w:hAnsi="Times New Roman" w:cs="Times New Roman"/>
          <w:snapToGrid w:val="0"/>
          <w:color w:val="auto"/>
          <w:spacing w:val="-6"/>
          <w:kern w:val="21"/>
          <w:u w:val="none" w:color="auto"/>
        </w:rPr>
        <w:fldChar w:fldCharType="begin"/>
      </w:r>
      <w:r>
        <w:rPr>
          <w:rFonts w:ascii="Times New Roman" w:hAnsi="Times New Roman" w:cs="Times New Roman"/>
          <w:snapToGrid w:val="0"/>
          <w:color w:val="auto"/>
          <w:spacing w:val="-6"/>
          <w:kern w:val="21"/>
          <w:u w:val="none" w:color="auto"/>
        </w:rPr>
        <w:instrText xml:space="preserve"> = 1 \* GB3 \* MERGEFORMAT </w:instrText>
      </w:r>
      <w:r>
        <w:rPr>
          <w:rFonts w:ascii="Times New Roman" w:hAnsi="Times New Roman" w:cs="Times New Roman"/>
          <w:snapToGrid w:val="0"/>
          <w:color w:val="auto"/>
          <w:spacing w:val="-6"/>
          <w:kern w:val="21"/>
          <w:u w:val="none" w:color="auto"/>
        </w:rPr>
        <w:fldChar w:fldCharType="separate"/>
      </w:r>
      <w:r>
        <w:rPr>
          <w:rFonts w:hint="eastAsia" w:ascii="Times New Roman" w:hAnsi="Times New Roman" w:cs="Times New Roman"/>
          <w:snapToGrid w:val="0"/>
          <w:color w:val="auto"/>
          <w:spacing w:val="-6"/>
          <w:kern w:val="21"/>
          <w:u w:val="none" w:color="auto"/>
        </w:rPr>
        <w:t>①</w:t>
      </w:r>
      <w:r>
        <w:rPr>
          <w:rFonts w:ascii="Times New Roman" w:hAnsi="Times New Roman" w:cs="Times New Roman"/>
          <w:snapToGrid w:val="0"/>
          <w:color w:val="auto"/>
          <w:spacing w:val="-6"/>
          <w:kern w:val="21"/>
          <w:u w:val="none" w:color="auto"/>
        </w:rPr>
        <w:fldChar w:fldCharType="end"/>
      </w:r>
      <w:r>
        <w:rPr>
          <w:rFonts w:ascii="Times New Roman" w:hAnsi="Times New Roman" w:cs="Times New Roman"/>
          <w:snapToGrid w:val="0"/>
          <w:color w:val="auto"/>
          <w:spacing w:val="-6"/>
          <w:kern w:val="21"/>
          <w:u w:val="none" w:color="auto"/>
        </w:rPr>
        <w:t>+</w:t>
      </w:r>
      <w:r>
        <w:rPr>
          <w:rFonts w:ascii="Times New Roman" w:hAnsi="Times New Roman" w:cs="Times New Roman"/>
          <w:snapToGrid w:val="0"/>
          <w:color w:val="auto"/>
          <w:spacing w:val="-6"/>
          <w:kern w:val="21"/>
          <w:u w:val="none" w:color="auto"/>
        </w:rPr>
        <w:fldChar w:fldCharType="begin"/>
      </w:r>
      <w:r>
        <w:rPr>
          <w:rFonts w:ascii="Times New Roman" w:hAnsi="Times New Roman" w:cs="Times New Roman"/>
          <w:snapToGrid w:val="0"/>
          <w:color w:val="auto"/>
          <w:spacing w:val="-6"/>
          <w:kern w:val="21"/>
          <w:u w:val="none" w:color="auto"/>
        </w:rPr>
        <w:instrText xml:space="preserve"> = 3 \* GB3 \* MERGEFORMAT </w:instrText>
      </w:r>
      <w:r>
        <w:rPr>
          <w:rFonts w:ascii="Times New Roman" w:hAnsi="Times New Roman" w:cs="Times New Roman"/>
          <w:snapToGrid w:val="0"/>
          <w:color w:val="auto"/>
          <w:spacing w:val="-6"/>
          <w:kern w:val="21"/>
          <w:u w:val="none" w:color="auto"/>
        </w:rPr>
        <w:fldChar w:fldCharType="separate"/>
      </w:r>
      <w:r>
        <w:rPr>
          <w:rFonts w:hint="eastAsia" w:ascii="Times New Roman" w:hAnsi="Times New Roman" w:cs="Times New Roman"/>
          <w:snapToGrid w:val="0"/>
          <w:color w:val="auto"/>
          <w:spacing w:val="-6"/>
          <w:kern w:val="21"/>
          <w:u w:val="none" w:color="auto"/>
        </w:rPr>
        <w:t>③</w:t>
      </w:r>
      <w:r>
        <w:rPr>
          <w:rFonts w:ascii="Times New Roman" w:hAnsi="Times New Roman" w:cs="Times New Roman"/>
          <w:snapToGrid w:val="0"/>
          <w:color w:val="auto"/>
          <w:spacing w:val="-6"/>
          <w:kern w:val="21"/>
          <w:u w:val="none" w:color="auto"/>
        </w:rPr>
        <w:fldChar w:fldCharType="end"/>
      </w:r>
      <w:r>
        <w:rPr>
          <w:rFonts w:ascii="Times New Roman" w:hAnsi="Times New Roman" w:cs="Times New Roman"/>
          <w:snapToGrid w:val="0"/>
          <w:color w:val="auto"/>
          <w:spacing w:val="-6"/>
          <w:kern w:val="21"/>
          <w:u w:val="none" w:color="auto"/>
        </w:rPr>
        <w:t>+</w:t>
      </w:r>
      <w:r>
        <w:rPr>
          <w:rFonts w:ascii="Times New Roman" w:hAnsi="Times New Roman" w:cs="Times New Roman"/>
          <w:snapToGrid w:val="0"/>
          <w:color w:val="auto"/>
          <w:spacing w:val="-6"/>
          <w:kern w:val="21"/>
          <w:u w:val="none" w:color="auto"/>
        </w:rPr>
        <w:fldChar w:fldCharType="begin"/>
      </w:r>
      <w:r>
        <w:rPr>
          <w:rFonts w:ascii="Times New Roman" w:hAnsi="Times New Roman" w:cs="Times New Roman"/>
          <w:snapToGrid w:val="0"/>
          <w:color w:val="auto"/>
          <w:spacing w:val="-6"/>
          <w:kern w:val="21"/>
          <w:u w:val="none" w:color="auto"/>
        </w:rPr>
        <w:instrText xml:space="preserve"> = 4 \* GB3 \* MERGEFORMAT </w:instrText>
      </w:r>
      <w:r>
        <w:rPr>
          <w:rFonts w:ascii="Times New Roman" w:hAnsi="Times New Roman" w:cs="Times New Roman"/>
          <w:snapToGrid w:val="0"/>
          <w:color w:val="auto"/>
          <w:spacing w:val="-6"/>
          <w:kern w:val="21"/>
          <w:u w:val="none" w:color="auto"/>
        </w:rPr>
        <w:fldChar w:fldCharType="separate"/>
      </w:r>
      <w:r>
        <w:rPr>
          <w:rFonts w:hint="eastAsia" w:ascii="Times New Roman" w:hAnsi="Times New Roman" w:cs="Times New Roman"/>
          <w:snapToGrid w:val="0"/>
          <w:color w:val="auto"/>
          <w:spacing w:val="-6"/>
          <w:kern w:val="21"/>
          <w:u w:val="none" w:color="auto"/>
        </w:rPr>
        <w:t>④</w:t>
      </w:r>
      <w:r>
        <w:rPr>
          <w:rFonts w:ascii="Times New Roman" w:hAnsi="Times New Roman" w:cs="Times New Roman"/>
          <w:snapToGrid w:val="0"/>
          <w:color w:val="auto"/>
          <w:spacing w:val="-6"/>
          <w:kern w:val="21"/>
          <w:u w:val="none" w:color="auto"/>
        </w:rPr>
        <w:fldChar w:fldCharType="end"/>
      </w:r>
      <w:r>
        <w:rPr>
          <w:rFonts w:ascii="Times New Roman" w:hAnsi="Times New Roman" w:cs="Times New Roman"/>
          <w:snapToGrid w:val="0"/>
          <w:color w:val="auto"/>
          <w:spacing w:val="-6"/>
          <w:kern w:val="21"/>
          <w:u w:val="none" w:color="auto"/>
        </w:rPr>
        <w:t>-</w:t>
      </w:r>
      <w:r>
        <w:rPr>
          <w:rFonts w:ascii="Times New Roman" w:hAnsi="Times New Roman" w:cs="Times New Roman"/>
          <w:snapToGrid w:val="0"/>
          <w:color w:val="auto"/>
          <w:spacing w:val="-6"/>
          <w:kern w:val="21"/>
          <w:u w:val="none" w:color="auto"/>
        </w:rPr>
        <w:fldChar w:fldCharType="begin"/>
      </w:r>
      <w:r>
        <w:rPr>
          <w:rFonts w:ascii="Times New Roman" w:hAnsi="Times New Roman" w:cs="Times New Roman"/>
          <w:snapToGrid w:val="0"/>
          <w:color w:val="auto"/>
          <w:spacing w:val="-6"/>
          <w:kern w:val="21"/>
          <w:u w:val="none" w:color="auto"/>
        </w:rPr>
        <w:instrText xml:space="preserve"> = 5 \* GB3 \* MERGEFORMAT </w:instrText>
      </w:r>
      <w:r>
        <w:rPr>
          <w:rFonts w:ascii="Times New Roman" w:hAnsi="Times New Roman" w:cs="Times New Roman"/>
          <w:snapToGrid w:val="0"/>
          <w:color w:val="auto"/>
          <w:spacing w:val="-6"/>
          <w:kern w:val="21"/>
          <w:u w:val="none" w:color="auto"/>
        </w:rPr>
        <w:fldChar w:fldCharType="separate"/>
      </w:r>
      <w:r>
        <w:rPr>
          <w:rFonts w:hint="eastAsia" w:ascii="Times New Roman" w:hAnsi="Times New Roman" w:cs="Times New Roman"/>
          <w:snapToGrid w:val="0"/>
          <w:color w:val="auto"/>
          <w:spacing w:val="-6"/>
          <w:kern w:val="21"/>
          <w:u w:val="none" w:color="auto"/>
        </w:rPr>
        <w:t>⑤</w:t>
      </w:r>
      <w:r>
        <w:rPr>
          <w:rFonts w:ascii="Times New Roman" w:hAnsi="Times New Roman" w:cs="Times New Roman"/>
          <w:snapToGrid w:val="0"/>
          <w:color w:val="auto"/>
          <w:spacing w:val="-6"/>
          <w:kern w:val="21"/>
          <w:u w:val="none" w:color="auto"/>
        </w:rPr>
        <w:fldChar w:fldCharType="end"/>
      </w:r>
      <w:r>
        <w:rPr>
          <w:rFonts w:ascii="Times New Roman" w:hAnsi="Times New Roman" w:cs="Times New Roman"/>
          <w:snapToGrid w:val="0"/>
          <w:color w:val="auto"/>
          <w:spacing w:val="-6"/>
          <w:kern w:val="21"/>
          <w:u w:val="none" w:color="auto"/>
        </w:rPr>
        <w:t>；</w:t>
      </w:r>
      <w:r>
        <w:rPr>
          <w:rFonts w:ascii="Times New Roman" w:hAnsi="Times New Roman" w:cs="Times New Roman"/>
          <w:snapToGrid w:val="0"/>
          <w:color w:val="auto"/>
          <w:spacing w:val="-6"/>
          <w:kern w:val="21"/>
          <w:u w:val="none" w:color="auto"/>
        </w:rPr>
        <w:fldChar w:fldCharType="begin"/>
      </w:r>
      <w:r>
        <w:rPr>
          <w:rFonts w:ascii="Times New Roman" w:hAnsi="Times New Roman" w:cs="Times New Roman"/>
          <w:snapToGrid w:val="0"/>
          <w:color w:val="auto"/>
          <w:spacing w:val="-6"/>
          <w:kern w:val="21"/>
          <w:u w:val="none" w:color="auto"/>
        </w:rPr>
        <w:instrText xml:space="preserve"> = 7 \* GB3 \* MERGEFORMAT </w:instrText>
      </w:r>
      <w:r>
        <w:rPr>
          <w:rFonts w:ascii="Times New Roman" w:hAnsi="Times New Roman" w:cs="Times New Roman"/>
          <w:snapToGrid w:val="0"/>
          <w:color w:val="auto"/>
          <w:spacing w:val="-6"/>
          <w:kern w:val="21"/>
          <w:u w:val="none" w:color="auto"/>
        </w:rPr>
        <w:fldChar w:fldCharType="separate"/>
      </w:r>
      <w:r>
        <w:rPr>
          <w:rFonts w:hint="eastAsia" w:ascii="Times New Roman" w:hAnsi="Times New Roman" w:cs="Times New Roman"/>
          <w:snapToGrid w:val="0"/>
          <w:color w:val="auto"/>
          <w:spacing w:val="-6"/>
          <w:kern w:val="21"/>
          <w:u w:val="none" w:color="auto"/>
        </w:rPr>
        <w:t>⑦</w:t>
      </w:r>
      <w:r>
        <w:rPr>
          <w:rFonts w:ascii="Times New Roman" w:hAnsi="Times New Roman" w:cs="Times New Roman"/>
          <w:snapToGrid w:val="0"/>
          <w:color w:val="auto"/>
          <w:spacing w:val="-6"/>
          <w:kern w:val="21"/>
          <w:u w:val="none" w:color="auto"/>
        </w:rPr>
        <w:fldChar w:fldCharType="end"/>
      </w:r>
      <w:r>
        <w:rPr>
          <w:rFonts w:ascii="Times New Roman" w:hAnsi="Times New Roman" w:cs="Times New Roman"/>
          <w:snapToGrid w:val="0"/>
          <w:color w:val="auto"/>
          <w:spacing w:val="-6"/>
          <w:kern w:val="21"/>
          <w:u w:val="none" w:color="auto"/>
        </w:rPr>
        <w:t>=</w:t>
      </w:r>
      <w:r>
        <w:rPr>
          <w:rFonts w:ascii="Times New Roman" w:hAnsi="Times New Roman" w:cs="Times New Roman"/>
          <w:snapToGrid w:val="0"/>
          <w:color w:val="auto"/>
          <w:spacing w:val="-6"/>
          <w:kern w:val="21"/>
          <w:u w:val="none" w:color="auto"/>
        </w:rPr>
        <w:fldChar w:fldCharType="begin"/>
      </w:r>
      <w:r>
        <w:rPr>
          <w:rFonts w:ascii="Times New Roman" w:hAnsi="Times New Roman" w:cs="Times New Roman"/>
          <w:snapToGrid w:val="0"/>
          <w:color w:val="auto"/>
          <w:spacing w:val="-6"/>
          <w:kern w:val="21"/>
          <w:u w:val="none" w:color="auto"/>
        </w:rPr>
        <w:instrText xml:space="preserve"> = 6 \* GB3 \* MERGEFORMAT </w:instrText>
      </w:r>
      <w:r>
        <w:rPr>
          <w:rFonts w:ascii="Times New Roman" w:hAnsi="Times New Roman" w:cs="Times New Roman"/>
          <w:snapToGrid w:val="0"/>
          <w:color w:val="auto"/>
          <w:spacing w:val="-6"/>
          <w:kern w:val="21"/>
          <w:u w:val="none" w:color="auto"/>
        </w:rPr>
        <w:fldChar w:fldCharType="separate"/>
      </w:r>
      <w:r>
        <w:rPr>
          <w:rFonts w:hint="eastAsia" w:ascii="Times New Roman" w:hAnsi="Times New Roman" w:cs="Times New Roman"/>
          <w:snapToGrid w:val="0"/>
          <w:color w:val="auto"/>
          <w:spacing w:val="-6"/>
          <w:kern w:val="21"/>
          <w:u w:val="none" w:color="auto"/>
        </w:rPr>
        <w:t>⑥</w:t>
      </w:r>
      <w:r>
        <w:rPr>
          <w:rFonts w:ascii="Times New Roman" w:hAnsi="Times New Roman" w:cs="Times New Roman"/>
          <w:snapToGrid w:val="0"/>
          <w:color w:val="auto"/>
          <w:spacing w:val="-6"/>
          <w:kern w:val="21"/>
          <w:u w:val="none" w:color="auto"/>
        </w:rPr>
        <w:fldChar w:fldCharType="end"/>
      </w:r>
      <w:r>
        <w:rPr>
          <w:rFonts w:ascii="Times New Roman" w:hAnsi="Times New Roman" w:cs="Times New Roman"/>
          <w:snapToGrid w:val="0"/>
          <w:color w:val="auto"/>
          <w:spacing w:val="-6"/>
          <w:kern w:val="21"/>
          <w:u w:val="none" w:color="auto"/>
        </w:rPr>
        <w:t>-</w:t>
      </w:r>
      <w:r>
        <w:rPr>
          <w:rFonts w:ascii="Times New Roman" w:hAnsi="Times New Roman" w:cs="Times New Roman"/>
          <w:snapToGrid w:val="0"/>
          <w:color w:val="auto"/>
          <w:spacing w:val="-6"/>
          <w:kern w:val="21"/>
          <w:u w:val="none" w:color="auto"/>
        </w:rPr>
        <w:fldChar w:fldCharType="begin"/>
      </w:r>
      <w:r>
        <w:rPr>
          <w:rFonts w:ascii="Times New Roman" w:hAnsi="Times New Roman" w:cs="Times New Roman"/>
          <w:snapToGrid w:val="0"/>
          <w:color w:val="auto"/>
          <w:spacing w:val="-6"/>
          <w:kern w:val="21"/>
          <w:u w:val="none" w:color="auto"/>
        </w:rPr>
        <w:instrText xml:space="preserve"> = 1 \* GB3 \* MERGEFORMAT </w:instrText>
      </w:r>
      <w:r>
        <w:rPr>
          <w:rFonts w:ascii="Times New Roman" w:hAnsi="Times New Roman" w:cs="Times New Roman"/>
          <w:snapToGrid w:val="0"/>
          <w:color w:val="auto"/>
          <w:spacing w:val="-6"/>
          <w:kern w:val="21"/>
          <w:u w:val="none" w:color="auto"/>
        </w:rPr>
        <w:fldChar w:fldCharType="separate"/>
      </w:r>
      <w:r>
        <w:rPr>
          <w:rFonts w:hint="eastAsia" w:ascii="Times New Roman" w:hAnsi="Times New Roman" w:cs="Times New Roman"/>
          <w:snapToGrid w:val="0"/>
          <w:color w:val="auto"/>
          <w:spacing w:val="-6"/>
          <w:kern w:val="21"/>
          <w:u w:val="none" w:color="auto"/>
        </w:rPr>
        <w:t>①</w:t>
      </w:r>
      <w:r>
        <w:rPr>
          <w:rFonts w:ascii="Times New Roman" w:hAnsi="Times New Roman" w:cs="Times New Roman"/>
          <w:snapToGrid w:val="0"/>
          <w:color w:val="auto"/>
          <w:spacing w:val="-6"/>
          <w:kern w:val="21"/>
          <w:u w:val="none" w:color="auto"/>
        </w:rPr>
        <w:fldChar w:fldCharType="end"/>
      </w:r>
      <w:r>
        <w:rPr>
          <w:rFonts w:hint="eastAsia" w:ascii="Times New Roman" w:hAnsi="Times New Roman" w:cs="Times New Roman"/>
          <w:snapToGrid w:val="0"/>
          <w:color w:val="auto"/>
          <w:spacing w:val="-6"/>
          <w:kern w:val="21"/>
          <w:u w:val="none" w:color="auto"/>
          <w:lang w:eastAsia="zh-CN"/>
        </w:rPr>
        <w:t>；</w:t>
      </w:r>
      <w:r>
        <w:rPr>
          <w:rFonts w:hint="eastAsia" w:ascii="Times New Roman" w:hAnsi="Times New Roman" w:cs="Times New Roman"/>
          <w:snapToGrid w:val="0"/>
          <w:color w:val="auto"/>
          <w:spacing w:val="-6"/>
          <w:kern w:val="21"/>
          <w:u w:val="none" w:color="auto"/>
          <w:lang w:val="en-US" w:eastAsia="zh-CN"/>
        </w:rPr>
        <w:t>废水排放量万t/a，废气排放量万m</w:t>
      </w:r>
      <w:r>
        <w:rPr>
          <w:rFonts w:hint="eastAsia" w:ascii="Times New Roman" w:hAnsi="Times New Roman" w:cs="Times New Roman"/>
          <w:snapToGrid w:val="0"/>
          <w:color w:val="auto"/>
          <w:spacing w:val="-6"/>
          <w:kern w:val="21"/>
          <w:u w:val="none" w:color="auto"/>
          <w:vertAlign w:val="superscript"/>
          <w:lang w:val="en-US" w:eastAsia="zh-CN"/>
        </w:rPr>
        <w:t>3</w:t>
      </w:r>
      <w:r>
        <w:rPr>
          <w:rFonts w:hint="eastAsia" w:ascii="Times New Roman" w:hAnsi="Times New Roman" w:cs="Times New Roman"/>
          <w:snapToGrid w:val="0"/>
          <w:color w:val="auto"/>
          <w:spacing w:val="-6"/>
          <w:kern w:val="21"/>
          <w:u w:val="none" w:color="auto"/>
          <w:lang w:val="en-US" w:eastAsia="zh-CN"/>
        </w:rPr>
        <w:t>/a，其他为t/a。</w:t>
      </w:r>
      <w:r>
        <w:rPr>
          <w:rFonts w:ascii="Times New Roman" w:hAnsi="Times New Roman" w:cs="Times New Roman"/>
          <w:snapToGrid w:val="0"/>
          <w:color w:val="auto"/>
          <w:spacing w:val="-6"/>
          <w:kern w:val="21"/>
          <w:u w:val="none" w:color="auto"/>
        </w:rPr>
        <w:t xml:space="preserve">  </w:t>
      </w:r>
    </w:p>
    <w:p w14:paraId="172BBC21">
      <w:pPr>
        <w:rPr>
          <w:rFonts w:hint="eastAsia"/>
          <w:lang w:eastAsia="zh-CN"/>
        </w:rPr>
        <w:sectPr>
          <w:pgSz w:w="16838" w:h="11906" w:orient="landscape"/>
          <w:pgMar w:top="1531" w:right="1531" w:bottom="1531" w:left="1531" w:header="851" w:footer="851" w:gutter="0"/>
          <w:pgBorders>
            <w:top w:val="none" w:sz="0" w:space="0"/>
            <w:left w:val="none" w:sz="0" w:space="0"/>
            <w:bottom w:val="none" w:sz="0" w:space="0"/>
            <w:right w:val="none" w:sz="0" w:space="0"/>
          </w:pgBorders>
          <w:cols w:space="720" w:num="1"/>
          <w:docGrid w:linePitch="326" w:charSpace="0"/>
        </w:sectPr>
      </w:pPr>
      <w:r>
        <w:rPr>
          <w:rFonts w:hint="eastAsia"/>
          <w:lang w:eastAsia="zh-CN"/>
        </w:rPr>
        <w:drawing>
          <wp:inline distT="0" distB="0" distL="114300" distR="114300">
            <wp:extent cx="7934960" cy="5610860"/>
            <wp:effectExtent l="0" t="0" r="8890" b="8890"/>
            <wp:docPr id="27" name="图片 27" descr="附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附图_00"/>
                    <pic:cNvPicPr>
                      <a:picLocks noChangeAspect="1"/>
                    </pic:cNvPicPr>
                  </pic:nvPicPr>
                  <pic:blipFill>
                    <a:blip r:embed="rId22"/>
                    <a:stretch>
                      <a:fillRect/>
                    </a:stretch>
                  </pic:blipFill>
                  <pic:spPr>
                    <a:xfrm>
                      <a:off x="0" y="0"/>
                      <a:ext cx="7934960" cy="5610860"/>
                    </a:xfrm>
                    <a:prstGeom prst="rect">
                      <a:avLst/>
                    </a:prstGeom>
                  </pic:spPr>
                </pic:pic>
              </a:graphicData>
            </a:graphic>
          </wp:inline>
        </w:drawing>
      </w:r>
      <w:r>
        <w:rPr>
          <w:rFonts w:hint="eastAsia"/>
          <w:lang w:eastAsia="zh-CN"/>
        </w:rPr>
        <w:drawing>
          <wp:inline distT="0" distB="0" distL="114300" distR="114300">
            <wp:extent cx="7934960" cy="5610860"/>
            <wp:effectExtent l="0" t="0" r="8890" b="8890"/>
            <wp:docPr id="26" name="图片 26" descr="附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附图_01"/>
                    <pic:cNvPicPr>
                      <a:picLocks noChangeAspect="1"/>
                    </pic:cNvPicPr>
                  </pic:nvPicPr>
                  <pic:blipFill>
                    <a:blip r:embed="rId23"/>
                    <a:stretch>
                      <a:fillRect/>
                    </a:stretch>
                  </pic:blipFill>
                  <pic:spPr>
                    <a:xfrm>
                      <a:off x="0" y="0"/>
                      <a:ext cx="7934960" cy="5610860"/>
                    </a:xfrm>
                    <a:prstGeom prst="rect">
                      <a:avLst/>
                    </a:prstGeom>
                  </pic:spPr>
                </pic:pic>
              </a:graphicData>
            </a:graphic>
          </wp:inline>
        </w:drawing>
      </w:r>
      <w:r>
        <w:rPr>
          <w:rFonts w:hint="eastAsia"/>
          <w:lang w:eastAsia="zh-CN"/>
        </w:rPr>
        <w:drawing>
          <wp:inline distT="0" distB="0" distL="114300" distR="114300">
            <wp:extent cx="7934960" cy="5610860"/>
            <wp:effectExtent l="0" t="0" r="8890" b="8890"/>
            <wp:docPr id="25" name="图片 25" descr="附图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附图_02"/>
                    <pic:cNvPicPr>
                      <a:picLocks noChangeAspect="1"/>
                    </pic:cNvPicPr>
                  </pic:nvPicPr>
                  <pic:blipFill>
                    <a:blip r:embed="rId24"/>
                    <a:stretch>
                      <a:fillRect/>
                    </a:stretch>
                  </pic:blipFill>
                  <pic:spPr>
                    <a:xfrm>
                      <a:off x="0" y="0"/>
                      <a:ext cx="7934960" cy="5610860"/>
                    </a:xfrm>
                    <a:prstGeom prst="rect">
                      <a:avLst/>
                    </a:prstGeom>
                  </pic:spPr>
                </pic:pic>
              </a:graphicData>
            </a:graphic>
          </wp:inline>
        </w:drawing>
      </w:r>
      <w:r>
        <w:rPr>
          <w:rFonts w:hint="eastAsia"/>
          <w:lang w:eastAsia="zh-CN"/>
        </w:rPr>
        <w:drawing>
          <wp:inline distT="0" distB="0" distL="114300" distR="114300">
            <wp:extent cx="7934960" cy="5610860"/>
            <wp:effectExtent l="0" t="0" r="8890" b="8890"/>
            <wp:docPr id="24" name="图片 24" descr="附图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附图_03"/>
                    <pic:cNvPicPr>
                      <a:picLocks noChangeAspect="1"/>
                    </pic:cNvPicPr>
                  </pic:nvPicPr>
                  <pic:blipFill>
                    <a:blip r:embed="rId25"/>
                    <a:stretch>
                      <a:fillRect/>
                    </a:stretch>
                  </pic:blipFill>
                  <pic:spPr>
                    <a:xfrm>
                      <a:off x="0" y="0"/>
                      <a:ext cx="7934960" cy="5610860"/>
                    </a:xfrm>
                    <a:prstGeom prst="rect">
                      <a:avLst/>
                    </a:prstGeom>
                  </pic:spPr>
                </pic:pic>
              </a:graphicData>
            </a:graphic>
          </wp:inline>
        </w:drawing>
      </w:r>
    </w:p>
    <w:p w14:paraId="32A5AFF5">
      <w:pPr>
        <w:rPr>
          <w:rFonts w:hint="eastAsia"/>
          <w:lang w:eastAsia="zh-CN"/>
        </w:rPr>
        <w:sectPr>
          <w:pgSz w:w="11906" w:h="16838"/>
          <w:pgMar w:top="1531" w:right="1531" w:bottom="1531" w:left="1531" w:header="851" w:footer="851" w:gutter="0"/>
          <w:pgBorders>
            <w:top w:val="none" w:sz="0" w:space="0"/>
            <w:left w:val="none" w:sz="0" w:space="0"/>
            <w:bottom w:val="none" w:sz="0" w:space="0"/>
            <w:right w:val="none" w:sz="0" w:space="0"/>
          </w:pgBorders>
          <w:cols w:space="720" w:num="1"/>
          <w:docGrid w:linePitch="326" w:charSpace="0"/>
        </w:sectPr>
      </w:pPr>
      <w:r>
        <w:rPr>
          <w:rFonts w:hint="eastAsia"/>
          <w:lang w:eastAsia="zh-CN"/>
        </w:rPr>
        <w:drawing>
          <wp:inline distT="0" distB="0" distL="114300" distR="114300">
            <wp:extent cx="6488430" cy="9177020"/>
            <wp:effectExtent l="0" t="0" r="7620" b="5080"/>
            <wp:docPr id="23" name="图片 23" descr="附图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附图_04"/>
                    <pic:cNvPicPr>
                      <a:picLocks noChangeAspect="1"/>
                    </pic:cNvPicPr>
                  </pic:nvPicPr>
                  <pic:blipFill>
                    <a:blip r:embed="rId26"/>
                    <a:stretch>
                      <a:fillRect/>
                    </a:stretch>
                  </pic:blipFill>
                  <pic:spPr>
                    <a:xfrm>
                      <a:off x="0" y="0"/>
                      <a:ext cx="6488430" cy="9177020"/>
                    </a:xfrm>
                    <a:prstGeom prst="rect">
                      <a:avLst/>
                    </a:prstGeom>
                  </pic:spPr>
                </pic:pic>
              </a:graphicData>
            </a:graphic>
          </wp:inline>
        </w:drawing>
      </w:r>
      <w:r>
        <w:rPr>
          <w:rFonts w:hint="eastAsia"/>
          <w:lang w:eastAsia="zh-CN"/>
        </w:rPr>
        <w:drawing>
          <wp:inline distT="0" distB="0" distL="114300" distR="114300">
            <wp:extent cx="6360160" cy="8995410"/>
            <wp:effectExtent l="0" t="0" r="2540" b="15240"/>
            <wp:docPr id="22" name="图片 22" descr="附图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附图_05"/>
                    <pic:cNvPicPr>
                      <a:picLocks noChangeAspect="1"/>
                    </pic:cNvPicPr>
                  </pic:nvPicPr>
                  <pic:blipFill>
                    <a:blip r:embed="rId27"/>
                    <a:stretch>
                      <a:fillRect/>
                    </a:stretch>
                  </pic:blipFill>
                  <pic:spPr>
                    <a:xfrm>
                      <a:off x="0" y="0"/>
                      <a:ext cx="6360160" cy="8995410"/>
                    </a:xfrm>
                    <a:prstGeom prst="rect">
                      <a:avLst/>
                    </a:prstGeom>
                  </pic:spPr>
                </pic:pic>
              </a:graphicData>
            </a:graphic>
          </wp:inline>
        </w:drawing>
      </w:r>
    </w:p>
    <w:p w14:paraId="2F3D9EAA">
      <w:pPr>
        <w:rPr>
          <w:rFonts w:hint="eastAsia"/>
          <w:lang w:eastAsia="zh-CN"/>
        </w:rPr>
        <w:sectPr>
          <w:pgSz w:w="16838" w:h="11906" w:orient="landscape"/>
          <w:pgMar w:top="1531" w:right="1531" w:bottom="1531" w:left="1531" w:header="851" w:footer="851" w:gutter="0"/>
          <w:pgBorders>
            <w:top w:val="none" w:sz="0" w:space="0"/>
            <w:left w:val="none" w:sz="0" w:space="0"/>
            <w:bottom w:val="none" w:sz="0" w:space="0"/>
            <w:right w:val="none" w:sz="0" w:space="0"/>
          </w:pgBorders>
          <w:cols w:space="720" w:num="1"/>
          <w:docGrid w:linePitch="326" w:charSpace="0"/>
        </w:sectPr>
      </w:pPr>
      <w:r>
        <w:rPr>
          <w:rFonts w:hint="eastAsia"/>
          <w:lang w:eastAsia="zh-CN"/>
        </w:rPr>
        <w:drawing>
          <wp:inline distT="0" distB="0" distL="114300" distR="114300">
            <wp:extent cx="7934960" cy="5610860"/>
            <wp:effectExtent l="0" t="0" r="8890" b="8890"/>
            <wp:docPr id="21" name="图片 21" descr="附图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附图_06"/>
                    <pic:cNvPicPr>
                      <a:picLocks noChangeAspect="1"/>
                    </pic:cNvPicPr>
                  </pic:nvPicPr>
                  <pic:blipFill>
                    <a:blip r:embed="rId28"/>
                    <a:stretch>
                      <a:fillRect/>
                    </a:stretch>
                  </pic:blipFill>
                  <pic:spPr>
                    <a:xfrm>
                      <a:off x="0" y="0"/>
                      <a:ext cx="7934960" cy="5610860"/>
                    </a:xfrm>
                    <a:prstGeom prst="rect">
                      <a:avLst/>
                    </a:prstGeom>
                  </pic:spPr>
                </pic:pic>
              </a:graphicData>
            </a:graphic>
          </wp:inline>
        </w:drawing>
      </w:r>
      <w:r>
        <w:rPr>
          <w:rFonts w:hint="eastAsia"/>
          <w:lang w:eastAsia="zh-CN"/>
        </w:rPr>
        <w:drawing>
          <wp:inline distT="0" distB="0" distL="114300" distR="114300">
            <wp:extent cx="7934960" cy="5610860"/>
            <wp:effectExtent l="0" t="0" r="8890" b="8890"/>
            <wp:docPr id="20" name="图片 20" descr="附图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附图_07"/>
                    <pic:cNvPicPr>
                      <a:picLocks noChangeAspect="1"/>
                    </pic:cNvPicPr>
                  </pic:nvPicPr>
                  <pic:blipFill>
                    <a:blip r:embed="rId29"/>
                    <a:stretch>
                      <a:fillRect/>
                    </a:stretch>
                  </pic:blipFill>
                  <pic:spPr>
                    <a:xfrm>
                      <a:off x="0" y="0"/>
                      <a:ext cx="7934960" cy="5610860"/>
                    </a:xfrm>
                    <a:prstGeom prst="rect">
                      <a:avLst/>
                    </a:prstGeom>
                  </pic:spPr>
                </pic:pic>
              </a:graphicData>
            </a:graphic>
          </wp:inline>
        </w:drawing>
      </w:r>
      <w:r>
        <w:rPr>
          <w:rFonts w:hint="eastAsia"/>
          <w:lang w:eastAsia="zh-CN"/>
        </w:rPr>
        <w:drawing>
          <wp:inline distT="0" distB="0" distL="114300" distR="114300">
            <wp:extent cx="7934960" cy="5610860"/>
            <wp:effectExtent l="0" t="0" r="8890" b="8890"/>
            <wp:docPr id="6" name="图片 6" descr="附图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图_08"/>
                    <pic:cNvPicPr>
                      <a:picLocks noChangeAspect="1"/>
                    </pic:cNvPicPr>
                  </pic:nvPicPr>
                  <pic:blipFill>
                    <a:blip r:embed="rId30"/>
                    <a:stretch>
                      <a:fillRect/>
                    </a:stretch>
                  </pic:blipFill>
                  <pic:spPr>
                    <a:xfrm>
                      <a:off x="0" y="0"/>
                      <a:ext cx="7934960" cy="5610860"/>
                    </a:xfrm>
                    <a:prstGeom prst="rect">
                      <a:avLst/>
                    </a:prstGeom>
                  </pic:spPr>
                </pic:pic>
              </a:graphicData>
            </a:graphic>
          </wp:inline>
        </w:drawing>
      </w:r>
    </w:p>
    <w:p w14:paraId="017EA3C6">
      <w:pPr>
        <w:rPr>
          <w:rFonts w:hint="eastAsia"/>
          <w:lang w:eastAsia="zh-CN"/>
        </w:rPr>
      </w:pPr>
      <w:r>
        <w:rPr>
          <w:rFonts w:hint="eastAsia"/>
          <w:lang w:eastAsia="zh-CN"/>
        </w:rPr>
        <w:drawing>
          <wp:inline distT="0" distB="0" distL="114300" distR="114300">
            <wp:extent cx="5615305" cy="7945755"/>
            <wp:effectExtent l="0" t="0" r="4445" b="17145"/>
            <wp:docPr id="76" name="图片 76" descr="附件合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附件合并_00"/>
                    <pic:cNvPicPr>
                      <a:picLocks noChangeAspect="1"/>
                    </pic:cNvPicPr>
                  </pic:nvPicPr>
                  <pic:blipFill>
                    <a:blip r:embed="rId31"/>
                    <a:stretch>
                      <a:fillRect/>
                    </a:stretch>
                  </pic:blipFill>
                  <pic:spPr>
                    <a:xfrm>
                      <a:off x="0" y="0"/>
                      <a:ext cx="5615305" cy="7945755"/>
                    </a:xfrm>
                    <a:prstGeom prst="rect">
                      <a:avLst/>
                    </a:prstGeom>
                  </pic:spPr>
                </pic:pic>
              </a:graphicData>
            </a:graphic>
          </wp:inline>
        </w:drawing>
      </w:r>
      <w:r>
        <w:rPr>
          <w:rFonts w:hint="eastAsia"/>
          <w:lang w:eastAsia="zh-CN"/>
        </w:rPr>
        <w:drawing>
          <wp:inline distT="0" distB="0" distL="114300" distR="114300">
            <wp:extent cx="5615305" cy="7945755"/>
            <wp:effectExtent l="0" t="0" r="4445" b="17145"/>
            <wp:docPr id="75" name="图片 75" descr="附件合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附件合并_01"/>
                    <pic:cNvPicPr>
                      <a:picLocks noChangeAspect="1"/>
                    </pic:cNvPicPr>
                  </pic:nvPicPr>
                  <pic:blipFill>
                    <a:blip r:embed="rId32"/>
                    <a:stretch>
                      <a:fillRect/>
                    </a:stretch>
                  </pic:blipFill>
                  <pic:spPr>
                    <a:xfrm>
                      <a:off x="0" y="0"/>
                      <a:ext cx="5615305" cy="7945755"/>
                    </a:xfrm>
                    <a:prstGeom prst="rect">
                      <a:avLst/>
                    </a:prstGeom>
                  </pic:spPr>
                </pic:pic>
              </a:graphicData>
            </a:graphic>
          </wp:inline>
        </w:drawing>
      </w:r>
      <w:r>
        <w:rPr>
          <w:rFonts w:hint="eastAsia"/>
          <w:lang w:eastAsia="zh-CN"/>
        </w:rPr>
        <w:drawing>
          <wp:inline distT="0" distB="0" distL="114300" distR="114300">
            <wp:extent cx="5615305" cy="7945755"/>
            <wp:effectExtent l="0" t="0" r="4445" b="17145"/>
            <wp:docPr id="74" name="图片 74" descr="附件合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附件合并_02"/>
                    <pic:cNvPicPr>
                      <a:picLocks noChangeAspect="1"/>
                    </pic:cNvPicPr>
                  </pic:nvPicPr>
                  <pic:blipFill>
                    <a:blip r:embed="rId33"/>
                    <a:stretch>
                      <a:fillRect/>
                    </a:stretch>
                  </pic:blipFill>
                  <pic:spPr>
                    <a:xfrm>
                      <a:off x="0" y="0"/>
                      <a:ext cx="5615305" cy="7945755"/>
                    </a:xfrm>
                    <a:prstGeom prst="rect">
                      <a:avLst/>
                    </a:prstGeom>
                  </pic:spPr>
                </pic:pic>
              </a:graphicData>
            </a:graphic>
          </wp:inline>
        </w:drawing>
      </w:r>
      <w:r>
        <w:rPr>
          <w:rFonts w:hint="eastAsia"/>
          <w:lang w:eastAsia="zh-CN"/>
        </w:rPr>
        <w:drawing>
          <wp:inline distT="0" distB="0" distL="114300" distR="114300">
            <wp:extent cx="5615305" cy="7945755"/>
            <wp:effectExtent l="0" t="0" r="4445" b="17145"/>
            <wp:docPr id="73" name="图片 73" descr="附件合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附件合并_03"/>
                    <pic:cNvPicPr>
                      <a:picLocks noChangeAspect="1"/>
                    </pic:cNvPicPr>
                  </pic:nvPicPr>
                  <pic:blipFill>
                    <a:blip r:embed="rId34"/>
                    <a:stretch>
                      <a:fillRect/>
                    </a:stretch>
                  </pic:blipFill>
                  <pic:spPr>
                    <a:xfrm>
                      <a:off x="0" y="0"/>
                      <a:ext cx="5615305" cy="7945755"/>
                    </a:xfrm>
                    <a:prstGeom prst="rect">
                      <a:avLst/>
                    </a:prstGeom>
                  </pic:spPr>
                </pic:pic>
              </a:graphicData>
            </a:graphic>
          </wp:inline>
        </w:drawing>
      </w:r>
      <w:r>
        <w:rPr>
          <w:rFonts w:hint="eastAsia"/>
          <w:lang w:eastAsia="zh-CN"/>
        </w:rPr>
        <w:drawing>
          <wp:inline distT="0" distB="0" distL="114300" distR="114300">
            <wp:extent cx="5604510" cy="7891780"/>
            <wp:effectExtent l="0" t="0" r="15240" b="13970"/>
            <wp:docPr id="72" name="图片 72" descr="附件合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附件合并_04"/>
                    <pic:cNvPicPr>
                      <a:picLocks noChangeAspect="1"/>
                    </pic:cNvPicPr>
                  </pic:nvPicPr>
                  <pic:blipFill>
                    <a:blip r:embed="rId35"/>
                    <a:stretch>
                      <a:fillRect/>
                    </a:stretch>
                  </pic:blipFill>
                  <pic:spPr>
                    <a:xfrm>
                      <a:off x="0" y="0"/>
                      <a:ext cx="5604510" cy="7891780"/>
                    </a:xfrm>
                    <a:prstGeom prst="rect">
                      <a:avLst/>
                    </a:prstGeom>
                  </pic:spPr>
                </pic:pic>
              </a:graphicData>
            </a:graphic>
          </wp:inline>
        </w:drawing>
      </w:r>
      <w:r>
        <w:rPr>
          <w:rFonts w:hint="eastAsia"/>
          <w:lang w:eastAsia="zh-CN"/>
        </w:rPr>
        <w:drawing>
          <wp:inline distT="0" distB="0" distL="114300" distR="114300">
            <wp:extent cx="5604510" cy="7891780"/>
            <wp:effectExtent l="0" t="0" r="15240" b="13970"/>
            <wp:docPr id="71" name="图片 71" descr="附件合并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附件合并_05"/>
                    <pic:cNvPicPr>
                      <a:picLocks noChangeAspect="1"/>
                    </pic:cNvPicPr>
                  </pic:nvPicPr>
                  <pic:blipFill>
                    <a:blip r:embed="rId36"/>
                    <a:stretch>
                      <a:fillRect/>
                    </a:stretch>
                  </pic:blipFill>
                  <pic:spPr>
                    <a:xfrm>
                      <a:off x="0" y="0"/>
                      <a:ext cx="5604510" cy="7891780"/>
                    </a:xfrm>
                    <a:prstGeom prst="rect">
                      <a:avLst/>
                    </a:prstGeom>
                  </pic:spPr>
                </pic:pic>
              </a:graphicData>
            </a:graphic>
          </wp:inline>
        </w:drawing>
      </w:r>
      <w:r>
        <w:rPr>
          <w:rFonts w:hint="eastAsia"/>
          <w:lang w:eastAsia="zh-CN"/>
        </w:rPr>
        <w:drawing>
          <wp:inline distT="0" distB="0" distL="114300" distR="114300">
            <wp:extent cx="5604510" cy="7891780"/>
            <wp:effectExtent l="0" t="0" r="15240" b="13970"/>
            <wp:docPr id="69" name="图片 69" descr="附件合并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附件合并_06"/>
                    <pic:cNvPicPr>
                      <a:picLocks noChangeAspect="1"/>
                    </pic:cNvPicPr>
                  </pic:nvPicPr>
                  <pic:blipFill>
                    <a:blip r:embed="rId37"/>
                    <a:stretch>
                      <a:fillRect/>
                    </a:stretch>
                  </pic:blipFill>
                  <pic:spPr>
                    <a:xfrm>
                      <a:off x="0" y="0"/>
                      <a:ext cx="5604510" cy="7891780"/>
                    </a:xfrm>
                    <a:prstGeom prst="rect">
                      <a:avLst/>
                    </a:prstGeom>
                  </pic:spPr>
                </pic:pic>
              </a:graphicData>
            </a:graphic>
          </wp:inline>
        </w:drawing>
      </w:r>
      <w:r>
        <w:rPr>
          <w:rFonts w:hint="eastAsia"/>
          <w:lang w:eastAsia="zh-CN"/>
        </w:rPr>
        <w:drawing>
          <wp:inline distT="0" distB="0" distL="114300" distR="114300">
            <wp:extent cx="5584825" cy="4002405"/>
            <wp:effectExtent l="0" t="0" r="15875" b="17145"/>
            <wp:docPr id="68" name="图片 68" descr="附件合并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附件合并_07"/>
                    <pic:cNvPicPr>
                      <a:picLocks noChangeAspect="1"/>
                    </pic:cNvPicPr>
                  </pic:nvPicPr>
                  <pic:blipFill>
                    <a:blip r:embed="rId38"/>
                    <a:stretch>
                      <a:fillRect/>
                    </a:stretch>
                  </pic:blipFill>
                  <pic:spPr>
                    <a:xfrm>
                      <a:off x="0" y="0"/>
                      <a:ext cx="5584825" cy="4002405"/>
                    </a:xfrm>
                    <a:prstGeom prst="rect">
                      <a:avLst/>
                    </a:prstGeom>
                  </pic:spPr>
                </pic:pic>
              </a:graphicData>
            </a:graphic>
          </wp:inline>
        </w:drawing>
      </w:r>
      <w:r>
        <w:rPr>
          <w:rFonts w:hint="eastAsia"/>
          <w:lang w:eastAsia="zh-CN"/>
        </w:rPr>
        <w:drawing>
          <wp:inline distT="0" distB="0" distL="114300" distR="114300">
            <wp:extent cx="5608955" cy="3998595"/>
            <wp:effectExtent l="0" t="0" r="10795" b="1905"/>
            <wp:docPr id="67" name="图片 67" descr="附件合并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附件合并_08"/>
                    <pic:cNvPicPr>
                      <a:picLocks noChangeAspect="1"/>
                    </pic:cNvPicPr>
                  </pic:nvPicPr>
                  <pic:blipFill>
                    <a:blip r:embed="rId39"/>
                    <a:stretch>
                      <a:fillRect/>
                    </a:stretch>
                  </pic:blipFill>
                  <pic:spPr>
                    <a:xfrm>
                      <a:off x="0" y="0"/>
                      <a:ext cx="5608955" cy="3998595"/>
                    </a:xfrm>
                    <a:prstGeom prst="rect">
                      <a:avLst/>
                    </a:prstGeom>
                  </pic:spPr>
                </pic:pic>
              </a:graphicData>
            </a:graphic>
          </wp:inline>
        </w:drawing>
      </w:r>
      <w:r>
        <w:rPr>
          <w:rFonts w:hint="eastAsia"/>
          <w:lang w:eastAsia="zh-CN"/>
        </w:rPr>
        <w:drawing>
          <wp:inline distT="0" distB="0" distL="114300" distR="114300">
            <wp:extent cx="5586730" cy="4027170"/>
            <wp:effectExtent l="0" t="0" r="13970" b="11430"/>
            <wp:docPr id="66" name="图片 66" descr="附件合并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附件合并_09"/>
                    <pic:cNvPicPr>
                      <a:picLocks noChangeAspect="1"/>
                    </pic:cNvPicPr>
                  </pic:nvPicPr>
                  <pic:blipFill>
                    <a:blip r:embed="rId40"/>
                    <a:stretch>
                      <a:fillRect/>
                    </a:stretch>
                  </pic:blipFill>
                  <pic:spPr>
                    <a:xfrm>
                      <a:off x="0" y="0"/>
                      <a:ext cx="5586730" cy="4027170"/>
                    </a:xfrm>
                    <a:prstGeom prst="rect">
                      <a:avLst/>
                    </a:prstGeom>
                  </pic:spPr>
                </pic:pic>
              </a:graphicData>
            </a:graphic>
          </wp:inline>
        </w:drawing>
      </w:r>
      <w:r>
        <w:rPr>
          <w:rFonts w:hint="eastAsia"/>
          <w:lang w:eastAsia="zh-CN"/>
        </w:rPr>
        <w:drawing>
          <wp:inline distT="0" distB="0" distL="114300" distR="114300">
            <wp:extent cx="5589905" cy="3975100"/>
            <wp:effectExtent l="0" t="0" r="10795" b="6350"/>
            <wp:docPr id="65" name="图片 65" descr="附件合并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附件合并_10"/>
                    <pic:cNvPicPr>
                      <a:picLocks noChangeAspect="1"/>
                    </pic:cNvPicPr>
                  </pic:nvPicPr>
                  <pic:blipFill>
                    <a:blip r:embed="rId41"/>
                    <a:stretch>
                      <a:fillRect/>
                    </a:stretch>
                  </pic:blipFill>
                  <pic:spPr>
                    <a:xfrm>
                      <a:off x="0" y="0"/>
                      <a:ext cx="5589905" cy="3975100"/>
                    </a:xfrm>
                    <a:prstGeom prst="rect">
                      <a:avLst/>
                    </a:prstGeom>
                  </pic:spPr>
                </pic:pic>
              </a:graphicData>
            </a:graphic>
          </wp:inline>
        </w:drawing>
      </w:r>
      <w:r>
        <w:rPr>
          <w:rFonts w:hint="eastAsia"/>
          <w:lang w:eastAsia="zh-CN"/>
        </w:rPr>
        <w:drawing>
          <wp:inline distT="0" distB="0" distL="114300" distR="114300">
            <wp:extent cx="5610860" cy="7934960"/>
            <wp:effectExtent l="0" t="0" r="8890" b="8890"/>
            <wp:docPr id="64" name="图片 64" descr="附件合并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附件合并_11"/>
                    <pic:cNvPicPr>
                      <a:picLocks noChangeAspect="1"/>
                    </pic:cNvPicPr>
                  </pic:nvPicPr>
                  <pic:blipFill>
                    <a:blip r:embed="rId42"/>
                    <a:stretch>
                      <a:fillRect/>
                    </a:stretch>
                  </pic:blipFill>
                  <pic:spPr>
                    <a:xfrm>
                      <a:off x="0" y="0"/>
                      <a:ext cx="5610860" cy="7934960"/>
                    </a:xfrm>
                    <a:prstGeom prst="rect">
                      <a:avLst/>
                    </a:prstGeom>
                  </pic:spPr>
                </pic:pic>
              </a:graphicData>
            </a:graphic>
          </wp:inline>
        </w:drawing>
      </w:r>
      <w:r>
        <w:rPr>
          <w:rFonts w:hint="eastAsia"/>
          <w:lang w:eastAsia="zh-CN"/>
        </w:rPr>
        <w:drawing>
          <wp:inline distT="0" distB="0" distL="114300" distR="114300">
            <wp:extent cx="5610860" cy="7934960"/>
            <wp:effectExtent l="0" t="0" r="8890" b="8890"/>
            <wp:docPr id="63" name="图片 63" descr="附件合并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附件合并_12"/>
                    <pic:cNvPicPr>
                      <a:picLocks noChangeAspect="1"/>
                    </pic:cNvPicPr>
                  </pic:nvPicPr>
                  <pic:blipFill>
                    <a:blip r:embed="rId43"/>
                    <a:stretch>
                      <a:fillRect/>
                    </a:stretch>
                  </pic:blipFill>
                  <pic:spPr>
                    <a:xfrm>
                      <a:off x="0" y="0"/>
                      <a:ext cx="5610860" cy="7934960"/>
                    </a:xfrm>
                    <a:prstGeom prst="rect">
                      <a:avLst/>
                    </a:prstGeom>
                  </pic:spPr>
                </pic:pic>
              </a:graphicData>
            </a:graphic>
          </wp:inline>
        </w:drawing>
      </w:r>
      <w:r>
        <w:rPr>
          <w:rFonts w:hint="eastAsia"/>
          <w:lang w:eastAsia="zh-CN"/>
        </w:rPr>
        <w:drawing>
          <wp:inline distT="0" distB="0" distL="114300" distR="114300">
            <wp:extent cx="5610860" cy="7934960"/>
            <wp:effectExtent l="0" t="0" r="8890" b="8890"/>
            <wp:docPr id="62" name="图片 62" descr="附件合并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附件合并_13"/>
                    <pic:cNvPicPr>
                      <a:picLocks noChangeAspect="1"/>
                    </pic:cNvPicPr>
                  </pic:nvPicPr>
                  <pic:blipFill>
                    <a:blip r:embed="rId44"/>
                    <a:stretch>
                      <a:fillRect/>
                    </a:stretch>
                  </pic:blipFill>
                  <pic:spPr>
                    <a:xfrm>
                      <a:off x="0" y="0"/>
                      <a:ext cx="5610860" cy="7934960"/>
                    </a:xfrm>
                    <a:prstGeom prst="rect">
                      <a:avLst/>
                    </a:prstGeom>
                  </pic:spPr>
                </pic:pic>
              </a:graphicData>
            </a:graphic>
          </wp:inline>
        </w:drawing>
      </w:r>
      <w:r>
        <w:rPr>
          <w:rFonts w:hint="eastAsia"/>
          <w:lang w:eastAsia="zh-CN"/>
        </w:rPr>
        <w:drawing>
          <wp:inline distT="0" distB="0" distL="114300" distR="114300">
            <wp:extent cx="5610860" cy="7934960"/>
            <wp:effectExtent l="0" t="0" r="8890" b="8890"/>
            <wp:docPr id="61" name="图片 61" descr="附件合并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附件合并_14"/>
                    <pic:cNvPicPr>
                      <a:picLocks noChangeAspect="1"/>
                    </pic:cNvPicPr>
                  </pic:nvPicPr>
                  <pic:blipFill>
                    <a:blip r:embed="rId45"/>
                    <a:stretch>
                      <a:fillRect/>
                    </a:stretch>
                  </pic:blipFill>
                  <pic:spPr>
                    <a:xfrm>
                      <a:off x="0" y="0"/>
                      <a:ext cx="5610860" cy="7934960"/>
                    </a:xfrm>
                    <a:prstGeom prst="rect">
                      <a:avLst/>
                    </a:prstGeom>
                  </pic:spPr>
                </pic:pic>
              </a:graphicData>
            </a:graphic>
          </wp:inline>
        </w:drawing>
      </w:r>
      <w:r>
        <w:rPr>
          <w:rFonts w:hint="eastAsia"/>
          <w:lang w:eastAsia="zh-CN"/>
        </w:rPr>
        <w:drawing>
          <wp:inline distT="0" distB="0" distL="114300" distR="114300">
            <wp:extent cx="5610860" cy="7934960"/>
            <wp:effectExtent l="0" t="0" r="8890" b="8890"/>
            <wp:docPr id="60" name="图片 60" descr="附件合并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附件合并_15"/>
                    <pic:cNvPicPr>
                      <a:picLocks noChangeAspect="1"/>
                    </pic:cNvPicPr>
                  </pic:nvPicPr>
                  <pic:blipFill>
                    <a:blip r:embed="rId46"/>
                    <a:stretch>
                      <a:fillRect/>
                    </a:stretch>
                  </pic:blipFill>
                  <pic:spPr>
                    <a:xfrm>
                      <a:off x="0" y="0"/>
                      <a:ext cx="5610860" cy="7934960"/>
                    </a:xfrm>
                    <a:prstGeom prst="rect">
                      <a:avLst/>
                    </a:prstGeom>
                  </pic:spPr>
                </pic:pic>
              </a:graphicData>
            </a:graphic>
          </wp:inline>
        </w:drawing>
      </w:r>
      <w:r>
        <w:rPr>
          <w:rFonts w:hint="eastAsia"/>
          <w:lang w:eastAsia="zh-CN"/>
        </w:rPr>
        <w:drawing>
          <wp:inline distT="0" distB="0" distL="114300" distR="114300">
            <wp:extent cx="5607050" cy="7475855"/>
            <wp:effectExtent l="0" t="0" r="12700" b="10795"/>
            <wp:docPr id="59" name="图片 59" descr="附件合并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附件合并_16"/>
                    <pic:cNvPicPr>
                      <a:picLocks noChangeAspect="1"/>
                    </pic:cNvPicPr>
                  </pic:nvPicPr>
                  <pic:blipFill>
                    <a:blip r:embed="rId47"/>
                    <a:stretch>
                      <a:fillRect/>
                    </a:stretch>
                  </pic:blipFill>
                  <pic:spPr>
                    <a:xfrm>
                      <a:off x="0" y="0"/>
                      <a:ext cx="5607050" cy="7475855"/>
                    </a:xfrm>
                    <a:prstGeom prst="rect">
                      <a:avLst/>
                    </a:prstGeom>
                  </pic:spPr>
                </pic:pic>
              </a:graphicData>
            </a:graphic>
          </wp:inline>
        </w:drawing>
      </w:r>
      <w:r>
        <w:rPr>
          <w:rFonts w:hint="eastAsia"/>
          <w:lang w:eastAsia="zh-CN"/>
        </w:rPr>
        <w:drawing>
          <wp:inline distT="0" distB="0" distL="114300" distR="114300">
            <wp:extent cx="5610860" cy="7934960"/>
            <wp:effectExtent l="0" t="0" r="8890" b="8890"/>
            <wp:docPr id="58" name="图片 58" descr="附件合并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附件合并_17"/>
                    <pic:cNvPicPr>
                      <a:picLocks noChangeAspect="1"/>
                    </pic:cNvPicPr>
                  </pic:nvPicPr>
                  <pic:blipFill>
                    <a:blip r:embed="rId48"/>
                    <a:stretch>
                      <a:fillRect/>
                    </a:stretch>
                  </pic:blipFill>
                  <pic:spPr>
                    <a:xfrm>
                      <a:off x="0" y="0"/>
                      <a:ext cx="5610860" cy="7934960"/>
                    </a:xfrm>
                    <a:prstGeom prst="rect">
                      <a:avLst/>
                    </a:prstGeom>
                  </pic:spPr>
                </pic:pic>
              </a:graphicData>
            </a:graphic>
          </wp:inline>
        </w:drawing>
      </w:r>
      <w:r>
        <w:rPr>
          <w:rFonts w:hint="eastAsia"/>
          <w:lang w:eastAsia="zh-CN"/>
        </w:rPr>
        <w:drawing>
          <wp:inline distT="0" distB="0" distL="114300" distR="114300">
            <wp:extent cx="5610860" cy="7934960"/>
            <wp:effectExtent l="0" t="0" r="8890" b="8890"/>
            <wp:docPr id="57" name="图片 57" descr="附件合并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附件合并_18"/>
                    <pic:cNvPicPr>
                      <a:picLocks noChangeAspect="1"/>
                    </pic:cNvPicPr>
                  </pic:nvPicPr>
                  <pic:blipFill>
                    <a:blip r:embed="rId49"/>
                    <a:stretch>
                      <a:fillRect/>
                    </a:stretch>
                  </pic:blipFill>
                  <pic:spPr>
                    <a:xfrm>
                      <a:off x="0" y="0"/>
                      <a:ext cx="5610860" cy="7934960"/>
                    </a:xfrm>
                    <a:prstGeom prst="rect">
                      <a:avLst/>
                    </a:prstGeom>
                  </pic:spPr>
                </pic:pic>
              </a:graphicData>
            </a:graphic>
          </wp:inline>
        </w:drawing>
      </w:r>
      <w:r>
        <w:rPr>
          <w:rFonts w:hint="eastAsia"/>
          <w:lang w:eastAsia="zh-CN"/>
        </w:rPr>
        <w:drawing>
          <wp:inline distT="0" distB="0" distL="114300" distR="114300">
            <wp:extent cx="5610860" cy="7934960"/>
            <wp:effectExtent l="0" t="0" r="8890" b="8890"/>
            <wp:docPr id="56" name="图片 56" descr="附件合并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附件合并_19"/>
                    <pic:cNvPicPr>
                      <a:picLocks noChangeAspect="1"/>
                    </pic:cNvPicPr>
                  </pic:nvPicPr>
                  <pic:blipFill>
                    <a:blip r:embed="rId50"/>
                    <a:stretch>
                      <a:fillRect/>
                    </a:stretch>
                  </pic:blipFill>
                  <pic:spPr>
                    <a:xfrm>
                      <a:off x="0" y="0"/>
                      <a:ext cx="5610860" cy="7934960"/>
                    </a:xfrm>
                    <a:prstGeom prst="rect">
                      <a:avLst/>
                    </a:prstGeom>
                  </pic:spPr>
                </pic:pic>
              </a:graphicData>
            </a:graphic>
          </wp:inline>
        </w:drawing>
      </w:r>
      <w:r>
        <w:rPr>
          <w:rFonts w:hint="eastAsia"/>
          <w:lang w:eastAsia="zh-CN"/>
        </w:rPr>
        <w:drawing>
          <wp:inline distT="0" distB="0" distL="114300" distR="114300">
            <wp:extent cx="5610860" cy="7934960"/>
            <wp:effectExtent l="0" t="0" r="8890" b="8890"/>
            <wp:docPr id="55" name="图片 55" descr="附件合并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附件合并_20"/>
                    <pic:cNvPicPr>
                      <a:picLocks noChangeAspect="1"/>
                    </pic:cNvPicPr>
                  </pic:nvPicPr>
                  <pic:blipFill>
                    <a:blip r:embed="rId51"/>
                    <a:stretch>
                      <a:fillRect/>
                    </a:stretch>
                  </pic:blipFill>
                  <pic:spPr>
                    <a:xfrm>
                      <a:off x="0" y="0"/>
                      <a:ext cx="5610860" cy="7934960"/>
                    </a:xfrm>
                    <a:prstGeom prst="rect">
                      <a:avLst/>
                    </a:prstGeom>
                  </pic:spPr>
                </pic:pic>
              </a:graphicData>
            </a:graphic>
          </wp:inline>
        </w:drawing>
      </w:r>
      <w:r>
        <w:rPr>
          <w:rFonts w:hint="eastAsia"/>
          <w:lang w:eastAsia="zh-CN"/>
        </w:rPr>
        <w:drawing>
          <wp:inline distT="0" distB="0" distL="114300" distR="114300">
            <wp:extent cx="5610860" cy="7934960"/>
            <wp:effectExtent l="0" t="0" r="8890" b="8890"/>
            <wp:docPr id="54" name="图片 54" descr="附件合并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附件合并_21"/>
                    <pic:cNvPicPr>
                      <a:picLocks noChangeAspect="1"/>
                    </pic:cNvPicPr>
                  </pic:nvPicPr>
                  <pic:blipFill>
                    <a:blip r:embed="rId52"/>
                    <a:stretch>
                      <a:fillRect/>
                    </a:stretch>
                  </pic:blipFill>
                  <pic:spPr>
                    <a:xfrm>
                      <a:off x="0" y="0"/>
                      <a:ext cx="5610860" cy="7934960"/>
                    </a:xfrm>
                    <a:prstGeom prst="rect">
                      <a:avLst/>
                    </a:prstGeom>
                  </pic:spPr>
                </pic:pic>
              </a:graphicData>
            </a:graphic>
          </wp:inline>
        </w:drawing>
      </w:r>
      <w:r>
        <w:rPr>
          <w:rFonts w:hint="eastAsia"/>
          <w:lang w:eastAsia="zh-CN"/>
        </w:rPr>
        <w:drawing>
          <wp:inline distT="0" distB="0" distL="114300" distR="114300">
            <wp:extent cx="5610860" cy="7934960"/>
            <wp:effectExtent l="0" t="0" r="8890" b="8890"/>
            <wp:docPr id="53" name="图片 53" descr="附件合并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附件合并_22"/>
                    <pic:cNvPicPr>
                      <a:picLocks noChangeAspect="1"/>
                    </pic:cNvPicPr>
                  </pic:nvPicPr>
                  <pic:blipFill>
                    <a:blip r:embed="rId53"/>
                    <a:stretch>
                      <a:fillRect/>
                    </a:stretch>
                  </pic:blipFill>
                  <pic:spPr>
                    <a:xfrm>
                      <a:off x="0" y="0"/>
                      <a:ext cx="5610860" cy="7934960"/>
                    </a:xfrm>
                    <a:prstGeom prst="rect">
                      <a:avLst/>
                    </a:prstGeom>
                  </pic:spPr>
                </pic:pic>
              </a:graphicData>
            </a:graphic>
          </wp:inline>
        </w:drawing>
      </w:r>
      <w:r>
        <w:rPr>
          <w:rFonts w:hint="eastAsia"/>
          <w:lang w:eastAsia="zh-CN"/>
        </w:rPr>
        <w:drawing>
          <wp:inline distT="0" distB="0" distL="114300" distR="114300">
            <wp:extent cx="5610860" cy="7934960"/>
            <wp:effectExtent l="0" t="0" r="8890" b="8890"/>
            <wp:docPr id="52" name="图片 52" descr="附件合并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附件合并_23"/>
                    <pic:cNvPicPr>
                      <a:picLocks noChangeAspect="1"/>
                    </pic:cNvPicPr>
                  </pic:nvPicPr>
                  <pic:blipFill>
                    <a:blip r:embed="rId54"/>
                    <a:stretch>
                      <a:fillRect/>
                    </a:stretch>
                  </pic:blipFill>
                  <pic:spPr>
                    <a:xfrm>
                      <a:off x="0" y="0"/>
                      <a:ext cx="5610860" cy="7934960"/>
                    </a:xfrm>
                    <a:prstGeom prst="rect">
                      <a:avLst/>
                    </a:prstGeom>
                  </pic:spPr>
                </pic:pic>
              </a:graphicData>
            </a:graphic>
          </wp:inline>
        </w:drawing>
      </w:r>
      <w:r>
        <w:rPr>
          <w:rFonts w:hint="eastAsia"/>
          <w:lang w:eastAsia="zh-CN"/>
        </w:rPr>
        <w:drawing>
          <wp:inline distT="0" distB="0" distL="114300" distR="114300">
            <wp:extent cx="5610860" cy="7934960"/>
            <wp:effectExtent l="0" t="0" r="8890" b="8890"/>
            <wp:docPr id="51" name="图片 51" descr="附件合并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附件合并_24"/>
                    <pic:cNvPicPr>
                      <a:picLocks noChangeAspect="1"/>
                    </pic:cNvPicPr>
                  </pic:nvPicPr>
                  <pic:blipFill>
                    <a:blip r:embed="rId55"/>
                    <a:stretch>
                      <a:fillRect/>
                    </a:stretch>
                  </pic:blipFill>
                  <pic:spPr>
                    <a:xfrm>
                      <a:off x="0" y="0"/>
                      <a:ext cx="5610860" cy="7934960"/>
                    </a:xfrm>
                    <a:prstGeom prst="rect">
                      <a:avLst/>
                    </a:prstGeom>
                  </pic:spPr>
                </pic:pic>
              </a:graphicData>
            </a:graphic>
          </wp:inline>
        </w:drawing>
      </w:r>
      <w:r>
        <w:rPr>
          <w:rFonts w:hint="eastAsia"/>
          <w:lang w:eastAsia="zh-CN"/>
        </w:rPr>
        <w:drawing>
          <wp:inline distT="0" distB="0" distL="114300" distR="114300">
            <wp:extent cx="5610225" cy="7924165"/>
            <wp:effectExtent l="0" t="0" r="9525" b="635"/>
            <wp:docPr id="50" name="图片 50" descr="附件合并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附件合并_25"/>
                    <pic:cNvPicPr>
                      <a:picLocks noChangeAspect="1"/>
                    </pic:cNvPicPr>
                  </pic:nvPicPr>
                  <pic:blipFill>
                    <a:blip r:embed="rId56"/>
                    <a:stretch>
                      <a:fillRect/>
                    </a:stretch>
                  </pic:blipFill>
                  <pic:spPr>
                    <a:xfrm>
                      <a:off x="0" y="0"/>
                      <a:ext cx="5610225" cy="7924165"/>
                    </a:xfrm>
                    <a:prstGeom prst="rect">
                      <a:avLst/>
                    </a:prstGeom>
                  </pic:spPr>
                </pic:pic>
              </a:graphicData>
            </a:graphic>
          </wp:inline>
        </w:drawing>
      </w:r>
      <w:r>
        <w:rPr>
          <w:rFonts w:hint="eastAsia"/>
          <w:lang w:eastAsia="zh-CN"/>
        </w:rPr>
        <w:drawing>
          <wp:inline distT="0" distB="0" distL="114300" distR="114300">
            <wp:extent cx="5610225" cy="7924165"/>
            <wp:effectExtent l="0" t="0" r="9525" b="635"/>
            <wp:docPr id="49" name="图片 49" descr="附件合并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附件合并_26"/>
                    <pic:cNvPicPr>
                      <a:picLocks noChangeAspect="1"/>
                    </pic:cNvPicPr>
                  </pic:nvPicPr>
                  <pic:blipFill>
                    <a:blip r:embed="rId57"/>
                    <a:stretch>
                      <a:fillRect/>
                    </a:stretch>
                  </pic:blipFill>
                  <pic:spPr>
                    <a:xfrm>
                      <a:off x="0" y="0"/>
                      <a:ext cx="5610225" cy="7924165"/>
                    </a:xfrm>
                    <a:prstGeom prst="rect">
                      <a:avLst/>
                    </a:prstGeom>
                  </pic:spPr>
                </pic:pic>
              </a:graphicData>
            </a:graphic>
          </wp:inline>
        </w:drawing>
      </w:r>
      <w:r>
        <w:rPr>
          <w:rFonts w:hint="eastAsia"/>
          <w:lang w:eastAsia="zh-CN"/>
        </w:rPr>
        <w:drawing>
          <wp:inline distT="0" distB="0" distL="114300" distR="114300">
            <wp:extent cx="5610225" cy="7924165"/>
            <wp:effectExtent l="0" t="0" r="9525" b="635"/>
            <wp:docPr id="48" name="图片 48" descr="附件合并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附件合并_27"/>
                    <pic:cNvPicPr>
                      <a:picLocks noChangeAspect="1"/>
                    </pic:cNvPicPr>
                  </pic:nvPicPr>
                  <pic:blipFill>
                    <a:blip r:embed="rId58"/>
                    <a:stretch>
                      <a:fillRect/>
                    </a:stretch>
                  </pic:blipFill>
                  <pic:spPr>
                    <a:xfrm>
                      <a:off x="0" y="0"/>
                      <a:ext cx="5610225" cy="7924165"/>
                    </a:xfrm>
                    <a:prstGeom prst="rect">
                      <a:avLst/>
                    </a:prstGeom>
                  </pic:spPr>
                </pic:pic>
              </a:graphicData>
            </a:graphic>
          </wp:inline>
        </w:drawing>
      </w:r>
      <w:r>
        <w:rPr>
          <w:rFonts w:hint="eastAsia"/>
          <w:lang w:eastAsia="zh-CN"/>
        </w:rPr>
        <w:drawing>
          <wp:inline distT="0" distB="0" distL="114300" distR="114300">
            <wp:extent cx="5610225" cy="7924165"/>
            <wp:effectExtent l="0" t="0" r="9525" b="635"/>
            <wp:docPr id="47" name="图片 47" descr="附件合并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附件合并_28"/>
                    <pic:cNvPicPr>
                      <a:picLocks noChangeAspect="1"/>
                    </pic:cNvPicPr>
                  </pic:nvPicPr>
                  <pic:blipFill>
                    <a:blip r:embed="rId59"/>
                    <a:stretch>
                      <a:fillRect/>
                    </a:stretch>
                  </pic:blipFill>
                  <pic:spPr>
                    <a:xfrm>
                      <a:off x="0" y="0"/>
                      <a:ext cx="5610225" cy="7924165"/>
                    </a:xfrm>
                    <a:prstGeom prst="rect">
                      <a:avLst/>
                    </a:prstGeom>
                  </pic:spPr>
                </pic:pic>
              </a:graphicData>
            </a:graphic>
          </wp:inline>
        </w:drawing>
      </w:r>
      <w:r>
        <w:rPr>
          <w:rFonts w:hint="eastAsia"/>
          <w:lang w:eastAsia="zh-CN"/>
        </w:rPr>
        <w:drawing>
          <wp:inline distT="0" distB="0" distL="114300" distR="114300">
            <wp:extent cx="5610225" cy="7924165"/>
            <wp:effectExtent l="0" t="0" r="9525" b="635"/>
            <wp:docPr id="46" name="图片 46" descr="附件合并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附件合并_29"/>
                    <pic:cNvPicPr>
                      <a:picLocks noChangeAspect="1"/>
                    </pic:cNvPicPr>
                  </pic:nvPicPr>
                  <pic:blipFill>
                    <a:blip r:embed="rId60"/>
                    <a:stretch>
                      <a:fillRect/>
                    </a:stretch>
                  </pic:blipFill>
                  <pic:spPr>
                    <a:xfrm>
                      <a:off x="0" y="0"/>
                      <a:ext cx="5610225" cy="7924165"/>
                    </a:xfrm>
                    <a:prstGeom prst="rect">
                      <a:avLst/>
                    </a:prstGeom>
                  </pic:spPr>
                </pic:pic>
              </a:graphicData>
            </a:graphic>
          </wp:inline>
        </w:drawing>
      </w:r>
      <w:r>
        <w:rPr>
          <w:rFonts w:hint="eastAsia"/>
          <w:lang w:eastAsia="zh-CN"/>
        </w:rPr>
        <w:drawing>
          <wp:inline distT="0" distB="0" distL="114300" distR="114300">
            <wp:extent cx="5610225" cy="7924165"/>
            <wp:effectExtent l="0" t="0" r="9525" b="635"/>
            <wp:docPr id="29" name="图片 29" descr="附件合并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附件合并_30"/>
                    <pic:cNvPicPr>
                      <a:picLocks noChangeAspect="1"/>
                    </pic:cNvPicPr>
                  </pic:nvPicPr>
                  <pic:blipFill>
                    <a:blip r:embed="rId61"/>
                    <a:stretch>
                      <a:fillRect/>
                    </a:stretch>
                  </pic:blipFill>
                  <pic:spPr>
                    <a:xfrm>
                      <a:off x="0" y="0"/>
                      <a:ext cx="5610225" cy="7924165"/>
                    </a:xfrm>
                    <a:prstGeom prst="rect">
                      <a:avLst/>
                    </a:prstGeom>
                  </pic:spPr>
                </pic:pic>
              </a:graphicData>
            </a:graphic>
          </wp:inline>
        </w:drawing>
      </w:r>
      <w:r>
        <w:rPr>
          <w:rFonts w:hint="eastAsia"/>
          <w:lang w:eastAsia="zh-CN"/>
        </w:rPr>
        <w:drawing>
          <wp:inline distT="0" distB="0" distL="114300" distR="114300">
            <wp:extent cx="5610225" cy="7924165"/>
            <wp:effectExtent l="0" t="0" r="9525" b="635"/>
            <wp:docPr id="28" name="图片 28" descr="附件合并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附件合并_31"/>
                    <pic:cNvPicPr>
                      <a:picLocks noChangeAspect="1"/>
                    </pic:cNvPicPr>
                  </pic:nvPicPr>
                  <pic:blipFill>
                    <a:blip r:embed="rId62"/>
                    <a:stretch>
                      <a:fillRect/>
                    </a:stretch>
                  </pic:blipFill>
                  <pic:spPr>
                    <a:xfrm>
                      <a:off x="0" y="0"/>
                      <a:ext cx="5610225" cy="7924165"/>
                    </a:xfrm>
                    <a:prstGeom prst="rect">
                      <a:avLst/>
                    </a:prstGeom>
                  </pic:spPr>
                </pic:pic>
              </a:graphicData>
            </a:graphic>
          </wp:inline>
        </w:drawing>
      </w:r>
    </w:p>
    <w:sectPr>
      <w:pgSz w:w="11906" w:h="16838"/>
      <w:pgMar w:top="1531" w:right="1531" w:bottom="1531" w:left="1531" w:header="851" w:footer="851" w:gutter="0"/>
      <w:pgBorders>
        <w:top w:val="none" w:sz="0" w:space="0"/>
        <w:left w:val="none" w:sz="0" w:space="0"/>
        <w:bottom w:val="none" w:sz="0" w:space="0"/>
        <w:right w:val="none" w:sz="0" w:space="0"/>
      </w:pgBorders>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华文楷体">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0"/>
    <w:family w:val="auto"/>
    <w:pitch w:val="default"/>
    <w:sig w:usb0="00000000" w:usb1="00000000" w:usb2="00000000" w:usb3="00000000" w:csb0="80000000" w:csb1="00000000"/>
  </w:font>
  <w:font w:name="TimesNewRomanPSMT">
    <w:altName w:val="Times New Roman"/>
    <w:panose1 w:val="00000000000000000000"/>
    <w:charset w:val="80"/>
    <w:family w:val="auto"/>
    <w:pitch w:val="default"/>
    <w:sig w:usb0="00000000" w:usb1="00000000" w:usb2="00000000" w:usb3="00000000" w:csb0="00020000"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44B31">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BED6A">
    <w:pPr>
      <w:pStyle w:val="15"/>
      <w:ind w:right="360" w:firstLine="360"/>
      <w:jc w:val="center"/>
    </w:pPr>
    <w:r>
      <w:fldChar w:fldCharType="begin"/>
    </w:r>
    <w:r>
      <w:instrText xml:space="preserve">PAGE   \* MERGEFORMAT</w:instrText>
    </w:r>
    <w:r>
      <w:fldChar w:fldCharType="separate"/>
    </w:r>
    <w:r>
      <w:rPr>
        <w:lang w:val="zh-CN"/>
      </w:rPr>
      <w:t>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F7862">
    <w:pPr>
      <w:pStyle w:val="1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99B47C"/>
    <w:multiLevelType w:val="singleLevel"/>
    <w:tmpl w:val="D999B47C"/>
    <w:lvl w:ilvl="0" w:tentative="0">
      <w:start w:val="2"/>
      <w:numFmt w:val="decimal"/>
      <w:suff w:val="nothing"/>
      <w:lvlText w:val="（%1）"/>
      <w:lvlJc w:val="left"/>
    </w:lvl>
  </w:abstractNum>
  <w:abstractNum w:abstractNumId="1">
    <w:nsid w:val="FFD6132F"/>
    <w:multiLevelType w:val="singleLevel"/>
    <w:tmpl w:val="FFD6132F"/>
    <w:lvl w:ilvl="0" w:tentative="0">
      <w:start w:val="3"/>
      <w:numFmt w:val="chineseCounting"/>
      <w:suff w:val="nothing"/>
      <w:lvlText w:val="（%1）"/>
      <w:lvlJc w:val="left"/>
      <w:rPr>
        <w:rFonts w:hint="eastAsia"/>
      </w:rPr>
    </w:lvl>
  </w:abstractNum>
  <w:abstractNum w:abstractNumId="2">
    <w:nsid w:val="06052197"/>
    <w:multiLevelType w:val="multilevel"/>
    <w:tmpl w:val="06052197"/>
    <w:lvl w:ilvl="0" w:tentative="0">
      <w:start w:val="1"/>
      <w:numFmt w:val="decimal"/>
      <w:lvlText w:val="（%1）"/>
      <w:lvlJc w:val="left"/>
      <w:pPr>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06E125B1"/>
    <w:multiLevelType w:val="multilevel"/>
    <w:tmpl w:val="06E125B1"/>
    <w:lvl w:ilvl="0" w:tentative="0">
      <w:start w:val="1"/>
      <w:numFmt w:val="decimal"/>
      <w:lvlText w:val="%1、"/>
      <w:lvlJc w:val="left"/>
      <w:pPr>
        <w:ind w:left="800" w:hanging="360"/>
      </w:pPr>
      <w:rPr>
        <w:rFonts w:hint="default"/>
      </w:r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4">
    <w:nsid w:val="0C681B79"/>
    <w:multiLevelType w:val="multilevel"/>
    <w:tmpl w:val="0C681B79"/>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0E94A9AF"/>
    <w:multiLevelType w:val="singleLevel"/>
    <w:tmpl w:val="0E94A9AF"/>
    <w:lvl w:ilvl="0" w:tentative="0">
      <w:start w:val="7"/>
      <w:numFmt w:val="decimal"/>
      <w:suff w:val="nothing"/>
      <w:lvlText w:val="（%1）"/>
      <w:lvlJc w:val="left"/>
    </w:lvl>
  </w:abstractNum>
  <w:abstractNum w:abstractNumId="6">
    <w:nsid w:val="2260018B"/>
    <w:multiLevelType w:val="multilevel"/>
    <w:tmpl w:val="2260018B"/>
    <w:lvl w:ilvl="0" w:tentative="0">
      <w:start w:val="1"/>
      <w:numFmt w:val="decimal"/>
      <w:lvlText w:val="%1."/>
      <w:lvlJc w:val="left"/>
      <w:pPr>
        <w:ind w:left="838"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2F97208C"/>
    <w:multiLevelType w:val="singleLevel"/>
    <w:tmpl w:val="2F97208C"/>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8">
    <w:nsid w:val="41690993"/>
    <w:multiLevelType w:val="multilevel"/>
    <w:tmpl w:val="41690993"/>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51737698"/>
    <w:multiLevelType w:val="multilevel"/>
    <w:tmpl w:val="51737698"/>
    <w:lvl w:ilvl="0" w:tentative="0">
      <w:start w:val="1"/>
      <w:numFmt w:val="decimal"/>
      <w:lvlText w:val="表%1."/>
      <w:lvlJc w:val="left"/>
      <w:pPr>
        <w:ind w:left="2100" w:hanging="420"/>
      </w:pPr>
      <w:rPr>
        <w:rFonts w:hint="eastAsia"/>
        <w:b w:val="0"/>
        <w:lang w:val="en-US"/>
      </w:rPr>
    </w:lvl>
    <w:lvl w:ilvl="1" w:tentative="0">
      <w:start w:val="1"/>
      <w:numFmt w:val="lowerLetter"/>
      <w:lvlText w:val="%2)"/>
      <w:lvlJc w:val="left"/>
      <w:pPr>
        <w:ind w:left="2520" w:hanging="420"/>
      </w:pPr>
    </w:lvl>
    <w:lvl w:ilvl="2" w:tentative="0">
      <w:start w:val="1"/>
      <w:numFmt w:val="lowerRoman"/>
      <w:lvlText w:val="%3."/>
      <w:lvlJc w:val="right"/>
      <w:pPr>
        <w:ind w:left="2940" w:hanging="420"/>
      </w:pPr>
    </w:lvl>
    <w:lvl w:ilvl="3" w:tentative="0">
      <w:start w:val="1"/>
      <w:numFmt w:val="decimal"/>
      <w:lvlText w:val="%4."/>
      <w:lvlJc w:val="left"/>
      <w:pPr>
        <w:ind w:left="3360" w:hanging="420"/>
      </w:pPr>
    </w:lvl>
    <w:lvl w:ilvl="4" w:tentative="0">
      <w:start w:val="1"/>
      <w:numFmt w:val="lowerLetter"/>
      <w:lvlText w:val="%5)"/>
      <w:lvlJc w:val="left"/>
      <w:pPr>
        <w:ind w:left="3780" w:hanging="420"/>
      </w:pPr>
    </w:lvl>
    <w:lvl w:ilvl="5" w:tentative="0">
      <w:start w:val="1"/>
      <w:numFmt w:val="lowerRoman"/>
      <w:lvlText w:val="%6."/>
      <w:lvlJc w:val="right"/>
      <w:pPr>
        <w:ind w:left="4200" w:hanging="420"/>
      </w:pPr>
    </w:lvl>
    <w:lvl w:ilvl="6" w:tentative="0">
      <w:start w:val="1"/>
      <w:numFmt w:val="decimal"/>
      <w:lvlText w:val="%7."/>
      <w:lvlJc w:val="left"/>
      <w:pPr>
        <w:ind w:left="4620" w:hanging="420"/>
      </w:pPr>
    </w:lvl>
    <w:lvl w:ilvl="7" w:tentative="0">
      <w:start w:val="1"/>
      <w:numFmt w:val="lowerLetter"/>
      <w:lvlText w:val="%8)"/>
      <w:lvlJc w:val="left"/>
      <w:pPr>
        <w:ind w:left="5040" w:hanging="420"/>
      </w:pPr>
    </w:lvl>
    <w:lvl w:ilvl="8" w:tentative="0">
      <w:start w:val="1"/>
      <w:numFmt w:val="lowerRoman"/>
      <w:lvlText w:val="%9."/>
      <w:lvlJc w:val="right"/>
      <w:pPr>
        <w:ind w:left="5460" w:hanging="420"/>
      </w:pPr>
    </w:lvl>
  </w:abstractNum>
  <w:abstractNum w:abstractNumId="10">
    <w:nsid w:val="5987C378"/>
    <w:multiLevelType w:val="multilevel"/>
    <w:tmpl w:val="5987C378"/>
    <w:lvl w:ilvl="0" w:tentative="0">
      <w:start w:val="1"/>
      <w:numFmt w:val="decimal"/>
      <w:suff w:val="nothing"/>
      <w:lvlText w:val="%1．"/>
      <w:lvlJc w:val="left"/>
      <w:pPr>
        <w:ind w:left="0" w:firstLine="403"/>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5AA2412E"/>
    <w:multiLevelType w:val="multilevel"/>
    <w:tmpl w:val="5AA2412E"/>
    <w:lvl w:ilvl="0" w:tentative="0">
      <w:start w:val="1"/>
      <w:numFmt w:val="decimal"/>
      <w:lvlText w:val="%1."/>
      <w:lvlJc w:val="center"/>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5AF23B55"/>
    <w:multiLevelType w:val="multilevel"/>
    <w:tmpl w:val="5AF23B55"/>
    <w:lvl w:ilvl="0" w:tentative="0">
      <w:start w:val="1"/>
      <w:numFmt w:val="decimal"/>
      <w:lvlText w:val="%1."/>
      <w:lvlJc w:val="center"/>
      <w:pPr>
        <w:ind w:left="900" w:hanging="420"/>
      </w:pPr>
      <w:rPr>
        <w:rFonts w:hint="default" w:ascii="Times New Roman" w:hAnsi="Times New Roman"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67DF2BA3"/>
    <w:multiLevelType w:val="multilevel"/>
    <w:tmpl w:val="67DF2BA3"/>
    <w:lvl w:ilvl="0" w:tentative="0">
      <w:start w:val="2"/>
      <w:numFmt w:val="decimal"/>
      <w:lvlText w:val="（%1）"/>
      <w:lvlJc w:val="left"/>
      <w:pPr>
        <w:ind w:left="90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E362257"/>
    <w:multiLevelType w:val="multilevel"/>
    <w:tmpl w:val="7E362257"/>
    <w:lvl w:ilvl="0" w:tentative="0">
      <w:start w:val="1"/>
      <w:numFmt w:val="decimal"/>
      <w:lvlText w:val="（%1）"/>
      <w:lvlJc w:val="center"/>
      <w:pPr>
        <w:ind w:left="900" w:hanging="420"/>
      </w:pPr>
      <w:rPr>
        <w:rFonts w:hint="eastAsia"/>
        <w:b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7"/>
  </w:num>
  <w:num w:numId="2">
    <w:abstractNumId w:val="6"/>
  </w:num>
  <w:num w:numId="3">
    <w:abstractNumId w:val="9"/>
  </w:num>
  <w:num w:numId="4">
    <w:abstractNumId w:val="12"/>
  </w:num>
  <w:num w:numId="5">
    <w:abstractNumId w:val="5"/>
  </w:num>
  <w:num w:numId="6">
    <w:abstractNumId w:val="11"/>
  </w:num>
  <w:num w:numId="7">
    <w:abstractNumId w:val="4"/>
  </w:num>
  <w:num w:numId="8">
    <w:abstractNumId w:val="2"/>
  </w:num>
  <w:num w:numId="9">
    <w:abstractNumId w:val="10"/>
  </w:num>
  <w:num w:numId="10">
    <w:abstractNumId w:val="0"/>
  </w:num>
  <w:num w:numId="11">
    <w:abstractNumId w:val="3"/>
  </w:num>
  <w:num w:numId="12">
    <w:abstractNumId w:val="14"/>
  </w:num>
  <w:num w:numId="13">
    <w:abstractNumId w:val="13"/>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JhZDFmOTE1ZmE0OWQ0NzJhNGEwYThmNDUxZTQ2YTAifQ=="/>
    <w:docVar w:name="KSO_WPS_MARK_KEY" w:val="48cad0fd-bca9-4f0e-8ecb-f185a6a61930"/>
  </w:docVars>
  <w:rsids>
    <w:rsidRoot w:val="00172A27"/>
    <w:rsid w:val="00004E35"/>
    <w:rsid w:val="00020C0B"/>
    <w:rsid w:val="000350CA"/>
    <w:rsid w:val="000364CE"/>
    <w:rsid w:val="00041CF6"/>
    <w:rsid w:val="0004642C"/>
    <w:rsid w:val="00057393"/>
    <w:rsid w:val="00061DAE"/>
    <w:rsid w:val="000C0546"/>
    <w:rsid w:val="000D0FAC"/>
    <w:rsid w:val="000F47D0"/>
    <w:rsid w:val="001121F2"/>
    <w:rsid w:val="001125CF"/>
    <w:rsid w:val="00131188"/>
    <w:rsid w:val="001416E6"/>
    <w:rsid w:val="00147682"/>
    <w:rsid w:val="00162730"/>
    <w:rsid w:val="00164B3C"/>
    <w:rsid w:val="001725A8"/>
    <w:rsid w:val="00176A22"/>
    <w:rsid w:val="001869B8"/>
    <w:rsid w:val="00187486"/>
    <w:rsid w:val="00191C41"/>
    <w:rsid w:val="001979A3"/>
    <w:rsid w:val="001A24CE"/>
    <w:rsid w:val="001A3C0C"/>
    <w:rsid w:val="001C6916"/>
    <w:rsid w:val="001C7E17"/>
    <w:rsid w:val="001D63D3"/>
    <w:rsid w:val="001E2212"/>
    <w:rsid w:val="001F2734"/>
    <w:rsid w:val="001F753B"/>
    <w:rsid w:val="002002E5"/>
    <w:rsid w:val="002067CE"/>
    <w:rsid w:val="00207E1F"/>
    <w:rsid w:val="00215755"/>
    <w:rsid w:val="00217626"/>
    <w:rsid w:val="00217C19"/>
    <w:rsid w:val="00223E7E"/>
    <w:rsid w:val="002276E6"/>
    <w:rsid w:val="00234642"/>
    <w:rsid w:val="00242759"/>
    <w:rsid w:val="00244A37"/>
    <w:rsid w:val="00254A3D"/>
    <w:rsid w:val="00255768"/>
    <w:rsid w:val="00257D42"/>
    <w:rsid w:val="00284ACE"/>
    <w:rsid w:val="00285CB9"/>
    <w:rsid w:val="00290F76"/>
    <w:rsid w:val="002942F7"/>
    <w:rsid w:val="002A6664"/>
    <w:rsid w:val="002C304F"/>
    <w:rsid w:val="002C6ADF"/>
    <w:rsid w:val="002E0BE4"/>
    <w:rsid w:val="002E6DE2"/>
    <w:rsid w:val="00304CA6"/>
    <w:rsid w:val="00312E09"/>
    <w:rsid w:val="00313AB0"/>
    <w:rsid w:val="00314683"/>
    <w:rsid w:val="00317ED7"/>
    <w:rsid w:val="00342322"/>
    <w:rsid w:val="00344845"/>
    <w:rsid w:val="00372617"/>
    <w:rsid w:val="0037552B"/>
    <w:rsid w:val="003842DF"/>
    <w:rsid w:val="00397DD6"/>
    <w:rsid w:val="003A65C9"/>
    <w:rsid w:val="003A6E31"/>
    <w:rsid w:val="003B23A4"/>
    <w:rsid w:val="003B2AB5"/>
    <w:rsid w:val="003D0661"/>
    <w:rsid w:val="003D14AB"/>
    <w:rsid w:val="003E0C77"/>
    <w:rsid w:val="003E17BF"/>
    <w:rsid w:val="003E1F55"/>
    <w:rsid w:val="003F27A9"/>
    <w:rsid w:val="003F537E"/>
    <w:rsid w:val="003F79FA"/>
    <w:rsid w:val="00435BEC"/>
    <w:rsid w:val="0044433E"/>
    <w:rsid w:val="0045745B"/>
    <w:rsid w:val="00460B90"/>
    <w:rsid w:val="004620F8"/>
    <w:rsid w:val="00462DC9"/>
    <w:rsid w:val="004630EB"/>
    <w:rsid w:val="004651D1"/>
    <w:rsid w:val="00472240"/>
    <w:rsid w:val="0047251C"/>
    <w:rsid w:val="004747F9"/>
    <w:rsid w:val="00485D9B"/>
    <w:rsid w:val="00493DB3"/>
    <w:rsid w:val="004A09CB"/>
    <w:rsid w:val="004A2DCD"/>
    <w:rsid w:val="004A4A47"/>
    <w:rsid w:val="004C45FB"/>
    <w:rsid w:val="004C4E55"/>
    <w:rsid w:val="004D61F2"/>
    <w:rsid w:val="004F1C48"/>
    <w:rsid w:val="005042E3"/>
    <w:rsid w:val="00511654"/>
    <w:rsid w:val="005162C9"/>
    <w:rsid w:val="005206EA"/>
    <w:rsid w:val="0053562D"/>
    <w:rsid w:val="00547DD7"/>
    <w:rsid w:val="00555EC9"/>
    <w:rsid w:val="005670D8"/>
    <w:rsid w:val="00582388"/>
    <w:rsid w:val="005A275B"/>
    <w:rsid w:val="005A7BD1"/>
    <w:rsid w:val="005E78FB"/>
    <w:rsid w:val="005F2FDA"/>
    <w:rsid w:val="00606123"/>
    <w:rsid w:val="006112DF"/>
    <w:rsid w:val="00614BDF"/>
    <w:rsid w:val="006229E4"/>
    <w:rsid w:val="006237B0"/>
    <w:rsid w:val="00623D6F"/>
    <w:rsid w:val="006259C0"/>
    <w:rsid w:val="00634465"/>
    <w:rsid w:val="0064268A"/>
    <w:rsid w:val="00647530"/>
    <w:rsid w:val="00650E06"/>
    <w:rsid w:val="00653446"/>
    <w:rsid w:val="00656814"/>
    <w:rsid w:val="006609C2"/>
    <w:rsid w:val="00662B43"/>
    <w:rsid w:val="00664D0D"/>
    <w:rsid w:val="006A5D23"/>
    <w:rsid w:val="006B1EAB"/>
    <w:rsid w:val="006D78C8"/>
    <w:rsid w:val="006F40DF"/>
    <w:rsid w:val="006F5FB0"/>
    <w:rsid w:val="0070341E"/>
    <w:rsid w:val="0070602B"/>
    <w:rsid w:val="0071509D"/>
    <w:rsid w:val="00716C7E"/>
    <w:rsid w:val="00717339"/>
    <w:rsid w:val="00721E40"/>
    <w:rsid w:val="00727632"/>
    <w:rsid w:val="007511F7"/>
    <w:rsid w:val="00755748"/>
    <w:rsid w:val="00762D9D"/>
    <w:rsid w:val="00765A2F"/>
    <w:rsid w:val="00766E34"/>
    <w:rsid w:val="007779B3"/>
    <w:rsid w:val="00777E54"/>
    <w:rsid w:val="00777FE6"/>
    <w:rsid w:val="007903CC"/>
    <w:rsid w:val="007A0496"/>
    <w:rsid w:val="007C1330"/>
    <w:rsid w:val="007D4BBC"/>
    <w:rsid w:val="007E229E"/>
    <w:rsid w:val="007E244F"/>
    <w:rsid w:val="007E2EB2"/>
    <w:rsid w:val="007E521C"/>
    <w:rsid w:val="00803CB7"/>
    <w:rsid w:val="0080584C"/>
    <w:rsid w:val="00807200"/>
    <w:rsid w:val="00816BD3"/>
    <w:rsid w:val="00820BF0"/>
    <w:rsid w:val="00827992"/>
    <w:rsid w:val="00830B01"/>
    <w:rsid w:val="0084338F"/>
    <w:rsid w:val="00843B2F"/>
    <w:rsid w:val="008543C2"/>
    <w:rsid w:val="00860EA8"/>
    <w:rsid w:val="0087701A"/>
    <w:rsid w:val="00886A6F"/>
    <w:rsid w:val="00894D71"/>
    <w:rsid w:val="008A7AAD"/>
    <w:rsid w:val="008B1590"/>
    <w:rsid w:val="008B36D3"/>
    <w:rsid w:val="008B57B7"/>
    <w:rsid w:val="008B5840"/>
    <w:rsid w:val="008C4657"/>
    <w:rsid w:val="008C529F"/>
    <w:rsid w:val="008E39D5"/>
    <w:rsid w:val="008F2DC3"/>
    <w:rsid w:val="00904F02"/>
    <w:rsid w:val="0091281D"/>
    <w:rsid w:val="00924087"/>
    <w:rsid w:val="00924B7B"/>
    <w:rsid w:val="009373DA"/>
    <w:rsid w:val="00943936"/>
    <w:rsid w:val="00944806"/>
    <w:rsid w:val="00956EFA"/>
    <w:rsid w:val="00965A2B"/>
    <w:rsid w:val="00966ADE"/>
    <w:rsid w:val="009711E6"/>
    <w:rsid w:val="009A1E03"/>
    <w:rsid w:val="009C1BBD"/>
    <w:rsid w:val="009C6388"/>
    <w:rsid w:val="009F56C5"/>
    <w:rsid w:val="009F66CF"/>
    <w:rsid w:val="009F75E7"/>
    <w:rsid w:val="00A13683"/>
    <w:rsid w:val="00A13D4E"/>
    <w:rsid w:val="00A264A3"/>
    <w:rsid w:val="00A3391B"/>
    <w:rsid w:val="00A45777"/>
    <w:rsid w:val="00A465EC"/>
    <w:rsid w:val="00A51FCA"/>
    <w:rsid w:val="00A66E60"/>
    <w:rsid w:val="00A92629"/>
    <w:rsid w:val="00A94B52"/>
    <w:rsid w:val="00AA2D46"/>
    <w:rsid w:val="00AC05FE"/>
    <w:rsid w:val="00AC5B40"/>
    <w:rsid w:val="00AC6459"/>
    <w:rsid w:val="00AD4CB5"/>
    <w:rsid w:val="00AD685A"/>
    <w:rsid w:val="00AE1776"/>
    <w:rsid w:val="00B12087"/>
    <w:rsid w:val="00B155E2"/>
    <w:rsid w:val="00B32BA9"/>
    <w:rsid w:val="00B32FC5"/>
    <w:rsid w:val="00B35F48"/>
    <w:rsid w:val="00B42FB0"/>
    <w:rsid w:val="00B43B5F"/>
    <w:rsid w:val="00B458A0"/>
    <w:rsid w:val="00B476D4"/>
    <w:rsid w:val="00B731CA"/>
    <w:rsid w:val="00B758AF"/>
    <w:rsid w:val="00B77813"/>
    <w:rsid w:val="00B84102"/>
    <w:rsid w:val="00B85974"/>
    <w:rsid w:val="00B86FA0"/>
    <w:rsid w:val="00B87E7B"/>
    <w:rsid w:val="00BA13C0"/>
    <w:rsid w:val="00BA2588"/>
    <w:rsid w:val="00BC55DE"/>
    <w:rsid w:val="00BC675A"/>
    <w:rsid w:val="00BE234B"/>
    <w:rsid w:val="00C07CAB"/>
    <w:rsid w:val="00C22B36"/>
    <w:rsid w:val="00C366D9"/>
    <w:rsid w:val="00C52715"/>
    <w:rsid w:val="00C6326A"/>
    <w:rsid w:val="00C66909"/>
    <w:rsid w:val="00C67AA3"/>
    <w:rsid w:val="00C710DC"/>
    <w:rsid w:val="00C91FBC"/>
    <w:rsid w:val="00C957BC"/>
    <w:rsid w:val="00CA08A4"/>
    <w:rsid w:val="00CA483E"/>
    <w:rsid w:val="00CA52D0"/>
    <w:rsid w:val="00CA530F"/>
    <w:rsid w:val="00CA63C0"/>
    <w:rsid w:val="00CB3551"/>
    <w:rsid w:val="00CF658A"/>
    <w:rsid w:val="00CF7829"/>
    <w:rsid w:val="00D02938"/>
    <w:rsid w:val="00D65C2D"/>
    <w:rsid w:val="00D66D55"/>
    <w:rsid w:val="00D81E77"/>
    <w:rsid w:val="00DA04BC"/>
    <w:rsid w:val="00DC5E7E"/>
    <w:rsid w:val="00DC6CCB"/>
    <w:rsid w:val="00DE012D"/>
    <w:rsid w:val="00DE1488"/>
    <w:rsid w:val="00E02A56"/>
    <w:rsid w:val="00E045C4"/>
    <w:rsid w:val="00E04F1E"/>
    <w:rsid w:val="00E0756B"/>
    <w:rsid w:val="00E07717"/>
    <w:rsid w:val="00E1196E"/>
    <w:rsid w:val="00E1516A"/>
    <w:rsid w:val="00E17351"/>
    <w:rsid w:val="00E24096"/>
    <w:rsid w:val="00E257AE"/>
    <w:rsid w:val="00E51209"/>
    <w:rsid w:val="00E57FAD"/>
    <w:rsid w:val="00E60DC7"/>
    <w:rsid w:val="00E70D40"/>
    <w:rsid w:val="00E82FF5"/>
    <w:rsid w:val="00E8596C"/>
    <w:rsid w:val="00E924D6"/>
    <w:rsid w:val="00E9447A"/>
    <w:rsid w:val="00EB10E1"/>
    <w:rsid w:val="00EB2B26"/>
    <w:rsid w:val="00ED32DB"/>
    <w:rsid w:val="00ED7581"/>
    <w:rsid w:val="00ED7B5E"/>
    <w:rsid w:val="00ED7EE0"/>
    <w:rsid w:val="00F0381A"/>
    <w:rsid w:val="00F05606"/>
    <w:rsid w:val="00F0737B"/>
    <w:rsid w:val="00F17599"/>
    <w:rsid w:val="00F32702"/>
    <w:rsid w:val="00F547D7"/>
    <w:rsid w:val="00F5537D"/>
    <w:rsid w:val="00F6740A"/>
    <w:rsid w:val="00F723C8"/>
    <w:rsid w:val="00F826CA"/>
    <w:rsid w:val="00F84FBE"/>
    <w:rsid w:val="00F90B9D"/>
    <w:rsid w:val="00FB2B18"/>
    <w:rsid w:val="00FC0B16"/>
    <w:rsid w:val="00FC48A6"/>
    <w:rsid w:val="00FD7CCB"/>
    <w:rsid w:val="00FF47BD"/>
    <w:rsid w:val="00FF7E22"/>
    <w:rsid w:val="01986AF9"/>
    <w:rsid w:val="01F419B3"/>
    <w:rsid w:val="029E162E"/>
    <w:rsid w:val="02CD3CC1"/>
    <w:rsid w:val="03065425"/>
    <w:rsid w:val="03887864"/>
    <w:rsid w:val="04491CAB"/>
    <w:rsid w:val="04590179"/>
    <w:rsid w:val="046643CE"/>
    <w:rsid w:val="05842167"/>
    <w:rsid w:val="05A87173"/>
    <w:rsid w:val="05C649F8"/>
    <w:rsid w:val="05F477B7"/>
    <w:rsid w:val="06763721"/>
    <w:rsid w:val="068332CC"/>
    <w:rsid w:val="06CD4568"/>
    <w:rsid w:val="07B4564F"/>
    <w:rsid w:val="08607386"/>
    <w:rsid w:val="09B5725D"/>
    <w:rsid w:val="09C74B1A"/>
    <w:rsid w:val="0D1C6F9B"/>
    <w:rsid w:val="0D4D7155"/>
    <w:rsid w:val="0E0D7668"/>
    <w:rsid w:val="10083474"/>
    <w:rsid w:val="11695734"/>
    <w:rsid w:val="117B6B47"/>
    <w:rsid w:val="117F4ED7"/>
    <w:rsid w:val="118714DF"/>
    <w:rsid w:val="13BA31DE"/>
    <w:rsid w:val="14751B1C"/>
    <w:rsid w:val="151170E0"/>
    <w:rsid w:val="15406575"/>
    <w:rsid w:val="156E7365"/>
    <w:rsid w:val="15EB4733"/>
    <w:rsid w:val="15EE01A2"/>
    <w:rsid w:val="16E3540A"/>
    <w:rsid w:val="16E82A20"/>
    <w:rsid w:val="175D1EFA"/>
    <w:rsid w:val="182A7068"/>
    <w:rsid w:val="184A75D2"/>
    <w:rsid w:val="18512764"/>
    <w:rsid w:val="18D53478"/>
    <w:rsid w:val="19314B52"/>
    <w:rsid w:val="196748C0"/>
    <w:rsid w:val="1A5F5E29"/>
    <w:rsid w:val="1C411B06"/>
    <w:rsid w:val="1CBD286A"/>
    <w:rsid w:val="1D251260"/>
    <w:rsid w:val="1D89199E"/>
    <w:rsid w:val="1DE008F5"/>
    <w:rsid w:val="1DFE521F"/>
    <w:rsid w:val="1E71779F"/>
    <w:rsid w:val="1F4366B4"/>
    <w:rsid w:val="1FCB1131"/>
    <w:rsid w:val="1FF9598B"/>
    <w:rsid w:val="20020FF7"/>
    <w:rsid w:val="201F7760"/>
    <w:rsid w:val="202446A5"/>
    <w:rsid w:val="20597EB3"/>
    <w:rsid w:val="20847C5E"/>
    <w:rsid w:val="21073EED"/>
    <w:rsid w:val="21552A0F"/>
    <w:rsid w:val="21D7200F"/>
    <w:rsid w:val="21F506E7"/>
    <w:rsid w:val="22215E9E"/>
    <w:rsid w:val="225278E7"/>
    <w:rsid w:val="226A2E83"/>
    <w:rsid w:val="23643D32"/>
    <w:rsid w:val="23E40276"/>
    <w:rsid w:val="2401358C"/>
    <w:rsid w:val="24506903"/>
    <w:rsid w:val="24C3687B"/>
    <w:rsid w:val="24D942F0"/>
    <w:rsid w:val="25096983"/>
    <w:rsid w:val="25F632EF"/>
    <w:rsid w:val="262B2929"/>
    <w:rsid w:val="26906C30"/>
    <w:rsid w:val="26AE0AA3"/>
    <w:rsid w:val="283D2AC7"/>
    <w:rsid w:val="28BD4FE2"/>
    <w:rsid w:val="29543F45"/>
    <w:rsid w:val="2A9C48D8"/>
    <w:rsid w:val="2B5808A4"/>
    <w:rsid w:val="2BAE0266"/>
    <w:rsid w:val="2BDD0222"/>
    <w:rsid w:val="2CBE3A63"/>
    <w:rsid w:val="2D6C059D"/>
    <w:rsid w:val="2E09106F"/>
    <w:rsid w:val="2E162111"/>
    <w:rsid w:val="2E3A3DD9"/>
    <w:rsid w:val="3062519A"/>
    <w:rsid w:val="31A17F44"/>
    <w:rsid w:val="31B41A25"/>
    <w:rsid w:val="31C96952"/>
    <w:rsid w:val="32981347"/>
    <w:rsid w:val="329D695D"/>
    <w:rsid w:val="33550FE6"/>
    <w:rsid w:val="33926F94"/>
    <w:rsid w:val="34161EC7"/>
    <w:rsid w:val="357C4F4F"/>
    <w:rsid w:val="35867B7C"/>
    <w:rsid w:val="36837056"/>
    <w:rsid w:val="36AC53C0"/>
    <w:rsid w:val="37166E1B"/>
    <w:rsid w:val="375A0911"/>
    <w:rsid w:val="37A50D3F"/>
    <w:rsid w:val="38CF35E8"/>
    <w:rsid w:val="38F848ED"/>
    <w:rsid w:val="3A1B3932"/>
    <w:rsid w:val="3A7B40DA"/>
    <w:rsid w:val="3B192D90"/>
    <w:rsid w:val="3B3B31B7"/>
    <w:rsid w:val="3B93697A"/>
    <w:rsid w:val="3B9A7EDD"/>
    <w:rsid w:val="3C4019C2"/>
    <w:rsid w:val="3D0C67B5"/>
    <w:rsid w:val="3D2A7409"/>
    <w:rsid w:val="3D436353"/>
    <w:rsid w:val="3D933E99"/>
    <w:rsid w:val="3E3A0B1D"/>
    <w:rsid w:val="3E6F2A40"/>
    <w:rsid w:val="3E817133"/>
    <w:rsid w:val="3E950E30"/>
    <w:rsid w:val="3EF75D33"/>
    <w:rsid w:val="3FB47094"/>
    <w:rsid w:val="401A1A41"/>
    <w:rsid w:val="403A57EB"/>
    <w:rsid w:val="41F17713"/>
    <w:rsid w:val="42E23C0C"/>
    <w:rsid w:val="42E303BC"/>
    <w:rsid w:val="43AD2778"/>
    <w:rsid w:val="440700DA"/>
    <w:rsid w:val="44811521"/>
    <w:rsid w:val="462431C5"/>
    <w:rsid w:val="46AA0421"/>
    <w:rsid w:val="47ED7104"/>
    <w:rsid w:val="482D3E87"/>
    <w:rsid w:val="48470E28"/>
    <w:rsid w:val="4893018E"/>
    <w:rsid w:val="490204E5"/>
    <w:rsid w:val="49066BB2"/>
    <w:rsid w:val="4A1B48DF"/>
    <w:rsid w:val="4B335C59"/>
    <w:rsid w:val="4B667DDC"/>
    <w:rsid w:val="4C667701"/>
    <w:rsid w:val="4CB72FD5"/>
    <w:rsid w:val="4CD4549D"/>
    <w:rsid w:val="4E031912"/>
    <w:rsid w:val="4E263853"/>
    <w:rsid w:val="4E7740AE"/>
    <w:rsid w:val="50013430"/>
    <w:rsid w:val="50902E4C"/>
    <w:rsid w:val="519805C3"/>
    <w:rsid w:val="52C600D2"/>
    <w:rsid w:val="53416A23"/>
    <w:rsid w:val="53566988"/>
    <w:rsid w:val="53F0385A"/>
    <w:rsid w:val="54DC7DFF"/>
    <w:rsid w:val="55D66FAB"/>
    <w:rsid w:val="56694C24"/>
    <w:rsid w:val="572F19CA"/>
    <w:rsid w:val="578053C5"/>
    <w:rsid w:val="578104EA"/>
    <w:rsid w:val="598D44C6"/>
    <w:rsid w:val="5A932270"/>
    <w:rsid w:val="5C381321"/>
    <w:rsid w:val="5CC149DD"/>
    <w:rsid w:val="5D6121B1"/>
    <w:rsid w:val="5D970054"/>
    <w:rsid w:val="5EFC761D"/>
    <w:rsid w:val="5F0C16B7"/>
    <w:rsid w:val="5FA27DE6"/>
    <w:rsid w:val="5FB979B6"/>
    <w:rsid w:val="5FC7309C"/>
    <w:rsid w:val="607E12CC"/>
    <w:rsid w:val="6098238E"/>
    <w:rsid w:val="613753B8"/>
    <w:rsid w:val="61C67FAD"/>
    <w:rsid w:val="62B558E0"/>
    <w:rsid w:val="62B9483E"/>
    <w:rsid w:val="62C746D2"/>
    <w:rsid w:val="63F5579F"/>
    <w:rsid w:val="63F86042"/>
    <w:rsid w:val="644B19B5"/>
    <w:rsid w:val="65167D25"/>
    <w:rsid w:val="65B258F1"/>
    <w:rsid w:val="660078BB"/>
    <w:rsid w:val="66A852F5"/>
    <w:rsid w:val="66FE6ADC"/>
    <w:rsid w:val="67087B42"/>
    <w:rsid w:val="675832BC"/>
    <w:rsid w:val="679E49EC"/>
    <w:rsid w:val="69074555"/>
    <w:rsid w:val="69140A20"/>
    <w:rsid w:val="69976A56"/>
    <w:rsid w:val="69997DD0"/>
    <w:rsid w:val="69BA3D07"/>
    <w:rsid w:val="6B460AAF"/>
    <w:rsid w:val="6BCE17E2"/>
    <w:rsid w:val="6BE4699C"/>
    <w:rsid w:val="6C2471CC"/>
    <w:rsid w:val="6C4E5FF7"/>
    <w:rsid w:val="6CAC57E8"/>
    <w:rsid w:val="6CC52224"/>
    <w:rsid w:val="6D0C717D"/>
    <w:rsid w:val="6DE90D4F"/>
    <w:rsid w:val="6DEA61F3"/>
    <w:rsid w:val="6DFB464D"/>
    <w:rsid w:val="6E310851"/>
    <w:rsid w:val="6E7B00D0"/>
    <w:rsid w:val="6EF2535F"/>
    <w:rsid w:val="6FD139A6"/>
    <w:rsid w:val="70980188"/>
    <w:rsid w:val="70B15AF2"/>
    <w:rsid w:val="71462FB9"/>
    <w:rsid w:val="71724385"/>
    <w:rsid w:val="71864485"/>
    <w:rsid w:val="74077870"/>
    <w:rsid w:val="745031CE"/>
    <w:rsid w:val="759929D8"/>
    <w:rsid w:val="75B12D83"/>
    <w:rsid w:val="785E3A65"/>
    <w:rsid w:val="78740DF5"/>
    <w:rsid w:val="787D213D"/>
    <w:rsid w:val="78F44F26"/>
    <w:rsid w:val="7959575E"/>
    <w:rsid w:val="795E1B2E"/>
    <w:rsid w:val="7994286C"/>
    <w:rsid w:val="79ED46FB"/>
    <w:rsid w:val="7A576CDC"/>
    <w:rsid w:val="7A5955C8"/>
    <w:rsid w:val="7BF26F39"/>
    <w:rsid w:val="7CAF4890"/>
    <w:rsid w:val="7D213A64"/>
    <w:rsid w:val="7D810AFC"/>
    <w:rsid w:val="7DC45F01"/>
    <w:rsid w:val="7E024EBA"/>
    <w:rsid w:val="7F427C3D"/>
    <w:rsid w:val="7FCA537B"/>
    <w:rsid w:val="7FF466D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4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0"/>
    <w:pPr>
      <w:keepNext/>
      <w:keepLines/>
      <w:spacing w:beforeLines="0" w:beforeAutospacing="0" w:afterLines="0" w:afterAutospacing="0" w:line="240" w:lineRule="auto"/>
      <w:jc w:val="center"/>
      <w:outlineLvl w:val="2"/>
    </w:pPr>
    <w:rPr>
      <w:rFonts w:eastAsia="黑体"/>
    </w:rPr>
  </w:style>
  <w:style w:type="character" w:default="1" w:styleId="24">
    <w:name w:val="Default Paragraph Font"/>
    <w:unhideWhenUsed/>
    <w:qFormat/>
    <w:uiPriority w:val="1"/>
  </w:style>
  <w:style w:type="table" w:default="1" w:styleId="22">
    <w:name w:val="Normal Table"/>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style>
  <w:style w:type="paragraph" w:styleId="6">
    <w:name w:val="caption"/>
    <w:basedOn w:val="1"/>
    <w:next w:val="1"/>
    <w:unhideWhenUsed/>
    <w:qFormat/>
    <w:uiPriority w:val="0"/>
    <w:pPr>
      <w:spacing w:line="240" w:lineRule="auto"/>
      <w:ind w:firstLine="0" w:firstLineChars="0"/>
      <w:jc w:val="center"/>
    </w:pPr>
    <w:rPr>
      <w:rFonts w:eastAsia="黑体" w:cstheme="majorBidi"/>
      <w:szCs w:val="20"/>
    </w:rPr>
  </w:style>
  <w:style w:type="paragraph" w:styleId="7">
    <w:name w:val="annotation text"/>
    <w:basedOn w:val="1"/>
    <w:unhideWhenUsed/>
    <w:qFormat/>
    <w:uiPriority w:val="99"/>
    <w:pPr>
      <w:jc w:val="left"/>
    </w:pPr>
  </w:style>
  <w:style w:type="paragraph" w:styleId="8">
    <w:name w:val="Body Text"/>
    <w:basedOn w:val="1"/>
    <w:next w:val="9"/>
    <w:qFormat/>
    <w:uiPriority w:val="0"/>
    <w:pPr>
      <w:spacing w:line="360" w:lineRule="auto"/>
      <w:ind w:firstLine="560" w:firstLineChars="200"/>
      <w:jc w:val="left"/>
    </w:pPr>
    <w:rPr>
      <w:rFonts w:ascii="宋体" w:hAnsi="宋体"/>
      <w:sz w:val="28"/>
      <w:szCs w:val="28"/>
    </w:rPr>
  </w:style>
  <w:style w:type="paragraph" w:styleId="9">
    <w:name w:val="List Bullet 5"/>
    <w:basedOn w:val="1"/>
    <w:unhideWhenUsed/>
    <w:qFormat/>
    <w:uiPriority w:val="99"/>
    <w:pPr>
      <w:numPr>
        <w:ilvl w:val="0"/>
        <w:numId w:val="1"/>
      </w:numPr>
    </w:pPr>
  </w:style>
  <w:style w:type="paragraph" w:styleId="10">
    <w:name w:val="Body Text Indent"/>
    <w:basedOn w:val="1"/>
    <w:next w:val="11"/>
    <w:qFormat/>
    <w:uiPriority w:val="0"/>
    <w:pPr>
      <w:spacing w:line="360" w:lineRule="auto"/>
      <w:ind w:firstLine="480" w:firstLineChars="200"/>
    </w:pPr>
    <w:rPr>
      <w:rFonts w:ascii="Arial" w:hAnsi="Arial" w:cs="Verdana"/>
      <w:b/>
      <w:sz w:val="24"/>
    </w:rPr>
  </w:style>
  <w:style w:type="paragraph" w:customStyle="1" w:styleId="11">
    <w:name w:val="样式 正文文本缩进 + 行距: 1.5 倍行距"/>
    <w:qFormat/>
    <w:uiPriority w:val="0"/>
    <w:pPr>
      <w:widowControl w:val="0"/>
      <w:spacing w:after="120"/>
      <w:ind w:left="90" w:leftChars="32" w:firstLine="560" w:firstLineChars="200"/>
      <w:jc w:val="both"/>
    </w:pPr>
    <w:rPr>
      <w:rFonts w:ascii="Times New Roman" w:hAnsi="Times New Roman" w:eastAsia="宋体" w:cs="宋体"/>
      <w:kern w:val="2"/>
      <w:sz w:val="21"/>
      <w:szCs w:val="24"/>
      <w:lang w:val="en-US" w:eastAsia="zh-CN" w:bidi="ar-SA"/>
    </w:rPr>
  </w:style>
  <w:style w:type="paragraph" w:styleId="12">
    <w:name w:val="toc 3"/>
    <w:basedOn w:val="1"/>
    <w:next w:val="1"/>
    <w:unhideWhenUsed/>
    <w:qFormat/>
    <w:uiPriority w:val="39"/>
    <w:pPr>
      <w:ind w:left="840" w:leftChars="400"/>
    </w:pPr>
  </w:style>
  <w:style w:type="paragraph" w:styleId="13">
    <w:name w:val="Body Text Indent 2"/>
    <w:basedOn w:val="1"/>
    <w:next w:val="1"/>
    <w:qFormat/>
    <w:uiPriority w:val="0"/>
    <w:pPr>
      <w:snapToGrid w:val="0"/>
      <w:spacing w:line="300" w:lineRule="auto"/>
      <w:ind w:firstLine="574" w:firstLineChars="205"/>
    </w:pPr>
    <w:rPr>
      <w:rFonts w:ascii="宋体" w:hAnsi="宋体" w:cs="宋体"/>
      <w:sz w:val="28"/>
    </w:rPr>
  </w:style>
  <w:style w:type="paragraph" w:styleId="14">
    <w:name w:val="Balloon Text"/>
    <w:basedOn w:val="1"/>
    <w:link w:val="37"/>
    <w:unhideWhenUsed/>
    <w:qFormat/>
    <w:uiPriority w:val="99"/>
    <w:pPr>
      <w:spacing w:line="240" w:lineRule="auto"/>
    </w:pPr>
    <w:rPr>
      <w:sz w:val="18"/>
      <w:szCs w:val="18"/>
    </w:rPr>
  </w:style>
  <w:style w:type="paragraph" w:styleId="15">
    <w:name w:val="footer"/>
    <w:basedOn w:val="1"/>
    <w:link w:val="31"/>
    <w:qFormat/>
    <w:uiPriority w:val="99"/>
    <w:pPr>
      <w:tabs>
        <w:tab w:val="center" w:pos="4153"/>
        <w:tab w:val="right" w:pos="8306"/>
      </w:tabs>
      <w:snapToGrid w:val="0"/>
      <w:jc w:val="left"/>
    </w:pPr>
    <w:rPr>
      <w:kern w:val="0"/>
      <w:sz w:val="18"/>
      <w:szCs w:val="20"/>
    </w:rPr>
  </w:style>
  <w:style w:type="paragraph" w:styleId="16">
    <w:name w:val="header"/>
    <w:basedOn w:val="1"/>
    <w:next w:val="15"/>
    <w:link w:val="39"/>
    <w:unhideWhenUsed/>
    <w:qFormat/>
    <w:uiPriority w:val="99"/>
    <w:pPr>
      <w:tabs>
        <w:tab w:val="center" w:pos="4153"/>
        <w:tab w:val="right" w:pos="8306"/>
      </w:tabs>
      <w:snapToGrid w:val="0"/>
      <w:spacing w:line="240" w:lineRule="auto"/>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Normal (Web)"/>
    <w:basedOn w:val="1"/>
    <w:link w:val="32"/>
    <w:qFormat/>
    <w:uiPriority w:val="0"/>
    <w:pPr>
      <w:widowControl/>
      <w:spacing w:before="100" w:beforeAutospacing="1" w:after="100" w:afterAutospacing="1"/>
      <w:jc w:val="left"/>
    </w:pPr>
    <w:rPr>
      <w:rFonts w:ascii="宋体" w:hAnsi="宋体"/>
      <w:kern w:val="0"/>
      <w:szCs w:val="20"/>
    </w:rPr>
  </w:style>
  <w:style w:type="paragraph" w:styleId="20">
    <w:name w:val="index 1"/>
    <w:basedOn w:val="1"/>
    <w:next w:val="1"/>
    <w:semiHidden/>
    <w:qFormat/>
    <w:uiPriority w:val="0"/>
    <w:pPr>
      <w:spacing w:line="400" w:lineRule="exact"/>
    </w:pPr>
    <w:rPr>
      <w:rFonts w:ascii="宋体" w:hAnsi="宋体"/>
      <w:w w:val="66"/>
      <w:sz w:val="24"/>
    </w:rPr>
  </w:style>
  <w:style w:type="paragraph" w:styleId="21">
    <w:name w:val="Body Text First Indent 2"/>
    <w:basedOn w:val="10"/>
    <w:next w:val="1"/>
    <w:unhideWhenUsed/>
    <w:qFormat/>
    <w:uiPriority w:val="0"/>
    <w:pPr>
      <w:ind w:firstLine="420" w:firstLineChars="200"/>
    </w:pPr>
    <w:rPr>
      <w:rFonts w:ascii="Calibri" w:hAnsi="Calibri" w:eastAsia="宋体"/>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rPr>
  </w:style>
  <w:style w:type="character" w:styleId="26">
    <w:name w:val="page number"/>
    <w:basedOn w:val="24"/>
    <w:qFormat/>
    <w:uiPriority w:val="0"/>
  </w:style>
  <w:style w:type="character" w:styleId="27">
    <w:name w:val="Emphasis"/>
    <w:basedOn w:val="24"/>
    <w:qFormat/>
    <w:uiPriority w:val="20"/>
    <w:rPr>
      <w:i/>
    </w:rPr>
  </w:style>
  <w:style w:type="character" w:styleId="28">
    <w:name w:val="Hyperlink"/>
    <w:basedOn w:val="24"/>
    <w:unhideWhenUsed/>
    <w:qFormat/>
    <w:uiPriority w:val="99"/>
    <w:rPr>
      <w:color w:val="0000FF" w:themeColor="hyperlink"/>
      <w:u w:val="single"/>
      <w14:textFill>
        <w14:solidFill>
          <w14:schemeClr w14:val="hlink"/>
        </w14:solidFill>
      </w14:textFill>
    </w:rPr>
  </w:style>
  <w:style w:type="paragraph" w:customStyle="1" w:styleId="29">
    <w:name w:val="Default"/>
    <w:basedOn w:val="30"/>
    <w:qFormat/>
    <w:uiPriority w:val="0"/>
    <w:pPr>
      <w:autoSpaceDE w:val="0"/>
      <w:autoSpaceDN w:val="0"/>
      <w:adjustRightInd w:val="0"/>
      <w:spacing w:line="240" w:lineRule="auto"/>
      <w:ind w:firstLine="0" w:firstLineChars="0"/>
      <w:jc w:val="left"/>
    </w:pPr>
    <w:rPr>
      <w:rFonts w:ascii="宋体" w:hAnsi="Calibri" w:cs="宋体"/>
      <w:color w:val="000000"/>
      <w:kern w:val="0"/>
    </w:rPr>
  </w:style>
  <w:style w:type="paragraph" w:customStyle="1" w:styleId="30">
    <w:name w:val="纯文本1"/>
    <w:basedOn w:val="1"/>
    <w:qFormat/>
    <w:uiPriority w:val="0"/>
    <w:pPr>
      <w:adjustRightInd w:val="0"/>
    </w:pPr>
    <w:rPr>
      <w:rFonts w:ascii="宋体" w:hAnsi="Courier New"/>
      <w:szCs w:val="20"/>
    </w:rPr>
  </w:style>
  <w:style w:type="character" w:customStyle="1" w:styleId="31">
    <w:name w:val="页脚 Char"/>
    <w:basedOn w:val="24"/>
    <w:link w:val="15"/>
    <w:qFormat/>
    <w:uiPriority w:val="99"/>
    <w:rPr>
      <w:rFonts w:ascii="Times New Roman" w:hAnsi="Times New Roman" w:eastAsia="宋体" w:cs="Times New Roman"/>
      <w:kern w:val="0"/>
      <w:sz w:val="18"/>
      <w:szCs w:val="20"/>
    </w:rPr>
  </w:style>
  <w:style w:type="character" w:customStyle="1" w:styleId="32">
    <w:name w:val="普通(网站) Char"/>
    <w:link w:val="19"/>
    <w:qFormat/>
    <w:locked/>
    <w:uiPriority w:val="0"/>
    <w:rPr>
      <w:rFonts w:ascii="宋体" w:hAnsi="宋体" w:eastAsia="宋体" w:cs="Times New Roman"/>
      <w:kern w:val="0"/>
      <w:sz w:val="24"/>
      <w:szCs w:val="20"/>
    </w:rPr>
  </w:style>
  <w:style w:type="character" w:customStyle="1" w:styleId="33">
    <w:name w:val="表格 Char"/>
    <w:link w:val="34"/>
    <w:qFormat/>
    <w:locked/>
    <w:uiPriority w:val="0"/>
    <w:rPr>
      <w:rFonts w:ascii="宋体"/>
    </w:rPr>
  </w:style>
  <w:style w:type="paragraph" w:customStyle="1" w:styleId="34">
    <w:name w:val="表格"/>
    <w:basedOn w:val="1"/>
    <w:next w:val="1"/>
    <w:link w:val="33"/>
    <w:qFormat/>
    <w:uiPriority w:val="0"/>
    <w:pPr>
      <w:adjustRightInd w:val="0"/>
      <w:snapToGrid w:val="0"/>
      <w:spacing w:beforeLines="10" w:afterLines="10" w:line="259" w:lineRule="auto"/>
      <w:jc w:val="center"/>
    </w:pPr>
    <w:rPr>
      <w:rFonts w:ascii="宋体" w:hAnsiTheme="minorHAnsi" w:eastAsiaTheme="minorEastAsia" w:cstheme="minorBidi"/>
      <w:szCs w:val="21"/>
    </w:rPr>
  </w:style>
  <w:style w:type="paragraph" w:customStyle="1" w:styleId="35">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List Paragraph"/>
    <w:basedOn w:val="1"/>
    <w:qFormat/>
    <w:uiPriority w:val="99"/>
    <w:pPr>
      <w:ind w:firstLine="420"/>
    </w:pPr>
  </w:style>
  <w:style w:type="character" w:customStyle="1" w:styleId="37">
    <w:name w:val="批注框文本 Char"/>
    <w:basedOn w:val="24"/>
    <w:link w:val="14"/>
    <w:semiHidden/>
    <w:qFormat/>
    <w:uiPriority w:val="99"/>
    <w:rPr>
      <w:rFonts w:ascii="Times New Roman" w:hAnsi="Times New Roman" w:eastAsia="宋体" w:cs="Times New Roman"/>
      <w:sz w:val="18"/>
      <w:szCs w:val="18"/>
    </w:rPr>
  </w:style>
  <w:style w:type="paragraph" w:customStyle="1" w:styleId="38">
    <w:name w:val="正文1"/>
    <w:qFormat/>
    <w:uiPriority w:val="0"/>
    <w:pPr>
      <w:jc w:val="both"/>
    </w:pPr>
    <w:rPr>
      <w:rFonts w:ascii="Calibri" w:hAnsi="Calibri" w:eastAsia="宋体" w:cs="Calibri"/>
      <w:kern w:val="2"/>
      <w:sz w:val="21"/>
      <w:szCs w:val="21"/>
      <w:lang w:val="en-US" w:eastAsia="zh-CN" w:bidi="ar-SA"/>
    </w:rPr>
  </w:style>
  <w:style w:type="character" w:customStyle="1" w:styleId="39">
    <w:name w:val="页眉 Char"/>
    <w:basedOn w:val="24"/>
    <w:link w:val="16"/>
    <w:qFormat/>
    <w:uiPriority w:val="99"/>
    <w:rPr>
      <w:rFonts w:ascii="Times New Roman" w:hAnsi="Times New Roman" w:eastAsia="宋体" w:cs="Times New Roman"/>
      <w:sz w:val="18"/>
      <w:szCs w:val="18"/>
    </w:rPr>
  </w:style>
  <w:style w:type="character" w:customStyle="1" w:styleId="40">
    <w:name w:val="标题 1 Char"/>
    <w:basedOn w:val="24"/>
    <w:link w:val="2"/>
    <w:qFormat/>
    <w:uiPriority w:val="9"/>
    <w:rPr>
      <w:rFonts w:ascii="Times New Roman" w:hAnsi="Times New Roman" w:eastAsia="宋体" w:cs="Times New Roman"/>
      <w:b/>
      <w:bCs/>
      <w:kern w:val="44"/>
      <w:sz w:val="44"/>
      <w:szCs w:val="44"/>
    </w:rPr>
  </w:style>
  <w:style w:type="paragraph" w:customStyle="1" w:styleId="41">
    <w:name w:val="TOC Heading"/>
    <w:basedOn w:val="2"/>
    <w:next w:val="1"/>
    <w:unhideWhenUsed/>
    <w:qFormat/>
    <w:uiPriority w:val="39"/>
    <w:pPr>
      <w:widowControl/>
      <w:spacing w:before="480" w:after="0" w:line="276" w:lineRule="auto"/>
      <w:ind w:firstLine="0" w:firstLineChars="0"/>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42">
    <w:name w:val="p28"/>
    <w:basedOn w:val="1"/>
    <w:qFormat/>
    <w:uiPriority w:val="0"/>
    <w:pPr>
      <w:widowControl/>
      <w:spacing w:line="240" w:lineRule="auto"/>
      <w:ind w:firstLine="0" w:firstLineChars="0"/>
    </w:pPr>
    <w:rPr>
      <w:kern w:val="0"/>
      <w:sz w:val="21"/>
      <w:szCs w:val="21"/>
    </w:rPr>
  </w:style>
  <w:style w:type="character" w:customStyle="1" w:styleId="43">
    <w:name w:val="标题 2 Char"/>
    <w:basedOn w:val="24"/>
    <w:link w:val="3"/>
    <w:semiHidden/>
    <w:qFormat/>
    <w:uiPriority w:val="9"/>
    <w:rPr>
      <w:rFonts w:asciiTheme="majorHAnsi" w:hAnsiTheme="majorHAnsi" w:eastAsiaTheme="majorEastAsia" w:cstheme="majorBidi"/>
      <w:b/>
      <w:bCs/>
      <w:sz w:val="32"/>
      <w:szCs w:val="32"/>
    </w:rPr>
  </w:style>
  <w:style w:type="paragraph" w:customStyle="1" w:styleId="44">
    <w:name w:val="表格内容"/>
    <w:basedOn w:val="1"/>
    <w:qFormat/>
    <w:uiPriority w:val="0"/>
    <w:pPr>
      <w:adjustRightInd w:val="0"/>
      <w:snapToGrid w:val="0"/>
    </w:pPr>
    <w:rPr>
      <w:rFonts w:ascii="Times New Roman" w:hAnsi="Times New Roman" w:eastAsia="宋体" w:cs="Times New Roman"/>
      <w:szCs w:val="21"/>
    </w:rPr>
  </w:style>
  <w:style w:type="character" w:customStyle="1" w:styleId="45">
    <w:name w:val="font11"/>
    <w:basedOn w:val="24"/>
    <w:qFormat/>
    <w:uiPriority w:val="0"/>
    <w:rPr>
      <w:rFonts w:hint="eastAsia" w:ascii="宋体" w:hAnsi="宋体" w:eastAsia="宋体" w:cs="宋体"/>
      <w:color w:val="000000"/>
      <w:sz w:val="21"/>
      <w:szCs w:val="21"/>
      <w:u w:val="none"/>
    </w:rPr>
  </w:style>
  <w:style w:type="character" w:customStyle="1" w:styleId="46">
    <w:name w:val="font31"/>
    <w:basedOn w:val="24"/>
    <w:qFormat/>
    <w:uiPriority w:val="0"/>
    <w:rPr>
      <w:rFonts w:hint="default" w:ascii="Times New Roman" w:hAnsi="Times New Roman" w:cs="Times New Roman"/>
      <w:color w:val="000000"/>
      <w:sz w:val="21"/>
      <w:szCs w:val="21"/>
      <w:u w:val="none"/>
    </w:rPr>
  </w:style>
  <w:style w:type="character" w:customStyle="1" w:styleId="47">
    <w:name w:val="font21"/>
    <w:basedOn w:val="24"/>
    <w:qFormat/>
    <w:uiPriority w:val="0"/>
    <w:rPr>
      <w:rFonts w:hint="default" w:ascii="Times New Roman" w:hAnsi="Times New Roman" w:cs="Times New Roman"/>
      <w:color w:val="000000"/>
      <w:sz w:val="24"/>
      <w:szCs w:val="24"/>
      <w:u w:val="none"/>
    </w:rPr>
  </w:style>
  <w:style w:type="character" w:customStyle="1" w:styleId="48">
    <w:name w:val="con"/>
    <w:basedOn w:val="24"/>
    <w:qFormat/>
    <w:uiPriority w:val="0"/>
  </w:style>
  <w:style w:type="character" w:customStyle="1" w:styleId="49">
    <w:name w:val="font51"/>
    <w:basedOn w:val="24"/>
    <w:qFormat/>
    <w:uiPriority w:val="0"/>
    <w:rPr>
      <w:rFonts w:hint="eastAsia" w:ascii="宋体" w:hAnsi="宋体" w:eastAsia="宋体" w:cs="宋体"/>
      <w:color w:val="000000"/>
      <w:sz w:val="24"/>
      <w:szCs w:val="24"/>
      <w:u w:val="none"/>
    </w:rPr>
  </w:style>
  <w:style w:type="character" w:customStyle="1" w:styleId="50">
    <w:name w:val="font01"/>
    <w:basedOn w:val="24"/>
    <w:qFormat/>
    <w:uiPriority w:val="0"/>
    <w:rPr>
      <w:rFonts w:hint="eastAsia" w:ascii="宋体" w:hAnsi="宋体" w:eastAsia="宋体" w:cs="宋体"/>
      <w:color w:val="000000"/>
      <w:sz w:val="21"/>
      <w:szCs w:val="21"/>
      <w:u w:val="none"/>
      <w:vertAlign w:val="subscript"/>
    </w:rPr>
  </w:style>
  <w:style w:type="character" w:customStyle="1" w:styleId="51">
    <w:name w:val="font41"/>
    <w:basedOn w:val="24"/>
    <w:qFormat/>
    <w:uiPriority w:val="0"/>
    <w:rPr>
      <w:rFonts w:hint="default" w:ascii="Times New Roman" w:hAnsi="Times New Roman" w:cs="Times New Roman"/>
      <w:color w:val="000000"/>
      <w:sz w:val="21"/>
      <w:szCs w:val="21"/>
      <w:u w:val="none"/>
      <w:vertAlign w:val="superscript"/>
    </w:rPr>
  </w:style>
  <w:style w:type="character" w:customStyle="1" w:styleId="52">
    <w:name w:val="font61"/>
    <w:basedOn w:val="24"/>
    <w:qFormat/>
    <w:uiPriority w:val="0"/>
    <w:rPr>
      <w:rFonts w:hint="default" w:ascii="Times New Roman" w:hAnsi="Times New Roman" w:cs="Times New Roman"/>
      <w:color w:val="000000"/>
      <w:sz w:val="22"/>
      <w:szCs w:val="22"/>
      <w:u w:val="none"/>
      <w:vertAlign w:val="superscript"/>
    </w:rPr>
  </w:style>
  <w:style w:type="paragraph" w:customStyle="1" w:styleId="53">
    <w:name w:val="样式5"/>
    <w:basedOn w:val="8"/>
    <w:qFormat/>
    <w:uiPriority w:val="0"/>
    <w:pPr>
      <w:spacing w:line="300" w:lineRule="exact"/>
      <w:ind w:right="-105" w:rightChars="-50"/>
      <w:jc w:val="center"/>
    </w:pPr>
    <w:rPr>
      <w:rFonts w:ascii="华文楷体" w:hAnsi="Times New Roman" w:eastAsia="楷体_GB2312"/>
      <w:sz w:val="21"/>
      <w:szCs w:val="24"/>
    </w:rPr>
  </w:style>
  <w:style w:type="paragraph" w:customStyle="1" w:styleId="54">
    <w:name w:val="123456"/>
    <w:basedOn w:val="1"/>
    <w:qFormat/>
    <w:uiPriority w:val="0"/>
    <w:pPr>
      <w:spacing w:line="360" w:lineRule="auto"/>
      <w:ind w:firstLine="200" w:firstLineChars="200"/>
    </w:pPr>
    <w:rPr>
      <w:sz w:val="24"/>
    </w:rPr>
  </w:style>
  <w:style w:type="paragraph" w:customStyle="1" w:styleId="55">
    <w:name w:val="表格首行"/>
    <w:basedOn w:val="56"/>
    <w:qFormat/>
    <w:uiPriority w:val="0"/>
    <w:pPr>
      <w:adjustRightInd w:val="0"/>
      <w:snapToGrid w:val="0"/>
      <w:spacing w:line="240" w:lineRule="auto"/>
      <w:jc w:val="center"/>
    </w:pPr>
    <w:rPr>
      <w:rFonts w:ascii="Times New Roman" w:hAnsi="Times New Roman" w:eastAsia="宋体"/>
      <w:b/>
      <w:sz w:val="21"/>
    </w:rPr>
  </w:style>
  <w:style w:type="paragraph" w:customStyle="1" w:styleId="56">
    <w:name w:val="样式 样式 样式 首行缩进:  2 字符 + 首行缩进:  2 字符 + 首行缩进:  2 字符"/>
    <w:basedOn w:val="1"/>
    <w:qFormat/>
    <w:uiPriority w:val="0"/>
    <w:pPr>
      <w:spacing w:line="360" w:lineRule="auto"/>
    </w:pPr>
    <w:rPr>
      <w:rFonts w:ascii="Arial" w:hAnsi="Arial" w:eastAsia="新宋体" w:cs="宋体"/>
      <w:sz w:val="24"/>
      <w:szCs w:val="20"/>
    </w:rPr>
  </w:style>
  <w:style w:type="paragraph" w:customStyle="1" w:styleId="57">
    <w:name w:val="Z表格内容"/>
    <w:next w:val="1"/>
    <w:qFormat/>
    <w:uiPriority w:val="0"/>
    <w:pPr>
      <w:widowControl w:val="0"/>
      <w:jc w:val="center"/>
    </w:pPr>
    <w:rPr>
      <w:rFonts w:ascii="Times New Roman" w:hAnsi="Times New Roman" w:eastAsia="宋体" w:cs="Times New Roman"/>
      <w:kern w:val="2"/>
      <w:sz w:val="21"/>
      <w:lang w:val="en-US" w:eastAsia="zh-CN" w:bidi="en-US"/>
    </w:rPr>
  </w:style>
  <w:style w:type="character" w:customStyle="1" w:styleId="58">
    <w:name w:val="font81"/>
    <w:basedOn w:val="24"/>
    <w:qFormat/>
    <w:uiPriority w:val="0"/>
    <w:rPr>
      <w:rFonts w:hint="default" w:ascii="Times New Roman" w:hAnsi="Times New Roman" w:cs="Times New Roman"/>
      <w:color w:val="000000"/>
      <w:sz w:val="21"/>
      <w:szCs w:val="21"/>
      <w:u w:val="none"/>
      <w:vertAlign w:val="subscript"/>
    </w:rPr>
  </w:style>
  <w:style w:type="character" w:customStyle="1" w:styleId="59">
    <w:name w:val="font71"/>
    <w:basedOn w:val="24"/>
    <w:qFormat/>
    <w:uiPriority w:val="0"/>
    <w:rPr>
      <w:rFonts w:hint="default" w:ascii="Times New Roman" w:hAnsi="Times New Roman" w:cs="Times New Roman"/>
      <w:color w:val="000000"/>
      <w:sz w:val="21"/>
      <w:szCs w:val="21"/>
      <w:u w:val="none"/>
      <w:vertAlign w:val="superscript"/>
    </w:rPr>
  </w:style>
  <w:style w:type="paragraph" w:customStyle="1" w:styleId="60">
    <w:name w:val="表格文字"/>
    <w:basedOn w:val="1"/>
    <w:qFormat/>
    <w:uiPriority w:val="0"/>
    <w:pPr>
      <w:jc w:val="center"/>
    </w:pPr>
    <w:rPr>
      <w:rFonts w:ascii="Times New Roman" w:hAnsi="Times New Roman" w:cs="Times New Roman"/>
      <w:sz w:val="24"/>
      <w:szCs w:val="24"/>
    </w:rPr>
  </w:style>
  <w:style w:type="paragraph" w:customStyle="1" w:styleId="61">
    <w:name w:val="表头"/>
    <w:basedOn w:val="1"/>
    <w:next w:val="1"/>
    <w:qFormat/>
    <w:uiPriority w:val="0"/>
    <w:pPr>
      <w:keepNext/>
      <w:widowControl w:val="0"/>
      <w:overflowPunct/>
      <w:autoSpaceDE/>
      <w:autoSpaceDN/>
      <w:snapToGrid w:val="0"/>
      <w:spacing w:before="0" w:line="480" w:lineRule="exact"/>
      <w:ind w:left="0" w:leftChars="0" w:firstLine="0" w:firstLineChars="0"/>
      <w:jc w:val="center"/>
      <w:textAlignment w:val="baseline"/>
    </w:pPr>
    <w:rPr>
      <w:rFonts w:ascii="Times New Roman" w:hAnsi="Times New Roman" w:eastAsia="宋体"/>
      <w:b/>
      <w:sz w:val="21"/>
      <w:szCs w:val="20"/>
    </w:rPr>
  </w:style>
  <w:style w:type="paragraph" w:customStyle="1" w:styleId="62">
    <w:name w:val="A0正文"/>
    <w:basedOn w:val="1"/>
    <w:qFormat/>
    <w:uiPriority w:val="0"/>
    <w:pPr>
      <w:spacing w:line="560" w:lineRule="exact"/>
      <w:ind w:firstLine="200" w:firstLineChars="200"/>
    </w:pPr>
    <w:rPr>
      <w:rFonts w:cs="宋体"/>
      <w:sz w:val="24"/>
      <w:szCs w:val="20"/>
      <w:lang w:val="zh-CN"/>
    </w:rPr>
  </w:style>
  <w:style w:type="paragraph" w:customStyle="1" w:styleId="63">
    <w:name w:val="ZZ正文"/>
    <w:basedOn w:val="1"/>
    <w:qFormat/>
    <w:uiPriority w:val="0"/>
    <w:pPr>
      <w:spacing w:line="360" w:lineRule="auto"/>
      <w:ind w:firstLine="200" w:firstLineChars="200"/>
    </w:pPr>
    <w:rPr>
      <w:rFonts w:cs="宋体"/>
      <w:snapToGrid w:val="0"/>
      <w:kern w:val="0"/>
      <w:sz w:val="24"/>
      <w:szCs w:val="20"/>
    </w:rPr>
  </w:style>
  <w:style w:type="paragraph" w:customStyle="1" w:styleId="64">
    <w:name w:val="表格内容居中"/>
    <w:autoRedefine/>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4.jpeg"/><Relationship Id="rId61" Type="http://schemas.openxmlformats.org/officeDocument/2006/relationships/image" Target="media/image53.jpeg"/><Relationship Id="rId60" Type="http://schemas.openxmlformats.org/officeDocument/2006/relationships/image" Target="media/image52.jpeg"/><Relationship Id="rId6" Type="http://schemas.openxmlformats.org/officeDocument/2006/relationships/footer" Target="footer1.xml"/><Relationship Id="rId59" Type="http://schemas.openxmlformats.org/officeDocument/2006/relationships/image" Target="media/image51.jpeg"/><Relationship Id="rId58" Type="http://schemas.openxmlformats.org/officeDocument/2006/relationships/image" Target="media/image50.jpeg"/><Relationship Id="rId57" Type="http://schemas.openxmlformats.org/officeDocument/2006/relationships/image" Target="media/image49.jpeg"/><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jpe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header" Target="header1.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endnotes" Target="endnotes.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emf"/><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097614-B9A9-45FE-AA87-99808928115A}">
  <ds:schemaRefs/>
</ds:datastoreItem>
</file>

<file path=docProps/app.xml><?xml version="1.0" encoding="utf-8"?>
<Properties xmlns="http://schemas.openxmlformats.org/officeDocument/2006/extended-properties" xmlns:vt="http://schemas.openxmlformats.org/officeDocument/2006/docPropsVTypes">
  <Template>Normal.dotm</Template>
  <Pages>106</Pages>
  <Words>92</Words>
  <Characters>92</Characters>
  <Lines>209</Lines>
  <Paragraphs>58</Paragraphs>
  <TotalTime>72</TotalTime>
  <ScaleCrop>false</ScaleCrop>
  <LinksUpToDate>false</LinksUpToDate>
  <CharactersWithSpaces>130</CharactersWithSpaces>
  <Application>WPS Office_12.1.0.22525_F1E327BC-269C-435d-A152-05C5408002CA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2023-01-11T08:15:00Z</dcterms:created>
  <dc:creator>xb21cn</dc:creator>
  <cp:lastModifiedBy>liy艳</cp:lastModifiedBy>
  <cp:lastPrinted>2023-03-01T03:21:00Z</cp:lastPrinted>
  <dcterms:modified xsi:type="dcterms:W3CDTF">2025-09-03T01:32:23Z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2052-12.1.0.22525</vt:lpwstr>
  </property>
  <property fmtid="{D5CDD505-2E9C-101B-9397-08002B2CF9AE}" pid="3" name="ICV">
    <vt:lpwstr>EA97644CD8694C5FA561214D20314500_13</vt:lpwstr>
  </property>
  <property fmtid="{D5CDD505-2E9C-101B-9397-08002B2CF9AE}" pid="4" name="KSOTemplateDocerSaveRecord">
    <vt:lpwstr>eyJoZGlkIjoiODkxMTdiMGNiY2U4ZTE3Njg1ZDdlNTM0MzI5ZWUwNzgiLCJ1c2VySWQiOiI5ODExNjg5NDIifQ==</vt:lpwstr>
  </property>
</Properties>
</file>