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49"/>
        </w:tabs>
        <w:bidi w:val="0"/>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suppressAutoHyphens/>
        <w:snapToGrid w:val="0"/>
        <w:jc w:val="center"/>
        <w:rPr>
          <w:rFonts w:ascii="方正小标宋简体" w:hAnsi="仿宋_GB2312" w:eastAsia="方正小标宋简体" w:cs="华文中宋"/>
          <w:kern w:val="1"/>
          <w:sz w:val="44"/>
          <w:szCs w:val="44"/>
          <w:u w:val="none"/>
        </w:rPr>
      </w:pPr>
      <w:r>
        <w:rPr>
          <w:rFonts w:hint="eastAsia" w:ascii="方正小标宋简体" w:hAnsi="仿宋_GB2312" w:eastAsia="方正小标宋简体" w:cs="华文中宋"/>
          <w:kern w:val="1"/>
          <w:sz w:val="44"/>
          <w:szCs w:val="44"/>
          <w:u w:val="none"/>
        </w:rPr>
        <w:t>（202</w:t>
      </w:r>
      <w:r>
        <w:rPr>
          <w:rFonts w:hint="eastAsia" w:ascii="方正小标宋简体" w:hAnsi="仿宋_GB2312" w:eastAsia="方正小标宋简体" w:cs="华文中宋"/>
          <w:kern w:val="1"/>
          <w:sz w:val="44"/>
          <w:szCs w:val="44"/>
          <w:u w:val="none"/>
          <w:lang w:val="en-US" w:eastAsia="zh-CN"/>
        </w:rPr>
        <w:t>2</w:t>
      </w:r>
      <w:r>
        <w:rPr>
          <w:rFonts w:hint="eastAsia" w:ascii="方正小标宋简体" w:hAnsi="仿宋_GB2312" w:eastAsia="方正小标宋简体" w:cs="华文中宋"/>
          <w:kern w:val="1"/>
          <w:sz w:val="44"/>
          <w:szCs w:val="44"/>
          <w:u w:val="none"/>
        </w:rPr>
        <w:t>年）南宁经济技术开发区</w:t>
      </w:r>
    </w:p>
    <w:p>
      <w:pPr>
        <w:suppressAutoHyphens/>
        <w:snapToGrid w:val="0"/>
        <w:jc w:val="center"/>
        <w:rPr>
          <w:rFonts w:ascii="方正小标宋简体" w:hAnsi="宋体" w:eastAsia="方正小标宋简体" w:cs="宋体"/>
          <w:kern w:val="1"/>
          <w:sz w:val="44"/>
          <w:szCs w:val="44"/>
          <w:u w:val="none"/>
        </w:rPr>
      </w:pPr>
      <w:r>
        <w:rPr>
          <w:rFonts w:hint="eastAsia" w:ascii="方正小标宋简体" w:hAnsi="仿宋_GB2312" w:eastAsia="方正小标宋简体" w:cs="华文中宋"/>
          <w:kern w:val="1"/>
          <w:sz w:val="44"/>
          <w:szCs w:val="44"/>
          <w:u w:val="none"/>
          <w:lang w:val="en-US" w:eastAsia="zh-CN"/>
        </w:rPr>
        <w:t>突发性地质灾害应急</w:t>
      </w:r>
      <w:r>
        <w:rPr>
          <w:rFonts w:hint="eastAsia" w:ascii="方正小标宋简体" w:hAnsi="仿宋_GB2312" w:eastAsia="方正小标宋简体" w:cs="华文中宋"/>
          <w:kern w:val="1"/>
          <w:sz w:val="44"/>
          <w:szCs w:val="44"/>
          <w:u w:val="none"/>
        </w:rPr>
        <w:t>预案</w:t>
      </w:r>
      <w:r>
        <w:rPr>
          <w:rFonts w:hint="eastAsia" w:ascii="方正小标宋简体" w:hAnsi="Calibri" w:eastAsia="方正小标宋简体" w:cs="Times New Roman"/>
          <w:kern w:val="1"/>
          <w:sz w:val="44"/>
          <w:szCs w:val="44"/>
          <w:u w:val="none"/>
        </w:rPr>
        <w:t>简本</w:t>
      </w:r>
    </w:p>
    <w:tbl>
      <w:tblPr>
        <w:tblStyle w:val="7"/>
        <w:tblW w:w="10028" w:type="dxa"/>
        <w:jc w:val="center"/>
        <w:tblLayout w:type="fixed"/>
        <w:tblCellMar>
          <w:top w:w="0" w:type="dxa"/>
          <w:left w:w="108" w:type="dxa"/>
          <w:bottom w:w="0" w:type="dxa"/>
          <w:right w:w="108" w:type="dxa"/>
        </w:tblCellMar>
      </w:tblPr>
      <w:tblGrid>
        <w:gridCol w:w="2648"/>
        <w:gridCol w:w="2126"/>
        <w:gridCol w:w="1534"/>
        <w:gridCol w:w="3720"/>
      </w:tblGrid>
      <w:tr>
        <w:tblPrEx>
          <w:tblCellMar>
            <w:top w:w="0" w:type="dxa"/>
            <w:left w:w="108" w:type="dxa"/>
            <w:bottom w:w="0" w:type="dxa"/>
            <w:right w:w="108" w:type="dxa"/>
          </w:tblCellMar>
        </w:tblPrEx>
        <w:trPr>
          <w:trHeight w:val="489" w:hRule="atLeast"/>
          <w:jc w:val="center"/>
        </w:trPr>
        <w:tc>
          <w:tcPr>
            <w:tcW w:w="2648"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编制单位</w:t>
            </w:r>
          </w:p>
        </w:tc>
        <w:tc>
          <w:tcPr>
            <w:tcW w:w="7380"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Calibri" w:hAnsi="Calibri" w:eastAsia="宋体" w:cs="Times New Roman"/>
                <w:kern w:val="1"/>
                <w:szCs w:val="22"/>
                <w:u w:val="none"/>
                <w:lang w:val="en-US" w:eastAsia="zh-CN"/>
              </w:rPr>
            </w:pPr>
            <w:r>
              <w:rPr>
                <w:rFonts w:hint="eastAsia" w:ascii="宋体" w:hAnsi="宋体" w:eastAsia="宋体" w:cs="宋体"/>
                <w:kern w:val="1"/>
                <w:sz w:val="24"/>
                <w:szCs w:val="24"/>
                <w:u w:val="none"/>
              </w:rPr>
              <w:t>南宁经济技术开发区</w:t>
            </w:r>
            <w:r>
              <w:rPr>
                <w:rFonts w:hint="eastAsia" w:ascii="宋体" w:hAnsi="宋体" w:eastAsia="宋体" w:cs="宋体"/>
                <w:kern w:val="1"/>
                <w:sz w:val="24"/>
                <w:szCs w:val="24"/>
                <w:u w:val="none"/>
                <w:lang w:val="en-US" w:eastAsia="zh-CN"/>
              </w:rPr>
              <w:t>应急管理局</w:t>
            </w:r>
          </w:p>
        </w:tc>
      </w:tr>
      <w:tr>
        <w:tblPrEx>
          <w:tblCellMar>
            <w:top w:w="0" w:type="dxa"/>
            <w:left w:w="108" w:type="dxa"/>
            <w:bottom w:w="0" w:type="dxa"/>
            <w:right w:w="108" w:type="dxa"/>
          </w:tblCellMar>
        </w:tblPrEx>
        <w:trPr>
          <w:trHeight w:val="437" w:hRule="atLeast"/>
          <w:jc w:val="center"/>
        </w:trPr>
        <w:tc>
          <w:tcPr>
            <w:tcW w:w="2648"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单位责任人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白云飞</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FFFFFF" w:themeColor="background1"/>
                <w:kern w:val="1"/>
                <w:szCs w:val="22"/>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tc>
      </w:tr>
      <w:tr>
        <w:tblPrEx>
          <w:tblCellMar>
            <w:top w:w="0" w:type="dxa"/>
            <w:left w:w="108" w:type="dxa"/>
            <w:bottom w:w="0" w:type="dxa"/>
            <w:right w:w="108" w:type="dxa"/>
          </w:tblCellMar>
        </w:tblPrEx>
        <w:trPr>
          <w:jc w:val="center"/>
        </w:trPr>
        <w:tc>
          <w:tcPr>
            <w:tcW w:w="2648"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单位联系人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卢波</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13517814119</w:t>
            </w:r>
          </w:p>
        </w:tc>
      </w:tr>
      <w:tr>
        <w:tblPrEx>
          <w:tblCellMar>
            <w:top w:w="0" w:type="dxa"/>
            <w:left w:w="108" w:type="dxa"/>
            <w:bottom w:w="0" w:type="dxa"/>
            <w:right w:w="108" w:type="dxa"/>
          </w:tblCellMar>
        </w:tblPrEx>
        <w:trPr>
          <w:jc w:val="center"/>
        </w:trPr>
        <w:tc>
          <w:tcPr>
            <w:tcW w:w="2648"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单位联系人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黄皓宇</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FFFFFF" w:themeColor="background1"/>
                <w:kern w:val="1"/>
                <w:szCs w:val="22"/>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18172395733</w:t>
            </w:r>
          </w:p>
        </w:tc>
      </w:tr>
      <w:tr>
        <w:tblPrEx>
          <w:tblCellMar>
            <w:top w:w="0" w:type="dxa"/>
            <w:left w:w="108" w:type="dxa"/>
            <w:bottom w:w="0" w:type="dxa"/>
            <w:right w:w="108" w:type="dxa"/>
          </w:tblCellMar>
        </w:tblPrEx>
        <w:trPr>
          <w:jc w:val="center"/>
        </w:trPr>
        <w:tc>
          <w:tcPr>
            <w:tcW w:w="2648"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单位联系人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潘加召</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17377150891</w:t>
            </w:r>
          </w:p>
        </w:tc>
      </w:tr>
    </w:tbl>
    <w:tbl>
      <w:tblPr>
        <w:tblStyle w:val="7"/>
        <w:tblpPr w:leftFromText="180" w:rightFromText="180" w:vertAnchor="text" w:horzAnchor="page" w:tblpX="775" w:tblpY="4"/>
        <w:tblOverlap w:val="never"/>
        <w:tblW w:w="10554" w:type="dxa"/>
        <w:tblInd w:w="0" w:type="dxa"/>
        <w:tblLayout w:type="fixed"/>
        <w:tblCellMar>
          <w:top w:w="0" w:type="dxa"/>
          <w:left w:w="108" w:type="dxa"/>
          <w:bottom w:w="0" w:type="dxa"/>
          <w:right w:w="108" w:type="dxa"/>
        </w:tblCellMar>
      </w:tblPr>
      <w:tblGrid>
        <w:gridCol w:w="537"/>
        <w:gridCol w:w="709"/>
        <w:gridCol w:w="1169"/>
        <w:gridCol w:w="3272"/>
        <w:gridCol w:w="520"/>
        <w:gridCol w:w="1016"/>
        <w:gridCol w:w="754"/>
        <w:gridCol w:w="1235"/>
        <w:gridCol w:w="466"/>
        <w:gridCol w:w="73"/>
        <w:gridCol w:w="803"/>
      </w:tblGrid>
      <w:tr>
        <w:tblPrEx>
          <w:tblCellMar>
            <w:top w:w="0" w:type="dxa"/>
            <w:left w:w="108" w:type="dxa"/>
            <w:bottom w:w="0" w:type="dxa"/>
            <w:right w:w="108" w:type="dxa"/>
          </w:tblCellMar>
        </w:tblPrEx>
        <w:trPr>
          <w:cantSplit/>
          <w:trHeight w:val="281" w:hRule="atLeast"/>
        </w:trPr>
        <w:tc>
          <w:tcPr>
            <w:tcW w:w="537" w:type="dxa"/>
            <w:vMerge w:val="restart"/>
            <w:tcBorders>
              <w:top w:val="single" w:color="000000" w:sz="4" w:space="0"/>
              <w:left w:val="single" w:color="000000" w:sz="4" w:space="0"/>
              <w:bottom w:val="single" w:color="000000" w:sz="4" w:space="0"/>
            </w:tcBorders>
            <w:noWrap w:val="0"/>
            <w:vAlign w:val="top"/>
          </w:tcPr>
          <w:p>
            <w:pPr>
              <w:suppressAutoHyphens/>
              <w:snapToGrid w:val="0"/>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组</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织</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系</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统</w:t>
            </w: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组</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织</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系</w:t>
            </w:r>
          </w:p>
          <w:p>
            <w:pPr>
              <w:suppressAutoHyphens/>
              <w:rPr>
                <w:rFonts w:ascii="宋体" w:hAnsi="宋体" w:eastAsia="宋体" w:cs="宋体"/>
                <w:kern w:val="1"/>
                <w:sz w:val="24"/>
                <w:szCs w:val="24"/>
                <w:u w:val="none"/>
              </w:rPr>
            </w:pPr>
            <w:r>
              <w:rPr>
                <w:rFonts w:hint="eastAsia" w:ascii="宋体" w:hAnsi="宋体" w:eastAsia="宋体" w:cs="宋体"/>
                <w:kern w:val="1"/>
                <w:sz w:val="24"/>
                <w:szCs w:val="24"/>
                <w:u w:val="none"/>
              </w:rPr>
              <w:t>统</w:t>
            </w: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组</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织</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机</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构</w:t>
            </w:r>
          </w:p>
        </w:tc>
        <w:tc>
          <w:tcPr>
            <w:tcW w:w="1169" w:type="dxa"/>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名称</w:t>
            </w:r>
          </w:p>
        </w:tc>
        <w:tc>
          <w:tcPr>
            <w:tcW w:w="3272" w:type="dxa"/>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职务</w:t>
            </w:r>
          </w:p>
        </w:tc>
        <w:tc>
          <w:tcPr>
            <w:tcW w:w="1536"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姓名</w:t>
            </w:r>
          </w:p>
        </w:tc>
        <w:tc>
          <w:tcPr>
            <w:tcW w:w="1989"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eastAsia="宋体" w:cs="Times New Roman"/>
                <w:kern w:val="1"/>
                <w:szCs w:val="22"/>
                <w:u w:val="none"/>
              </w:rPr>
            </w:pPr>
            <w:r>
              <w:rPr>
                <w:rFonts w:hint="eastAsia" w:ascii="宋体" w:hAnsi="宋体" w:eastAsia="宋体" w:cs="宋体"/>
                <w:kern w:val="1"/>
                <w:sz w:val="24"/>
                <w:szCs w:val="24"/>
                <w:u w:val="none"/>
              </w:rPr>
              <w:t>备注</w:t>
            </w:r>
          </w:p>
        </w:tc>
      </w:tr>
      <w:tr>
        <w:tblPrEx>
          <w:tblCellMar>
            <w:top w:w="0" w:type="dxa"/>
            <w:left w:w="108" w:type="dxa"/>
            <w:bottom w:w="0" w:type="dxa"/>
            <w:right w:w="108" w:type="dxa"/>
          </w:tblCellMar>
        </w:tblPrEx>
        <w:trPr>
          <w:cantSplit/>
          <w:trHeight w:val="345"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vMerge w:val="restart"/>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领导机构</w:t>
            </w:r>
          </w:p>
        </w:tc>
        <w:tc>
          <w:tcPr>
            <w:tcW w:w="3272" w:type="dxa"/>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指挥长</w:t>
            </w:r>
          </w:p>
        </w:tc>
        <w:tc>
          <w:tcPr>
            <w:tcW w:w="1536"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何尚汉</w:t>
            </w:r>
          </w:p>
        </w:tc>
        <w:tc>
          <w:tcPr>
            <w:tcW w:w="1989"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18277178168</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315"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3272" w:type="dxa"/>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副指挥长</w:t>
            </w:r>
          </w:p>
        </w:tc>
        <w:tc>
          <w:tcPr>
            <w:tcW w:w="1536"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杨贵山</w:t>
            </w:r>
          </w:p>
        </w:tc>
        <w:tc>
          <w:tcPr>
            <w:tcW w:w="1989"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15878171177</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5"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日常工作</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机构</w:t>
            </w:r>
          </w:p>
        </w:tc>
        <w:tc>
          <w:tcPr>
            <w:tcW w:w="3272"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办公室主任</w:t>
            </w:r>
          </w:p>
        </w:tc>
        <w:tc>
          <w:tcPr>
            <w:tcW w:w="153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白云飞</w:t>
            </w:r>
          </w:p>
        </w:tc>
        <w:tc>
          <w:tcPr>
            <w:tcW w:w="1989"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5"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联席会议</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制度</w:t>
            </w:r>
          </w:p>
        </w:tc>
        <w:tc>
          <w:tcPr>
            <w:tcW w:w="8139" w:type="dxa"/>
            <w:gridSpan w:val="8"/>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eastAsia="宋体" w:cs="Times New Roman"/>
                <w:kern w:val="1"/>
                <w:szCs w:val="22"/>
                <w:u w:val="none"/>
              </w:rPr>
            </w:pPr>
            <w:r>
              <w:rPr>
                <w:rFonts w:hint="eastAsia" w:ascii="宋体" w:hAnsi="宋体" w:eastAsia="宋体" w:cs="宋体"/>
                <w:kern w:val="1"/>
                <w:sz w:val="24"/>
                <w:szCs w:val="24"/>
                <w:u w:val="none"/>
              </w:rPr>
              <w:t>工作制度</w:t>
            </w:r>
          </w:p>
        </w:tc>
      </w:tr>
      <w:tr>
        <w:tblPrEx>
          <w:tblCellMar>
            <w:top w:w="0" w:type="dxa"/>
            <w:left w:w="108" w:type="dxa"/>
            <w:bottom w:w="0" w:type="dxa"/>
            <w:right w:w="108" w:type="dxa"/>
          </w:tblCellMar>
        </w:tblPrEx>
        <w:trPr>
          <w:cantSplit/>
          <w:trHeight w:val="380"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8139" w:type="dxa"/>
            <w:gridSpan w:val="8"/>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228" w:lineRule="auto"/>
              <w:jc w:val="center"/>
              <w:rPr>
                <w:rFonts w:ascii="Calibri" w:hAnsi="Calibri" w:eastAsia="宋体" w:cs="Times New Roman"/>
                <w:kern w:val="1"/>
                <w:szCs w:val="22"/>
                <w:u w:val="none"/>
              </w:rPr>
            </w:pPr>
            <w:r>
              <w:rPr>
                <w:rFonts w:hint="eastAsia" w:ascii="宋体" w:hAnsi="宋体" w:eastAsia="宋体" w:cs="宋体"/>
                <w:kern w:val="1"/>
                <w:sz w:val="24"/>
                <w:szCs w:val="24"/>
                <w:u w:val="none"/>
              </w:rPr>
              <w:t>根据上级要求或需要随时召开全部或部分成员单位会议。</w:t>
            </w:r>
          </w:p>
        </w:tc>
      </w:tr>
      <w:tr>
        <w:tblPrEx>
          <w:tblCellMar>
            <w:top w:w="0" w:type="dxa"/>
            <w:left w:w="108" w:type="dxa"/>
            <w:bottom w:w="0" w:type="dxa"/>
            <w:right w:w="108" w:type="dxa"/>
          </w:tblCellMar>
        </w:tblPrEx>
        <w:trPr>
          <w:cantSplit/>
          <w:trHeight w:val="253"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应急指挥机构</w:t>
            </w: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p>
            <w:pPr>
              <w:suppressAutoHyphens/>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名称</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职责</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责任人</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联系电话</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kern w:val="1"/>
                <w:szCs w:val="22"/>
                <w:u w:val="none"/>
              </w:rPr>
            </w:pPr>
            <w:r>
              <w:rPr>
                <w:rFonts w:hint="eastAsia" w:ascii="宋体" w:hAnsi="宋体" w:eastAsia="宋体" w:cs="宋体"/>
                <w:kern w:val="1"/>
                <w:sz w:val="24"/>
                <w:szCs w:val="24"/>
                <w:u w:val="none"/>
              </w:rPr>
              <w:t>备注</w:t>
            </w:r>
          </w:p>
        </w:tc>
      </w:tr>
      <w:tr>
        <w:tblPrEx>
          <w:tblCellMar>
            <w:top w:w="0" w:type="dxa"/>
            <w:left w:w="108" w:type="dxa"/>
            <w:bottom w:w="0" w:type="dxa"/>
            <w:right w:w="108" w:type="dxa"/>
          </w:tblCellMar>
        </w:tblPrEx>
        <w:trPr>
          <w:cantSplit/>
          <w:trHeight w:val="791"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kern w:val="1"/>
                <w:szCs w:val="21"/>
                <w:u w:val="none"/>
              </w:rPr>
            </w:pPr>
            <w:r>
              <w:rPr>
                <w:rFonts w:hint="eastAsia" w:ascii="宋体" w:hAnsi="宋体" w:eastAsia="宋体" w:cs="宋体"/>
                <w:spacing w:val="-4"/>
                <w:kern w:val="1"/>
                <w:szCs w:val="21"/>
                <w:u w:val="none"/>
              </w:rPr>
              <w:t>经开区突发性地质灾害指挥部办公室</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300" w:lineRule="exact"/>
              <w:rPr>
                <w:rFonts w:ascii="宋体" w:hAnsi="宋体" w:eastAsia="宋体" w:cs="宋体"/>
                <w:kern w:val="1"/>
                <w:szCs w:val="21"/>
                <w:u w:val="none"/>
              </w:rPr>
            </w:pPr>
            <w:r>
              <w:rPr>
                <w:rFonts w:hint="eastAsia" w:ascii="宋体" w:hAnsi="宋体" w:eastAsia="宋体" w:cs="宋体"/>
                <w:kern w:val="1"/>
                <w:szCs w:val="21"/>
                <w:u w:val="none"/>
              </w:rPr>
              <w:t>负责经开区指挥部日常事务，组织贯彻落实经开区指挥部的决策部署；协调经开区指挥部与南宁市突发性地质灾害应急指挥部、有关镇（街道）突发性地质灾害应急指挥部、经开区指挥部成员单位之间的工作衔接；汇集、上报应急处置与救灾进展险情灾情情况；提出具体的应急处置与救灾方案和措施建议；提出启动、终止应急响应的建议；组织有关部门和专家分析灾害发展趋势，评估灾害损失及影响，为经开区指挥部决策提供依据；组织应急防治与救灾的新闻发布；起草经开区指挥部文件、简报；负责经开区指挥部各类文书资料的准备和整理归档；承担经开区指挥部日常事务和交办的其他工作。</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白云飞</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ind w:firstLine="120"/>
              <w:jc w:val="center"/>
              <w:rPr>
                <w:rFonts w:ascii="宋体" w:hAnsi="宋体" w:eastAsia="宋体" w:cs="宋体"/>
                <w:kern w:val="1"/>
                <w:sz w:val="24"/>
                <w:szCs w:val="24"/>
                <w:u w:val="none"/>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7748"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kern w:val="1"/>
                <w:szCs w:val="21"/>
                <w:u w:val="none"/>
              </w:rPr>
            </w:pPr>
            <w:r>
              <w:rPr>
                <w:rFonts w:hint="eastAsia" w:ascii="宋体" w:hAnsi="宋体" w:eastAsia="宋体" w:cs="宋体"/>
                <w:kern w:val="1"/>
                <w:szCs w:val="21"/>
                <w:u w:val="none"/>
              </w:rPr>
              <w:t>紧急抢险救灾组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应急管理局：</w:t>
            </w:r>
            <w:r>
              <w:rPr>
                <w:rFonts w:hint="eastAsia" w:ascii="宋体" w:hAnsi="宋体" w:eastAsia="宋体" w:cs="Times New Roman"/>
                <w:bCs/>
                <w:kern w:val="1"/>
                <w:szCs w:val="21"/>
                <w:u w:val="none"/>
              </w:rPr>
              <w:t>组织应急救援队伍赶赴灾区，抢救被压埋人员，开展工程抢险，采取有效措施，消除可能发生的灾害险患；负责应急指挥平台和信息平台日常维护运作，组织实施应急先期处置工作。</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政法办公室：</w:t>
            </w:r>
            <w:r>
              <w:rPr>
                <w:rFonts w:hint="eastAsia" w:ascii="宋体" w:hAnsi="宋体" w:eastAsia="宋体" w:cs="Times New Roman"/>
                <w:bCs/>
                <w:kern w:val="1"/>
                <w:szCs w:val="21"/>
                <w:u w:val="none"/>
              </w:rPr>
              <w:t>负责协调当地派出所在灾区危险区域设置警戒线，维护灾区社会治安秩序，疏导交通，保证救援车辆快速通行。</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经开区消防救援大队：</w:t>
            </w:r>
            <w:r>
              <w:rPr>
                <w:rFonts w:hint="eastAsia" w:ascii="宋体" w:hAnsi="宋体" w:eastAsia="宋体" w:cs="Times New Roman"/>
                <w:bCs/>
                <w:kern w:val="1"/>
                <w:szCs w:val="21"/>
                <w:u w:val="none"/>
              </w:rPr>
              <w:t>对被压埋人员进行抢救；对已经发生或可能引发的水灾、火灾、爆炸及剧毒和强腐蚀性物质泄涌等次生灾害进行抢险。</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建设发展局：</w:t>
            </w:r>
            <w:r>
              <w:rPr>
                <w:rFonts w:hint="eastAsia" w:ascii="宋体" w:hAnsi="宋体" w:eastAsia="宋体" w:cs="Times New Roman"/>
                <w:bCs/>
                <w:kern w:val="1"/>
                <w:szCs w:val="21"/>
                <w:u w:val="none"/>
              </w:rPr>
              <w:t>对接供水、供气</w:t>
            </w:r>
            <w:r>
              <w:rPr>
                <w:rFonts w:hint="eastAsia" w:ascii="宋体" w:hAnsi="宋体" w:cs="Times New Roman"/>
                <w:bCs/>
                <w:kern w:val="1"/>
                <w:szCs w:val="21"/>
                <w:u w:val="none"/>
                <w:lang w:eastAsia="zh-CN"/>
              </w:rPr>
              <w:t>、供电</w:t>
            </w:r>
            <w:r>
              <w:rPr>
                <w:rFonts w:hint="eastAsia" w:ascii="宋体" w:hAnsi="宋体" w:eastAsia="宋体" w:cs="Times New Roman"/>
                <w:bCs/>
                <w:kern w:val="1"/>
                <w:szCs w:val="21"/>
                <w:u w:val="none"/>
              </w:rPr>
              <w:t>设施企业修复受损毁的供水、供气</w:t>
            </w:r>
            <w:r>
              <w:rPr>
                <w:rFonts w:hint="eastAsia" w:ascii="宋体" w:hAnsi="宋体" w:cs="Times New Roman"/>
                <w:bCs/>
                <w:kern w:val="1"/>
                <w:szCs w:val="21"/>
                <w:u w:val="none"/>
                <w:lang w:eastAsia="zh-CN"/>
              </w:rPr>
              <w:t>、供电</w:t>
            </w:r>
            <w:r>
              <w:rPr>
                <w:rFonts w:hint="eastAsia" w:ascii="宋体" w:hAnsi="宋体" w:eastAsia="宋体" w:cs="Times New Roman"/>
                <w:bCs/>
                <w:kern w:val="1"/>
                <w:szCs w:val="21"/>
                <w:u w:val="none"/>
              </w:rPr>
              <w:t>设施。</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经济发展局：</w:t>
            </w:r>
            <w:r>
              <w:rPr>
                <w:rFonts w:hint="eastAsia" w:ascii="宋体" w:hAnsi="宋体" w:eastAsia="宋体" w:cs="Times New Roman"/>
                <w:bCs/>
                <w:kern w:val="1"/>
                <w:szCs w:val="21"/>
                <w:u w:val="none"/>
              </w:rPr>
              <w:t>协调组织抢修受损毁的通信设施，保障应急指挥通讯畅通。</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社会事业局：</w:t>
            </w:r>
            <w:r>
              <w:rPr>
                <w:rFonts w:hint="eastAsia" w:ascii="宋体" w:hAnsi="宋体" w:eastAsia="宋体" w:cs="Times New Roman"/>
                <w:bCs/>
                <w:kern w:val="1"/>
                <w:szCs w:val="21"/>
                <w:u w:val="none"/>
              </w:rPr>
              <w:t>根据职责水利设施的保护和排险等工作。</w:t>
            </w:r>
          </w:p>
          <w:p>
            <w:pPr>
              <w:suppressAutoHyphens/>
              <w:snapToGrid w:val="0"/>
              <w:spacing w:line="228" w:lineRule="auto"/>
              <w:jc w:val="left"/>
              <w:rPr>
                <w:rFonts w:hint="eastAsia" w:ascii="宋体" w:hAnsi="宋体" w:eastAsia="宋体" w:cs="Times New Roman"/>
                <w:bCs/>
                <w:kern w:val="1"/>
                <w:szCs w:val="21"/>
                <w:u w:val="none"/>
              </w:rPr>
            </w:pPr>
            <w:r>
              <w:rPr>
                <w:rFonts w:hint="eastAsia" w:ascii="宋体" w:hAnsi="宋体" w:eastAsia="宋体" w:cs="Times New Roman"/>
                <w:b/>
                <w:bCs w:val="0"/>
                <w:kern w:val="1"/>
                <w:szCs w:val="21"/>
                <w:u w:val="none"/>
              </w:rPr>
              <w:t>文体教育局：</w:t>
            </w:r>
            <w:r>
              <w:rPr>
                <w:rFonts w:hint="eastAsia" w:ascii="宋体" w:hAnsi="宋体" w:eastAsia="宋体" w:cs="Times New Roman"/>
                <w:bCs/>
                <w:kern w:val="1"/>
                <w:szCs w:val="21"/>
                <w:u w:val="none"/>
              </w:rPr>
              <w:t>协调组织修复受损毁校舍或应急调配教学资源，妥善解决灾区学生的就学问题等。协调旅游服务设施的保护和排险，协调相关部门及企业组织修复被毁的旅游基础设施和旅游服务设施。</w:t>
            </w:r>
          </w:p>
          <w:p>
            <w:pPr>
              <w:suppressAutoHyphens/>
              <w:snapToGrid w:val="0"/>
              <w:spacing w:line="228" w:lineRule="auto"/>
              <w:jc w:val="left"/>
              <w:rPr>
                <w:rFonts w:ascii="宋体" w:hAnsi="宋体" w:eastAsia="宋体" w:cs="宋体"/>
                <w:kern w:val="1"/>
                <w:szCs w:val="21"/>
                <w:u w:val="none"/>
              </w:rPr>
            </w:pPr>
            <w:r>
              <w:rPr>
                <w:rFonts w:hint="eastAsia" w:ascii="宋体" w:hAnsi="宋体" w:eastAsia="宋体" w:cs="Times New Roman"/>
                <w:b/>
                <w:bCs w:val="0"/>
                <w:kern w:val="1"/>
                <w:szCs w:val="21"/>
                <w:u w:val="none"/>
              </w:rPr>
              <w:t>生态环境局：</w:t>
            </w:r>
            <w:r>
              <w:rPr>
                <w:rFonts w:hint="eastAsia" w:ascii="宋体" w:hAnsi="宋体" w:eastAsia="宋体" w:cs="Times New Roman"/>
                <w:bCs/>
                <w:kern w:val="1"/>
                <w:szCs w:val="21"/>
                <w:u w:val="none"/>
              </w:rPr>
              <w:t>负责废水、废气、固体废弃物等有害物质的监测和提出环境安全整治意见。</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白云飞</w:t>
            </w:r>
          </w:p>
          <w:p>
            <w:pPr>
              <w:suppressAutoHyphens/>
              <w:jc w:val="center"/>
              <w:rPr>
                <w:rFonts w:hint="eastAsia"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廖军才</w:t>
            </w:r>
          </w:p>
          <w:p>
            <w:pPr>
              <w:suppressAutoHyphens/>
              <w:jc w:val="center"/>
              <w:rPr>
                <w:rFonts w:hint="eastAsia"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詹宁</w:t>
            </w:r>
          </w:p>
          <w:p>
            <w:pPr>
              <w:suppressAutoHyphens/>
              <w:jc w:val="center"/>
              <w:rPr>
                <w:rFonts w:ascii="宋体" w:hAnsi="宋体" w:eastAsia="宋体" w:cs="宋体"/>
                <w:kern w:val="1"/>
                <w:szCs w:val="21"/>
                <w:u w:val="none"/>
              </w:rPr>
            </w:pPr>
            <w:r>
              <w:rPr>
                <w:rFonts w:hint="eastAsia" w:ascii="宋体" w:hAnsi="宋体" w:eastAsia="宋体" w:cs="宋体"/>
                <w:kern w:val="1"/>
                <w:szCs w:val="21"/>
                <w:u w:val="none"/>
              </w:rPr>
              <w:t>黎天环</w:t>
            </w:r>
          </w:p>
          <w:p>
            <w:pPr>
              <w:suppressAutoHyphens/>
              <w:jc w:val="center"/>
              <w:rPr>
                <w:rFonts w:hint="eastAsia" w:ascii="宋体" w:hAnsi="宋体" w:eastAsia="宋体" w:cs="宋体"/>
                <w:kern w:val="1"/>
                <w:szCs w:val="21"/>
                <w:u w:val="none"/>
              </w:rPr>
            </w:pPr>
            <w:r>
              <w:rPr>
                <w:rFonts w:hint="eastAsia" w:ascii="宋体" w:hAnsi="宋体" w:eastAsia="宋体" w:cs="宋体"/>
                <w:kern w:val="1"/>
                <w:szCs w:val="21"/>
                <w:u w:val="none"/>
              </w:rPr>
              <w:t>何卿源</w:t>
            </w:r>
          </w:p>
          <w:p>
            <w:pPr>
              <w:suppressAutoHyphens/>
              <w:jc w:val="center"/>
              <w:rPr>
                <w:rFonts w:hint="eastAsia" w:ascii="宋体" w:hAnsi="宋体" w:eastAsia="宋体" w:cs="宋体"/>
                <w:kern w:val="1"/>
                <w:szCs w:val="21"/>
                <w:u w:val="none"/>
              </w:rPr>
            </w:pPr>
            <w:r>
              <w:rPr>
                <w:rFonts w:hint="eastAsia" w:ascii="宋体" w:hAnsi="宋体" w:eastAsia="宋体" w:cs="宋体"/>
                <w:kern w:val="1"/>
                <w:szCs w:val="21"/>
                <w:u w:val="none"/>
              </w:rPr>
              <w:t>陈学翔</w:t>
            </w:r>
          </w:p>
          <w:p>
            <w:pPr>
              <w:suppressAutoHyphens/>
              <w:jc w:val="center"/>
              <w:rPr>
                <w:rFonts w:hint="eastAsia"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卢国彦</w:t>
            </w:r>
          </w:p>
          <w:p>
            <w:pPr>
              <w:suppressAutoHyphens/>
              <w:jc w:val="center"/>
              <w:rPr>
                <w:rFonts w:hint="default"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甘少逸</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ind w:left="210" w:leftChars="100" w:firstLine="0" w:firstLineChars="0"/>
              <w:rPr>
                <w:rFonts w:hint="eastAsia" w:ascii="宋体" w:hAnsi="宋体" w:eastAsia="宋体" w:cs="宋体"/>
                <w:color w:val="FFFFFF" w:themeColor="background1"/>
                <w:kern w:val="1"/>
                <w:szCs w:val="21"/>
                <w:u w:val="none"/>
                <w:lang w:val="en-US" w:eastAsia="zh-CN"/>
                <w14:textFill>
                  <w14:solidFill>
                    <w14:schemeClr w14:val="bg1"/>
                  </w14:solidFill>
                </w14:textFill>
              </w:rPr>
            </w:pPr>
            <w:r>
              <w:rPr>
                <w:rFonts w:hint="eastAsia" w:ascii="宋体" w:hAnsi="宋体" w:eastAsia="宋体" w:cs="宋体"/>
                <w:color w:val="FFFFFF" w:themeColor="background1"/>
                <w:kern w:val="1"/>
                <w:szCs w:val="21"/>
                <w:u w:val="none"/>
                <w14:textFill>
                  <w14:solidFill>
                    <w14:schemeClr w14:val="bg1"/>
                  </w14:solidFill>
                </w14:textFill>
              </w:rPr>
              <w:t>15177120333</w:t>
            </w:r>
            <w:r>
              <w:rPr>
                <w:rFonts w:hint="eastAsia" w:ascii="宋体" w:hAnsi="宋体" w:eastAsia="宋体" w:cs="宋体"/>
                <w:color w:val="FFFFFF" w:themeColor="background1"/>
                <w:kern w:val="1"/>
                <w:szCs w:val="21"/>
                <w:u w:val="none"/>
                <w:lang w:val="en-US" w:eastAsia="zh-CN"/>
                <w14:textFill>
                  <w14:solidFill>
                    <w14:schemeClr w14:val="bg1"/>
                  </w14:solidFill>
                </w14:textFill>
              </w:rPr>
              <w:t xml:space="preserve"> </w:t>
            </w:r>
          </w:p>
          <w:p>
            <w:pPr>
              <w:suppressAutoHyphens/>
              <w:ind w:left="210" w:leftChars="100" w:firstLine="0" w:firstLineChars="0"/>
              <w:rPr>
                <w:rFonts w:hint="eastAsia" w:ascii="宋体" w:hAnsi="宋体" w:eastAsia="宋体" w:cs="宋体"/>
                <w:color w:val="FFFFFF" w:themeColor="background1"/>
                <w:kern w:val="1"/>
                <w:szCs w:val="21"/>
                <w:u w:val="none"/>
                <w:lang w:val="en-US" w:eastAsia="zh-CN"/>
                <w14:textFill>
                  <w14:solidFill>
                    <w14:schemeClr w14:val="bg1"/>
                  </w14:solidFill>
                </w14:textFill>
              </w:rPr>
            </w:pPr>
            <w:r>
              <w:rPr>
                <w:rFonts w:hint="eastAsia" w:ascii="宋体" w:hAnsi="宋体" w:eastAsia="宋体" w:cs="宋体"/>
                <w:color w:val="FFFFFF" w:themeColor="background1"/>
                <w:kern w:val="1"/>
                <w:szCs w:val="21"/>
                <w:u w:val="none"/>
                <w:lang w:val="en-US" w:eastAsia="zh-CN"/>
                <w14:textFill>
                  <w14:solidFill>
                    <w14:schemeClr w14:val="bg1"/>
                  </w14:solidFill>
                </w14:textFill>
              </w:rPr>
              <w:t>13707879468</w:t>
            </w:r>
          </w:p>
          <w:p>
            <w:pPr>
              <w:suppressAutoHyphens/>
              <w:ind w:left="210" w:leftChars="100" w:firstLine="0" w:firstLineChars="0"/>
              <w:rPr>
                <w:rFonts w:hint="default" w:ascii="宋体" w:hAnsi="宋体" w:eastAsia="宋体" w:cs="宋体"/>
                <w:color w:val="FFFFFF" w:themeColor="background1"/>
                <w:kern w:val="1"/>
                <w:szCs w:val="21"/>
                <w:u w:val="none"/>
                <w:lang w:val="en-US" w:eastAsia="zh-CN"/>
                <w14:textFill>
                  <w14:solidFill>
                    <w14:schemeClr w14:val="bg1"/>
                  </w14:solidFill>
                </w14:textFill>
              </w:rPr>
            </w:pPr>
            <w:r>
              <w:rPr>
                <w:rFonts w:hint="default" w:ascii="宋体" w:hAnsi="宋体" w:eastAsia="宋体" w:cs="宋体"/>
                <w:color w:val="FFFFFF" w:themeColor="background1"/>
                <w:kern w:val="1"/>
                <w:szCs w:val="21"/>
                <w:u w:val="none"/>
                <w:lang w:val="en-US" w:eastAsia="zh-CN"/>
                <w14:textFill>
                  <w14:solidFill>
                    <w14:schemeClr w14:val="bg1"/>
                  </w14:solidFill>
                </w14:textFill>
              </w:rPr>
              <w:t>13977183389</w:t>
            </w:r>
          </w:p>
          <w:p>
            <w:pPr>
              <w:suppressAutoHyphens/>
              <w:ind w:left="210" w:leftChars="100" w:firstLine="0" w:firstLineChars="0"/>
              <w:rPr>
                <w:rFonts w:ascii="宋体" w:hAnsi="宋体" w:eastAsia="宋体" w:cs="宋体"/>
                <w:color w:val="FFFFFF" w:themeColor="background1"/>
                <w:kern w:val="1"/>
                <w:szCs w:val="21"/>
                <w:u w:val="none"/>
                <w14:textFill>
                  <w14:solidFill>
                    <w14:schemeClr w14:val="bg1"/>
                  </w14:solidFill>
                </w14:textFill>
              </w:rPr>
            </w:pPr>
            <w:r>
              <w:rPr>
                <w:rFonts w:hint="eastAsia" w:ascii="宋体" w:hAnsi="宋体" w:eastAsia="宋体" w:cs="宋体"/>
                <w:color w:val="FFFFFF" w:themeColor="background1"/>
                <w:kern w:val="1"/>
                <w:szCs w:val="21"/>
                <w:u w:val="none"/>
                <w14:textFill>
                  <w14:solidFill>
                    <w14:schemeClr w14:val="bg1"/>
                  </w14:solidFill>
                </w14:textFill>
              </w:rPr>
              <w:t>18978933358</w:t>
            </w:r>
          </w:p>
          <w:p>
            <w:pPr>
              <w:suppressAutoHyphens/>
              <w:ind w:firstLine="210" w:firstLineChars="100"/>
              <w:rPr>
                <w:rFonts w:hint="eastAsia" w:ascii="宋体" w:hAnsi="宋体" w:eastAsia="宋体" w:cs="宋体"/>
                <w:color w:val="FFFFFF" w:themeColor="background1"/>
                <w:kern w:val="1"/>
                <w:szCs w:val="21"/>
                <w:u w:val="none"/>
                <w14:textFill>
                  <w14:solidFill>
                    <w14:schemeClr w14:val="bg1"/>
                  </w14:solidFill>
                </w14:textFill>
              </w:rPr>
            </w:pPr>
            <w:r>
              <w:rPr>
                <w:rFonts w:hint="eastAsia" w:ascii="宋体" w:hAnsi="宋体" w:eastAsia="宋体" w:cs="宋体"/>
                <w:color w:val="FFFFFF" w:themeColor="background1"/>
                <w:kern w:val="1"/>
                <w:szCs w:val="21"/>
                <w:u w:val="none"/>
                <w14:textFill>
                  <w14:solidFill>
                    <w14:schemeClr w14:val="bg1"/>
                  </w14:solidFill>
                </w14:textFill>
              </w:rPr>
              <w:t>13707883525</w:t>
            </w:r>
          </w:p>
          <w:p>
            <w:pPr>
              <w:suppressAutoHyphens/>
              <w:ind w:firstLine="210" w:firstLineChars="100"/>
              <w:rPr>
                <w:rFonts w:hint="eastAsia" w:ascii="宋体" w:hAnsi="宋体" w:eastAsia="宋体" w:cs="宋体"/>
                <w:color w:val="FFFFFF" w:themeColor="background1"/>
                <w:kern w:val="1"/>
                <w:szCs w:val="21"/>
                <w:u w:val="none"/>
                <w14:textFill>
                  <w14:solidFill>
                    <w14:schemeClr w14:val="bg1"/>
                  </w14:solidFill>
                </w14:textFill>
              </w:rPr>
            </w:pPr>
            <w:r>
              <w:rPr>
                <w:rFonts w:hint="eastAsia" w:ascii="宋体" w:hAnsi="宋体" w:eastAsia="宋体" w:cs="宋体"/>
                <w:color w:val="FFFFFF" w:themeColor="background1"/>
                <w:kern w:val="1"/>
                <w:szCs w:val="21"/>
                <w:u w:val="none"/>
                <w14:textFill>
                  <w14:solidFill>
                    <w14:schemeClr w14:val="bg1"/>
                  </w14:solidFill>
                </w14:textFill>
              </w:rPr>
              <w:t>13507882818</w:t>
            </w:r>
          </w:p>
          <w:p>
            <w:pPr>
              <w:suppressAutoHyphens/>
              <w:ind w:firstLine="210" w:firstLineChars="100"/>
              <w:rPr>
                <w:rFonts w:hint="eastAsia" w:ascii="宋体" w:hAnsi="宋体" w:eastAsia="宋体" w:cs="宋体"/>
                <w:color w:val="FFFFFF" w:themeColor="background1"/>
                <w:kern w:val="1"/>
                <w:szCs w:val="21"/>
                <w:u w:val="none"/>
                <w:lang w:val="en-US" w:eastAsia="zh-CN"/>
                <w14:textFill>
                  <w14:solidFill>
                    <w14:schemeClr w14:val="bg1"/>
                  </w14:solidFill>
                </w14:textFill>
              </w:rPr>
            </w:pPr>
            <w:r>
              <w:rPr>
                <w:rFonts w:hint="eastAsia" w:ascii="宋体" w:hAnsi="宋体" w:eastAsia="宋体" w:cs="宋体"/>
                <w:color w:val="FFFFFF" w:themeColor="background1"/>
                <w:kern w:val="1"/>
                <w:szCs w:val="21"/>
                <w:u w:val="none"/>
                <w:lang w:val="en-US" w:eastAsia="zh-CN"/>
                <w14:textFill>
                  <w14:solidFill>
                    <w14:schemeClr w14:val="bg1"/>
                  </w14:solidFill>
                </w14:textFill>
              </w:rPr>
              <w:t>13307868831</w:t>
            </w:r>
          </w:p>
          <w:p>
            <w:pPr>
              <w:suppressAutoHyphens/>
              <w:ind w:firstLine="210" w:firstLineChars="100"/>
              <w:rPr>
                <w:rFonts w:hint="default" w:ascii="宋体" w:hAnsi="宋体" w:eastAsia="宋体" w:cs="宋体"/>
                <w:color w:val="FFFFFF" w:themeColor="background1"/>
                <w:kern w:val="1"/>
                <w:szCs w:val="21"/>
                <w:u w:val="none"/>
                <w:lang w:val="en-US" w:eastAsia="zh-CN"/>
                <w14:textFill>
                  <w14:solidFill>
                    <w14:schemeClr w14:val="bg1"/>
                  </w14:solidFill>
                </w14:textFill>
              </w:rPr>
            </w:pPr>
            <w:r>
              <w:rPr>
                <w:rFonts w:hint="eastAsia" w:ascii="宋体" w:hAnsi="宋体" w:eastAsia="宋体" w:cs="宋体"/>
                <w:color w:val="FFFFFF" w:themeColor="background1"/>
                <w:kern w:val="1"/>
                <w:szCs w:val="21"/>
                <w:u w:val="none"/>
                <w:lang w:val="en-US" w:eastAsia="zh-CN"/>
                <w14:textFill>
                  <w14:solidFill>
                    <w14:schemeClr w14:val="bg1"/>
                  </w14:solidFill>
                </w14:textFill>
              </w:rPr>
              <w:t>13152665549</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Cs w:val="21"/>
                <w:u w:val="none"/>
              </w:rPr>
            </w:pPr>
          </w:p>
        </w:tc>
      </w:tr>
      <w:tr>
        <w:tblPrEx>
          <w:tblCellMar>
            <w:top w:w="0" w:type="dxa"/>
            <w:left w:w="108" w:type="dxa"/>
            <w:bottom w:w="0" w:type="dxa"/>
            <w:right w:w="108" w:type="dxa"/>
          </w:tblCellMar>
        </w:tblPrEx>
        <w:trPr>
          <w:cantSplit/>
          <w:trHeight w:val="4200"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kern w:val="1"/>
                <w:szCs w:val="21"/>
                <w:u w:val="none"/>
              </w:rPr>
            </w:pPr>
            <w:r>
              <w:rPr>
                <w:rFonts w:hint="eastAsia" w:ascii="宋体" w:hAnsi="宋体" w:eastAsia="宋体" w:cs="宋体"/>
                <w:kern w:val="1"/>
                <w:szCs w:val="21"/>
                <w:u w:val="none"/>
              </w:rPr>
              <w:t>应</w:t>
            </w:r>
            <w:r>
              <w:rPr>
                <w:rFonts w:hint="eastAsia" w:ascii="宋体" w:hAnsi="宋体" w:eastAsia="宋体" w:cs="宋体"/>
                <w:kern w:val="1"/>
                <w:szCs w:val="21"/>
                <w:u w:val="none"/>
                <w:lang w:val="en-US" w:eastAsia="zh-CN"/>
              </w:rPr>
              <w:t>急</w:t>
            </w:r>
            <w:r>
              <w:rPr>
                <w:rFonts w:hint="eastAsia" w:ascii="宋体" w:hAnsi="宋体" w:cs="宋体"/>
                <w:kern w:val="1"/>
                <w:szCs w:val="21"/>
                <w:u w:val="none"/>
                <w:lang w:val="en-US" w:eastAsia="zh-CN"/>
              </w:rPr>
              <w:t>调</w:t>
            </w:r>
            <w:r>
              <w:rPr>
                <w:rFonts w:hint="eastAsia" w:ascii="宋体" w:hAnsi="宋体" w:eastAsia="宋体" w:cs="宋体"/>
                <w:kern w:val="1"/>
                <w:szCs w:val="21"/>
                <w:u w:val="none"/>
              </w:rPr>
              <w:t>查、监测组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rPr>
              <w:t>自然资源分局：</w:t>
            </w:r>
            <w:r>
              <w:rPr>
                <w:rFonts w:hint="eastAsia" w:ascii="宋体" w:hAnsi="宋体" w:eastAsia="宋体" w:cs="宋体"/>
                <w:kern w:val="1"/>
                <w:szCs w:val="21"/>
                <w:u w:val="none"/>
              </w:rPr>
              <w:t>负责组织专家和南宁地质环境监测站技术员进行应急调查和应急监测工作，提供地质灾害发生实况、地质灾害的监测等相关资料信息，并对灾害发展趋势进行预测，提出应急救灾抢险措施建议，组织专业技术单位提供技术支撑。</w:t>
            </w:r>
          </w:p>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rPr>
              <w:t>社会事业局：</w:t>
            </w:r>
            <w:r>
              <w:rPr>
                <w:rFonts w:hint="eastAsia" w:ascii="宋体" w:hAnsi="宋体" w:eastAsia="宋体" w:cs="宋体"/>
                <w:kern w:val="1"/>
                <w:szCs w:val="21"/>
                <w:u w:val="none"/>
              </w:rPr>
              <w:t>负责汛情的监测和地质灾害引发的次生洪涝灾害的处置；负责水情的监测。</w:t>
            </w:r>
          </w:p>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rPr>
              <w:t>应急管理局：</w:t>
            </w:r>
            <w:r>
              <w:rPr>
                <w:rFonts w:hint="eastAsia" w:ascii="宋体" w:hAnsi="宋体" w:eastAsia="宋体" w:cs="宋体"/>
                <w:kern w:val="1"/>
                <w:szCs w:val="21"/>
                <w:u w:val="none"/>
              </w:rPr>
              <w:t>负责提供地质灾害所需的地震资料信息，对与地质灾害有关的地震趋势进行监测预测；负责提供地质灾害风险预警所需的气象资料信息，对灾区的气象条件进行监测预报。</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龚黎君</w:t>
            </w:r>
          </w:p>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陈学翔</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白云飞</w:t>
            </w:r>
          </w:p>
          <w:p>
            <w:pPr>
              <w:suppressAutoHyphens/>
              <w:jc w:val="center"/>
              <w:rPr>
                <w:rFonts w:hint="eastAsia" w:ascii="宋体" w:hAnsi="宋体" w:eastAsia="宋体" w:cs="宋体"/>
                <w:kern w:val="1"/>
                <w:sz w:val="24"/>
                <w:szCs w:val="24"/>
                <w:u w:val="none"/>
                <w:lang w:eastAsia="zh-CN"/>
              </w:rPr>
            </w:pPr>
          </w:p>
        </w:tc>
        <w:tc>
          <w:tcPr>
            <w:tcW w:w="1701" w:type="dxa"/>
            <w:gridSpan w:val="2"/>
            <w:tcBorders>
              <w:top w:val="single" w:color="000000" w:sz="4" w:space="0"/>
              <w:left w:val="single" w:color="000000" w:sz="4" w:space="0"/>
              <w:bottom w:val="single" w:color="000000" w:sz="4" w:space="0"/>
            </w:tcBorders>
            <w:noWrap w:val="0"/>
            <w:vAlign w:val="center"/>
          </w:tcPr>
          <w:p>
            <w:pPr>
              <w:suppressAutoHyphens/>
              <w:ind w:firstLine="120"/>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18677103477</w:t>
            </w:r>
          </w:p>
          <w:p>
            <w:pPr>
              <w:suppressAutoHyphens/>
              <w:ind w:firstLine="120"/>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13507882818</w:t>
            </w:r>
          </w:p>
          <w:p>
            <w:pPr>
              <w:suppressAutoHyphens/>
              <w:ind w:firstLine="120"/>
              <w:jc w:val="center"/>
              <w:rPr>
                <w:rFonts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p>
            <w:pPr>
              <w:suppressAutoHyphens/>
              <w:ind w:firstLine="120"/>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Cs w:val="21"/>
                <w:u w:val="none"/>
              </w:rPr>
            </w:pPr>
          </w:p>
        </w:tc>
      </w:tr>
      <w:tr>
        <w:tblPrEx>
          <w:tblCellMar>
            <w:top w:w="0" w:type="dxa"/>
            <w:left w:w="108" w:type="dxa"/>
            <w:bottom w:w="0" w:type="dxa"/>
            <w:right w:w="108" w:type="dxa"/>
          </w:tblCellMar>
        </w:tblPrEx>
        <w:trPr>
          <w:cantSplit/>
          <w:trHeight w:val="98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bCs/>
                <w:kern w:val="1"/>
                <w:szCs w:val="21"/>
                <w:u w:val="none"/>
              </w:rPr>
            </w:pPr>
            <w:r>
              <w:rPr>
                <w:rFonts w:hint="eastAsia" w:ascii="宋体" w:hAnsi="宋体" w:eastAsia="宋体" w:cs="宋体"/>
                <w:kern w:val="1"/>
                <w:szCs w:val="21"/>
                <w:u w:val="none"/>
              </w:rPr>
              <w:t>医疗救护和卫生防疫组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hint="eastAsia" w:ascii="宋体" w:hAnsi="宋体" w:eastAsia="宋体" w:cs="宋体"/>
                <w:bCs/>
                <w:kern w:val="1"/>
                <w:szCs w:val="21"/>
                <w:u w:val="none"/>
              </w:rPr>
            </w:pPr>
            <w:r>
              <w:rPr>
                <w:rFonts w:hint="eastAsia" w:ascii="宋体" w:hAnsi="宋体" w:eastAsia="宋体" w:cs="宋体"/>
                <w:b/>
                <w:bCs w:val="0"/>
                <w:kern w:val="1"/>
                <w:szCs w:val="21"/>
                <w:u w:val="none"/>
              </w:rPr>
              <w:t>卫生健康局：</w:t>
            </w:r>
            <w:r>
              <w:rPr>
                <w:rFonts w:hint="eastAsia" w:ascii="宋体" w:hAnsi="宋体" w:eastAsia="宋体" w:cs="宋体"/>
                <w:bCs/>
                <w:kern w:val="1"/>
                <w:szCs w:val="21"/>
                <w:u w:val="none"/>
              </w:rPr>
              <w:t>负责组织协调辖区卫生部门开展医疗救治工作，做好灾区的疾病预防控制和公共卫生监督工作，预防和有效控制传染病的暴发流行等公共卫生事件的发生，并根据需要，对辖区卫生部门提供技术支持，协助辖区卫生部门开展灾区急救药品的储存调拨，负责供灾区药品的质量控制工作。</w:t>
            </w:r>
          </w:p>
          <w:p>
            <w:pPr>
              <w:suppressAutoHyphens/>
              <w:snapToGrid w:val="0"/>
              <w:spacing w:line="228" w:lineRule="auto"/>
              <w:rPr>
                <w:rFonts w:hint="eastAsia" w:ascii="宋体" w:hAnsi="宋体" w:eastAsia="宋体" w:cs="宋体"/>
                <w:bCs/>
                <w:kern w:val="1"/>
                <w:szCs w:val="21"/>
                <w:u w:val="none"/>
              </w:rPr>
            </w:pPr>
            <w:r>
              <w:rPr>
                <w:rFonts w:hint="eastAsia" w:ascii="宋体" w:hAnsi="宋体" w:eastAsia="宋体" w:cs="宋体"/>
                <w:b/>
                <w:bCs w:val="0"/>
                <w:kern w:val="1"/>
                <w:szCs w:val="21"/>
                <w:u w:val="none"/>
              </w:rPr>
              <w:t>市场监管分局：</w:t>
            </w:r>
            <w:r>
              <w:rPr>
                <w:rFonts w:hint="eastAsia" w:ascii="宋体" w:hAnsi="宋体" w:eastAsia="宋体" w:cs="宋体"/>
                <w:bCs/>
                <w:kern w:val="1"/>
                <w:szCs w:val="21"/>
                <w:u w:val="none"/>
              </w:rPr>
              <w:t>负责灾区集中供应食品的食品安全保障、食品安全性评价及检验检测；负责灾区临时餐饮点的食品安全保障，负责组织餐饮消费环节食品卫生监督工作，预防和有效控制餐饮消费环节食物中毒卫生事件的发生。</w:t>
            </w:r>
          </w:p>
          <w:p>
            <w:pPr>
              <w:suppressAutoHyphens/>
              <w:snapToGrid w:val="0"/>
              <w:spacing w:line="228" w:lineRule="auto"/>
              <w:rPr>
                <w:rFonts w:ascii="宋体" w:hAnsi="宋体" w:eastAsia="宋体" w:cs="宋体"/>
                <w:kern w:val="1"/>
                <w:sz w:val="24"/>
                <w:szCs w:val="24"/>
                <w:u w:val="none"/>
              </w:rPr>
            </w:pPr>
            <w:r>
              <w:rPr>
                <w:rFonts w:hint="eastAsia" w:ascii="宋体" w:hAnsi="宋体" w:eastAsia="宋体" w:cs="宋体"/>
                <w:b/>
                <w:bCs w:val="0"/>
                <w:kern w:val="1"/>
                <w:szCs w:val="21"/>
                <w:u w:val="none"/>
              </w:rPr>
              <w:t>社会事业局：</w:t>
            </w:r>
            <w:r>
              <w:rPr>
                <w:rFonts w:hint="eastAsia" w:ascii="宋体" w:hAnsi="宋体" w:eastAsia="宋体" w:cs="宋体"/>
                <w:bCs/>
                <w:kern w:val="1"/>
                <w:szCs w:val="21"/>
                <w:u w:val="none"/>
              </w:rPr>
              <w:t>负责组织灾区动物疫病的预防、控制和扑灭工作，加强动物疫情的监测，切实采取有效措施，防止和控制动物疫病的暴发和流行。</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谭先铭</w:t>
            </w:r>
          </w:p>
          <w:p>
            <w:pPr>
              <w:suppressAutoHyphens/>
              <w:jc w:val="center"/>
              <w:rPr>
                <w:rFonts w:hint="eastAsia"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金涛</w:t>
            </w:r>
          </w:p>
          <w:p>
            <w:pPr>
              <w:suppressAutoHyphens/>
              <w:jc w:val="center"/>
              <w:rPr>
                <w:rFonts w:hint="eastAsia"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陈学翔</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13877136993</w:t>
            </w:r>
          </w:p>
          <w:p>
            <w:pPr>
              <w:suppressAutoHyphens/>
              <w:jc w:val="center"/>
              <w:rPr>
                <w:rFonts w:hint="eastAsia"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13978693003</w:t>
            </w:r>
          </w:p>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default" w:ascii="宋体" w:hAnsi="宋体" w:eastAsia="宋体" w:cs="宋体"/>
                <w:color w:val="FFFFFF" w:themeColor="background1"/>
                <w:kern w:val="1"/>
                <w:sz w:val="24"/>
                <w:szCs w:val="24"/>
                <w:u w:val="none"/>
                <w:lang w:val="en-US" w:eastAsia="zh-CN"/>
                <w14:textFill>
                  <w14:solidFill>
                    <w14:schemeClr w14:val="bg1"/>
                  </w14:solidFill>
                </w14:textFill>
              </w:rPr>
              <w:t>13507882818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273"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宋体" w:hAnsi="宋体" w:eastAsia="宋体" w:cs="宋体"/>
                <w:kern w:val="1"/>
                <w:szCs w:val="21"/>
                <w:u w:val="none"/>
              </w:rPr>
            </w:pPr>
            <w:r>
              <w:rPr>
                <w:rFonts w:hint="eastAsia" w:ascii="宋体" w:hAnsi="宋体" w:eastAsia="宋体" w:cs="宋体"/>
                <w:kern w:val="1"/>
                <w:szCs w:val="21"/>
                <w:u w:val="none"/>
              </w:rPr>
              <w:t>治安和交通组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hint="eastAsia" w:ascii="宋体" w:hAnsi="宋体" w:eastAsia="宋体" w:cs="宋体"/>
                <w:kern w:val="1"/>
                <w:szCs w:val="21"/>
                <w:u w:val="none"/>
              </w:rPr>
            </w:pPr>
            <w:r>
              <w:rPr>
                <w:rFonts w:hint="eastAsia" w:ascii="宋体" w:hAnsi="宋体" w:eastAsia="宋体" w:cs="宋体"/>
                <w:b/>
                <w:bCs/>
                <w:kern w:val="1"/>
                <w:szCs w:val="21"/>
                <w:u w:val="none"/>
              </w:rPr>
              <w:t>政法办公室：</w:t>
            </w:r>
            <w:r>
              <w:rPr>
                <w:rFonts w:hint="eastAsia" w:ascii="宋体" w:hAnsi="宋体" w:eastAsia="宋体" w:cs="宋体"/>
                <w:kern w:val="1"/>
                <w:szCs w:val="21"/>
                <w:u w:val="none"/>
              </w:rPr>
              <w:t>负责协调组织辖区派出所等部门维护灾区社会治安，打击蓄意扩大化传播突发性地质灾害险情的违法活动。</w:t>
            </w:r>
          </w:p>
          <w:p>
            <w:pPr>
              <w:suppressAutoHyphens/>
              <w:snapToGrid w:val="0"/>
              <w:spacing w:line="228" w:lineRule="auto"/>
              <w:rPr>
                <w:rFonts w:hint="eastAsia" w:ascii="宋体" w:hAnsi="宋体" w:eastAsia="宋体" w:cs="宋体"/>
                <w:kern w:val="1"/>
                <w:szCs w:val="21"/>
                <w:u w:val="none"/>
              </w:rPr>
            </w:pPr>
            <w:r>
              <w:rPr>
                <w:rFonts w:hint="eastAsia" w:ascii="宋体" w:hAnsi="宋体" w:eastAsia="宋体" w:cs="宋体"/>
                <w:b/>
                <w:bCs/>
                <w:kern w:val="1"/>
                <w:szCs w:val="21"/>
                <w:u w:val="none"/>
              </w:rPr>
              <w:t>城市管理局：</w:t>
            </w:r>
            <w:r>
              <w:rPr>
                <w:rFonts w:hint="eastAsia" w:ascii="宋体" w:hAnsi="宋体" w:eastAsia="宋体" w:cs="宋体"/>
                <w:kern w:val="1"/>
                <w:szCs w:val="21"/>
                <w:u w:val="none"/>
              </w:rPr>
              <w:t>保证紧急情况下应急交通工具的优先安排、优先调度，确保道路畅通；及时组织抢修损毁的公路等交通设施，保证救灾物资运输。</w:t>
            </w:r>
          </w:p>
          <w:p>
            <w:pPr>
              <w:suppressAutoHyphens/>
              <w:snapToGrid w:val="0"/>
              <w:spacing w:line="228" w:lineRule="auto"/>
              <w:rPr>
                <w:rFonts w:ascii="宋体" w:hAnsi="宋体" w:eastAsia="宋体" w:cs="宋体"/>
                <w:kern w:val="1"/>
                <w:szCs w:val="21"/>
                <w:u w:val="none"/>
              </w:rPr>
            </w:pPr>
            <w:r>
              <w:rPr>
                <w:rFonts w:hint="eastAsia" w:ascii="宋体" w:hAnsi="宋体" w:eastAsia="宋体" w:cs="宋体"/>
                <w:b/>
                <w:bCs/>
                <w:kern w:val="1"/>
                <w:szCs w:val="21"/>
                <w:u w:val="none"/>
              </w:rPr>
              <w:t>交警十大队：</w:t>
            </w:r>
            <w:r>
              <w:rPr>
                <w:rFonts w:hint="eastAsia" w:ascii="宋体" w:hAnsi="宋体" w:eastAsia="宋体" w:cs="宋体"/>
                <w:kern w:val="1"/>
                <w:szCs w:val="21"/>
                <w:u w:val="none"/>
              </w:rPr>
              <w:t>根据应急处置需要对现场及相关区域实行交通管制，开设应急救援“绿色通道”，保证抢险救灾工作顺利进行。</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kern w:val="1"/>
                <w:sz w:val="24"/>
                <w:szCs w:val="24"/>
                <w:u w:val="none"/>
                <w:lang w:val="en-US" w:eastAsia="zh-CN"/>
              </w:rPr>
            </w:pPr>
            <w:r>
              <w:rPr>
                <w:rFonts w:hint="default" w:ascii="宋体" w:hAnsi="宋体" w:eastAsia="宋体" w:cs="宋体"/>
                <w:kern w:val="1"/>
                <w:sz w:val="24"/>
                <w:szCs w:val="24"/>
                <w:u w:val="none"/>
                <w:lang w:val="en-US" w:eastAsia="zh-CN"/>
              </w:rPr>
              <w:t>廖军才</w:t>
            </w:r>
          </w:p>
          <w:p>
            <w:pPr>
              <w:suppressAutoHyphens/>
              <w:jc w:val="center"/>
              <w:rPr>
                <w:rFonts w:hint="default"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刘志国</w:t>
            </w:r>
          </w:p>
          <w:p>
            <w:pPr>
              <w:suppressAutoHyphens/>
              <w:jc w:val="center"/>
              <w:rPr>
                <w:rFonts w:hint="default" w:ascii="宋体" w:hAnsi="宋体" w:eastAsia="宋体" w:cs="宋体"/>
                <w:kern w:val="1"/>
                <w:sz w:val="24"/>
                <w:szCs w:val="24"/>
                <w:u w:val="none"/>
                <w:lang w:val="en-US" w:eastAsia="zh-CN"/>
              </w:rPr>
            </w:pPr>
            <w:r>
              <w:rPr>
                <w:rFonts w:hint="default" w:ascii="宋体" w:hAnsi="宋体" w:eastAsia="宋体" w:cs="宋体"/>
                <w:kern w:val="1"/>
                <w:sz w:val="24"/>
                <w:szCs w:val="24"/>
                <w:u w:val="none"/>
                <w:lang w:val="en-US" w:eastAsia="zh-CN"/>
              </w:rPr>
              <w:t>陈蒸森</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default" w:ascii="宋体" w:hAnsi="宋体" w:eastAsia="宋体" w:cs="宋体"/>
                <w:color w:val="FFFFFF" w:themeColor="background1"/>
                <w:kern w:val="1"/>
                <w:sz w:val="24"/>
                <w:szCs w:val="24"/>
                <w:u w:val="none"/>
                <w:lang w:val="en-US" w:eastAsia="zh-CN"/>
                <w14:textFill>
                  <w14:solidFill>
                    <w14:schemeClr w14:val="bg1"/>
                  </w14:solidFill>
                </w14:textFill>
              </w:rPr>
              <w:t>13707879468</w:t>
            </w:r>
          </w:p>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18978933030</w:t>
            </w:r>
          </w:p>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default" w:ascii="宋体" w:hAnsi="宋体" w:eastAsia="宋体" w:cs="宋体"/>
                <w:color w:val="FFFFFF" w:themeColor="background1"/>
                <w:kern w:val="1"/>
                <w:sz w:val="24"/>
                <w:szCs w:val="24"/>
                <w:u w:val="none"/>
                <w:lang w:val="en-US" w:eastAsia="zh-CN"/>
                <w14:textFill>
                  <w14:solidFill>
                    <w14:schemeClr w14:val="bg1"/>
                  </w14:solidFill>
                </w14:textFill>
              </w:rPr>
              <w:t>17777118332</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283"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宋体" w:hAnsi="宋体" w:eastAsia="宋体" w:cs="宋体"/>
                <w:kern w:val="1"/>
                <w:szCs w:val="21"/>
                <w:u w:val="none"/>
              </w:rPr>
            </w:pPr>
            <w:r>
              <w:rPr>
                <w:rFonts w:hint="eastAsia" w:ascii="宋体" w:hAnsi="宋体" w:eastAsia="宋体" w:cs="宋体"/>
                <w:kern w:val="1"/>
                <w:szCs w:val="21"/>
                <w:u w:val="none"/>
              </w:rPr>
              <w:t>基本生活保障组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hint="eastAsia" w:ascii="宋体" w:hAnsi="宋体" w:eastAsia="宋体" w:cs="宋体"/>
                <w:kern w:val="1"/>
                <w:szCs w:val="21"/>
                <w:u w:val="none"/>
              </w:rPr>
            </w:pPr>
            <w:r>
              <w:rPr>
                <w:rFonts w:hint="eastAsia" w:ascii="宋体" w:hAnsi="宋体" w:eastAsia="宋体" w:cs="宋体"/>
                <w:b/>
                <w:bCs/>
                <w:kern w:val="1"/>
                <w:szCs w:val="21"/>
                <w:u w:val="none"/>
              </w:rPr>
              <w:t>应急管理局：</w:t>
            </w:r>
            <w:r>
              <w:rPr>
                <w:rFonts w:hint="eastAsia" w:ascii="宋体" w:hAnsi="宋体" w:eastAsia="宋体" w:cs="宋体"/>
                <w:kern w:val="1"/>
                <w:szCs w:val="21"/>
                <w:u w:val="none"/>
              </w:rPr>
              <w:t>组织做好避险和受灾群众的基本生活救助工作，并做好救灾款物的分配、发放、指导、监督和管理工作。</w:t>
            </w:r>
          </w:p>
          <w:p>
            <w:pPr>
              <w:suppressAutoHyphens/>
              <w:snapToGrid w:val="0"/>
              <w:spacing w:line="228" w:lineRule="auto"/>
              <w:rPr>
                <w:rFonts w:ascii="宋体" w:hAnsi="宋体" w:eastAsia="宋体" w:cs="宋体"/>
                <w:kern w:val="1"/>
                <w:sz w:val="24"/>
                <w:szCs w:val="24"/>
                <w:u w:val="none"/>
              </w:rPr>
            </w:pPr>
            <w:r>
              <w:rPr>
                <w:rFonts w:hint="eastAsia" w:ascii="宋体" w:hAnsi="宋体" w:eastAsia="宋体" w:cs="宋体"/>
                <w:b/>
                <w:bCs/>
                <w:kern w:val="1"/>
                <w:szCs w:val="21"/>
                <w:u w:val="none"/>
              </w:rPr>
              <w:t>社会事业局：</w:t>
            </w:r>
            <w:r>
              <w:rPr>
                <w:rFonts w:hint="eastAsia" w:ascii="宋体" w:hAnsi="宋体" w:eastAsia="宋体" w:cs="宋体"/>
                <w:kern w:val="1"/>
                <w:szCs w:val="21"/>
                <w:u w:val="none"/>
              </w:rPr>
              <w:t>根据应急局的动用指令按程序组织应急储备物资调出。</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白云飞</w:t>
            </w:r>
          </w:p>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陈学翔</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13507882818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0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宋体" w:hAnsi="宋体" w:eastAsia="宋体" w:cs="宋体"/>
                <w:kern w:val="1"/>
                <w:szCs w:val="21"/>
                <w:u w:val="none"/>
              </w:rPr>
            </w:pPr>
            <w:r>
              <w:rPr>
                <w:rFonts w:hint="eastAsia" w:ascii="宋体" w:hAnsi="宋体" w:eastAsia="宋体" w:cs="宋体"/>
                <w:kern w:val="1"/>
                <w:szCs w:val="21"/>
                <w:u w:val="none"/>
              </w:rPr>
              <w:t>信息报送组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ascii="宋体" w:hAnsi="宋体" w:eastAsia="宋体" w:cs="宋体"/>
                <w:kern w:val="1"/>
                <w:sz w:val="24"/>
                <w:szCs w:val="24"/>
                <w:u w:val="none"/>
              </w:rPr>
            </w:pPr>
            <w:r>
              <w:rPr>
                <w:rFonts w:hint="eastAsia" w:ascii="宋体" w:hAnsi="宋体" w:eastAsia="宋体" w:cs="宋体"/>
                <w:b/>
                <w:bCs/>
                <w:kern w:val="1"/>
                <w:szCs w:val="21"/>
                <w:u w:val="none"/>
              </w:rPr>
              <w:t>应急管理局、自然资源分局</w:t>
            </w:r>
            <w:r>
              <w:rPr>
                <w:rFonts w:hint="eastAsia" w:ascii="宋体" w:hAnsi="宋体" w:eastAsia="宋体" w:cs="宋体"/>
                <w:kern w:val="1"/>
                <w:szCs w:val="21"/>
                <w:u w:val="none"/>
              </w:rPr>
              <w:t>：负责组织调查、核实险情灾情发生的时间、地点、规模、潜在威胁、影响范围以及诱发因素；组织应急监测，实时掌握险情灾情动态，及时分析、预测发展趋势；随时根据险情灾情变化提出应急防范对策并向经开区指挥部报告。</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白云飞</w:t>
            </w:r>
          </w:p>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龚黎君</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14:textFill>
                  <w14:solidFill>
                    <w14:schemeClr w14:val="bg1"/>
                  </w14:solidFill>
                </w14:textFill>
              </w:rPr>
            </w:pPr>
            <w:r>
              <w:rPr>
                <w:rFonts w:hint="eastAsia" w:ascii="宋体" w:hAnsi="宋体" w:eastAsia="宋体" w:cs="宋体"/>
                <w:color w:val="FFFFFF" w:themeColor="background1"/>
                <w:kern w:val="1"/>
                <w:sz w:val="24"/>
                <w:szCs w:val="24"/>
                <w:u w:val="none"/>
                <w14:textFill>
                  <w14:solidFill>
                    <w14:schemeClr w14:val="bg1"/>
                  </w14:solidFill>
                </w14:textFill>
              </w:rPr>
              <w:t>15177120333</w:t>
            </w:r>
          </w:p>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default" w:ascii="宋体" w:hAnsi="宋体" w:eastAsia="宋体" w:cs="宋体"/>
                <w:color w:val="FFFFFF" w:themeColor="background1"/>
                <w:kern w:val="1"/>
                <w:sz w:val="24"/>
                <w:szCs w:val="24"/>
                <w:u w:val="none"/>
                <w:lang w:val="en-US" w:eastAsia="zh-CN"/>
                <w14:textFill>
                  <w14:solidFill>
                    <w14:schemeClr w14:val="bg1"/>
                  </w14:solidFill>
                </w14:textFill>
              </w:rPr>
              <w:t>18677103477</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0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hint="eastAsia" w:ascii="宋体" w:hAnsi="宋体" w:eastAsia="宋体" w:cs="宋体"/>
                <w:kern w:val="1"/>
                <w:szCs w:val="21"/>
                <w:u w:val="none"/>
              </w:rPr>
            </w:pPr>
            <w:r>
              <w:rPr>
                <w:rFonts w:hint="eastAsia" w:ascii="宋体" w:hAnsi="宋体" w:eastAsia="宋体" w:cs="宋体"/>
                <w:kern w:val="1"/>
                <w:szCs w:val="21"/>
                <w:u w:val="none"/>
              </w:rPr>
              <w:t>新闻发布及舆情监测组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lang w:val="en-US" w:eastAsia="zh-CN"/>
              </w:rPr>
              <w:t>党</w:t>
            </w:r>
            <w:r>
              <w:rPr>
                <w:rFonts w:hint="eastAsia" w:ascii="宋体" w:hAnsi="宋体" w:eastAsia="宋体" w:cs="宋体"/>
                <w:b/>
                <w:bCs/>
                <w:kern w:val="1"/>
                <w:szCs w:val="21"/>
                <w:u w:val="none"/>
              </w:rPr>
              <w:t>群工作局：</w:t>
            </w:r>
            <w:r>
              <w:rPr>
                <w:rFonts w:hint="eastAsia" w:ascii="宋体" w:hAnsi="宋体" w:eastAsia="宋体" w:cs="宋体"/>
                <w:kern w:val="1"/>
                <w:szCs w:val="21"/>
                <w:u w:val="none"/>
              </w:rPr>
              <w:t>负责新闻发布、新闻报道的组织工作，收集、汇总抗灾救灾信息，设立新闻发言人，及时准确发布灾情和救灾动态信息，加强舆情分析，正确引导国内外舆论。</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谢頔</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13659601186</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0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hint="eastAsia" w:ascii="宋体" w:hAnsi="宋体" w:eastAsia="宋体" w:cs="宋体"/>
                <w:kern w:val="1"/>
                <w:szCs w:val="21"/>
                <w:u w:val="none"/>
              </w:rPr>
            </w:pPr>
            <w:r>
              <w:rPr>
                <w:rFonts w:hint="eastAsia" w:ascii="宋体" w:hAnsi="宋体" w:eastAsia="宋体" w:cs="宋体"/>
                <w:kern w:val="1"/>
                <w:szCs w:val="21"/>
                <w:u w:val="none"/>
              </w:rPr>
              <w:t>应急资金保障组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rPr>
              <w:t>财政局：</w:t>
            </w:r>
            <w:r>
              <w:rPr>
                <w:rFonts w:hint="eastAsia" w:ascii="宋体" w:hAnsi="宋体" w:eastAsia="宋体" w:cs="宋体"/>
                <w:kern w:val="1"/>
                <w:szCs w:val="21"/>
                <w:u w:val="none"/>
              </w:rPr>
              <w:t>负责应急防治与救灾补助资金保障和监督管理等工作。</w:t>
            </w:r>
          </w:p>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b/>
                <w:bCs/>
                <w:kern w:val="1"/>
                <w:szCs w:val="21"/>
                <w:u w:val="none"/>
              </w:rPr>
              <w:t>经济发展局：</w:t>
            </w:r>
            <w:r>
              <w:rPr>
                <w:rFonts w:hint="eastAsia" w:ascii="宋体" w:hAnsi="宋体" w:eastAsia="宋体" w:cs="宋体"/>
                <w:kern w:val="1"/>
                <w:szCs w:val="21"/>
                <w:u w:val="none"/>
              </w:rPr>
              <w:t>负责重大救灾项目的协调安排和监督管理。</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阮仕严</w:t>
            </w:r>
          </w:p>
          <w:p>
            <w:pPr>
              <w:suppressAutoHyphens/>
              <w:jc w:val="center"/>
              <w:rPr>
                <w:rFonts w:hint="eastAsia" w:ascii="宋体" w:hAnsi="宋体" w:eastAsia="宋体" w:cs="宋体"/>
                <w:kern w:val="1"/>
                <w:sz w:val="24"/>
                <w:szCs w:val="24"/>
                <w:u w:val="none"/>
              </w:rPr>
            </w:pPr>
            <w:r>
              <w:rPr>
                <w:rFonts w:hint="eastAsia" w:ascii="宋体" w:hAnsi="宋体" w:eastAsia="宋体" w:cs="宋体"/>
                <w:kern w:val="1"/>
                <w:sz w:val="24"/>
                <w:szCs w:val="24"/>
                <w:u w:val="none"/>
              </w:rPr>
              <w:t>何卿源</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both"/>
              <w:rPr>
                <w:rFonts w:hint="eastAsia"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13977138881</w:t>
            </w:r>
          </w:p>
          <w:p>
            <w:pPr>
              <w:suppressAutoHyphens/>
              <w:jc w:val="both"/>
              <w:rPr>
                <w:rFonts w:hint="eastAsia"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13707883525</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60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hint="eastAsia" w:ascii="宋体" w:hAnsi="宋体" w:eastAsia="宋体" w:cs="宋体"/>
                <w:kern w:val="1"/>
                <w:szCs w:val="21"/>
                <w:u w:val="none"/>
              </w:rPr>
            </w:pPr>
            <w:r>
              <w:rPr>
                <w:rFonts w:hint="eastAsia" w:ascii="宋体" w:hAnsi="宋体" w:eastAsia="宋体" w:cs="宋体"/>
                <w:kern w:val="1"/>
                <w:szCs w:val="21"/>
                <w:u w:val="none"/>
              </w:rPr>
              <w:t>专家组</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eastAsia" w:ascii="宋体" w:hAnsi="宋体" w:eastAsia="宋体" w:cs="宋体"/>
                <w:kern w:val="1"/>
                <w:szCs w:val="21"/>
                <w:u w:val="none"/>
              </w:rPr>
            </w:pPr>
            <w:r>
              <w:rPr>
                <w:rFonts w:hint="eastAsia" w:ascii="宋体" w:hAnsi="宋体" w:eastAsia="宋体" w:cs="宋体"/>
                <w:kern w:val="1"/>
                <w:szCs w:val="21"/>
                <w:u w:val="none"/>
              </w:rPr>
              <w:t>按照经开区指挥部的要求，分析地质灾害形成原因，判明灾情、险情趋势，提交应急调查技术报告，参与制订应急抢险救援技术方案，指导应急处置与抢险救援工作。</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白云飞</w:t>
            </w: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lang w:val="en-US" w:eastAsia="zh-CN"/>
                <w14:textFill>
                  <w14:solidFill>
                    <w14:schemeClr w14:val="bg1"/>
                  </w14:solidFill>
                </w14:textFill>
              </w:rPr>
            </w:pPr>
            <w:r>
              <w:rPr>
                <w:rFonts w:hint="eastAsia" w:ascii="宋体" w:hAnsi="宋体" w:eastAsia="宋体" w:cs="宋体"/>
                <w:color w:val="FFFFFF" w:themeColor="background1"/>
                <w:kern w:val="1"/>
                <w:sz w:val="24"/>
                <w:szCs w:val="24"/>
                <w:u w:val="none"/>
                <w:lang w:val="en-US" w:eastAsia="zh-CN"/>
                <w14:textFill>
                  <w14:solidFill>
                    <w14:schemeClr w14:val="bg1"/>
                  </w14:solidFill>
                </w14:textFill>
              </w:rPr>
              <w:t>15177120333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807"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hint="default"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其他单位、部门</w:t>
            </w:r>
          </w:p>
        </w:tc>
        <w:tc>
          <w:tcPr>
            <w:tcW w:w="379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left"/>
              <w:rPr>
                <w:rFonts w:hint="default"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其它有关单位和部门均应根据经开区突发性地质灾害指挥部的抢险指令，无条件地提供服务，配合相关部门共同完成防汛抢险任务。</w:t>
            </w:r>
          </w:p>
        </w:tc>
        <w:tc>
          <w:tcPr>
            <w:tcW w:w="1770"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kern w:val="1"/>
                <w:sz w:val="24"/>
                <w:szCs w:val="24"/>
                <w:u w:val="none"/>
              </w:rPr>
            </w:pPr>
          </w:p>
        </w:tc>
        <w:tc>
          <w:tcPr>
            <w:tcW w:w="1701"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FFFFFF" w:themeColor="background1"/>
                <w:kern w:val="1"/>
                <w:sz w:val="24"/>
                <w:szCs w:val="24"/>
                <w:u w:val="none"/>
                <w:lang w:val="en-US" w:eastAsia="zh-CN"/>
                <w14:textFill>
                  <w14:solidFill>
                    <w14:schemeClr w14:val="bg1"/>
                  </w14:solidFill>
                </w14:textFill>
              </w:rPr>
            </w:pP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238"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9308" w:type="dxa"/>
            <w:gridSpan w:val="9"/>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spacing w:line="228" w:lineRule="auto"/>
              <w:ind w:firstLine="420" w:firstLineChars="200"/>
              <w:rPr>
                <w:rFonts w:hint="eastAsia" w:ascii="宋体" w:hAnsi="宋体" w:eastAsia="宋体" w:cs="宋体"/>
                <w:kern w:val="1"/>
                <w:szCs w:val="21"/>
                <w:u w:val="none"/>
              </w:rPr>
            </w:pPr>
          </w:p>
          <w:p>
            <w:pPr>
              <w:suppressAutoHyphens/>
              <w:snapToGrid w:val="0"/>
              <w:spacing w:line="228" w:lineRule="auto"/>
              <w:ind w:firstLine="420" w:firstLineChars="200"/>
              <w:rPr>
                <w:rFonts w:ascii="Calibri" w:hAnsi="Calibri" w:eastAsia="宋体" w:cs="Times New Roman"/>
                <w:kern w:val="1"/>
                <w:szCs w:val="21"/>
                <w:u w:val="none"/>
              </w:rPr>
            </w:pPr>
            <w:r>
              <w:rPr>
                <w:rFonts w:hint="eastAsia" w:ascii="宋体" w:hAnsi="宋体" w:eastAsia="宋体" w:cs="宋体"/>
                <w:kern w:val="1"/>
                <w:szCs w:val="21"/>
                <w:u w:val="none"/>
              </w:rPr>
              <w:t>事件发生后，迅速对事件进行了解、核实、定性，及时上报经开区防指领导及上级部门，启动相应应级别应急响应程序，及时采取措施进行处置，将影响和危害降到最低程序</w:t>
            </w:r>
            <w:r>
              <w:rPr>
                <w:rFonts w:ascii="宋体" w:hAnsi="宋体" w:eastAsia="宋体" w:cs="宋体"/>
                <w:kern w:val="1"/>
                <w:szCs w:val="21"/>
                <w:u w:val="none"/>
              </w:rPr>
              <w:t>。</w:t>
            </w:r>
          </w:p>
        </w:tc>
      </w:tr>
      <w:tr>
        <w:tblPrEx>
          <w:tblCellMar>
            <w:top w:w="0" w:type="dxa"/>
            <w:left w:w="108" w:type="dxa"/>
            <w:bottom w:w="0" w:type="dxa"/>
            <w:right w:w="108" w:type="dxa"/>
          </w:tblCellMar>
        </w:tblPrEx>
        <w:trPr>
          <w:cantSplit/>
          <w:trHeight w:val="586"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restart"/>
            <w:tcBorders>
              <w:top w:val="single" w:color="000000" w:sz="4" w:space="0"/>
              <w:left w:val="single" w:color="000000" w:sz="4" w:space="0"/>
            </w:tcBorders>
            <w:noWrap w:val="0"/>
            <w:vAlign w:val="center"/>
          </w:tcPr>
          <w:p>
            <w:pPr>
              <w:suppressAutoHyphens/>
              <w:snapToGrid w:val="0"/>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both"/>
              <w:rPr>
                <w:rFonts w:ascii="宋体" w:hAnsi="宋体" w:eastAsia="宋体" w:cs="宋体"/>
                <w:kern w:val="1"/>
                <w:sz w:val="24"/>
                <w:szCs w:val="24"/>
                <w:u w:val="none"/>
              </w:rPr>
            </w:pPr>
            <w:r>
              <w:rPr>
                <w:rFonts w:hint="eastAsia" w:ascii="宋体" w:hAnsi="宋体" w:eastAsia="宋体" w:cs="宋体"/>
                <w:kern w:val="1"/>
                <w:sz w:val="24"/>
                <w:szCs w:val="24"/>
                <w:u w:val="none"/>
              </w:rPr>
              <w:t>分级</w:t>
            </w: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响应</w:t>
            </w:r>
          </w:p>
          <w:p>
            <w:pPr>
              <w:suppressAutoHyphens/>
              <w:jc w:val="center"/>
              <w:rPr>
                <w:rFonts w:hint="eastAsia" w:ascii="宋体" w:hAnsi="宋体" w:eastAsia="宋体" w:cs="宋体"/>
                <w:kern w:val="1"/>
                <w:sz w:val="24"/>
                <w:szCs w:val="24"/>
                <w:u w:val="none"/>
                <w:lang w:eastAsia="zh-CN"/>
              </w:rPr>
            </w:pPr>
            <w:r>
              <w:rPr>
                <w:rFonts w:hint="eastAsia" w:ascii="宋体" w:hAnsi="宋体" w:eastAsia="宋体" w:cs="宋体"/>
                <w:kern w:val="1"/>
                <w:sz w:val="24"/>
                <w:szCs w:val="24"/>
                <w:u w:val="none"/>
                <w:lang w:val="en-US" w:eastAsia="zh-CN"/>
              </w:rPr>
              <w:t>等级</w:t>
            </w:r>
          </w:p>
        </w:tc>
        <w:tc>
          <w:tcPr>
            <w:tcW w:w="1169"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b/>
                <w:bCs/>
                <w:kern w:val="1"/>
                <w:sz w:val="21"/>
                <w:szCs w:val="21"/>
                <w:u w:val="none"/>
              </w:rPr>
            </w:pPr>
            <w:r>
              <w:rPr>
                <w:rFonts w:hint="eastAsia" w:ascii="宋体" w:hAnsi="宋体" w:eastAsia="宋体" w:cs="宋体"/>
                <w:b/>
                <w:bCs/>
                <w:kern w:val="1"/>
                <w:sz w:val="21"/>
                <w:szCs w:val="21"/>
                <w:u w:val="none"/>
              </w:rPr>
              <w:t>等级</w:t>
            </w:r>
          </w:p>
        </w:tc>
        <w:tc>
          <w:tcPr>
            <w:tcW w:w="7336"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b/>
                <w:bCs/>
                <w:kern w:val="1"/>
                <w:sz w:val="21"/>
                <w:szCs w:val="21"/>
                <w:u w:val="none"/>
              </w:rPr>
            </w:pPr>
            <w:r>
              <w:rPr>
                <w:rFonts w:hint="eastAsia" w:ascii="宋体" w:hAnsi="宋体" w:eastAsia="宋体" w:cs="宋体"/>
                <w:b/>
                <w:bCs/>
                <w:kern w:val="1"/>
                <w:sz w:val="21"/>
                <w:szCs w:val="21"/>
                <w:u w:val="none"/>
              </w:rPr>
              <w:t>标准</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b/>
                <w:bCs/>
                <w:kern w:val="1"/>
                <w:szCs w:val="22"/>
                <w:u w:val="none"/>
              </w:rPr>
            </w:pPr>
            <w:r>
              <w:rPr>
                <w:rFonts w:hint="eastAsia" w:ascii="宋体" w:hAnsi="宋体" w:eastAsia="宋体" w:cs="宋体"/>
                <w:b/>
                <w:bCs/>
                <w:kern w:val="1"/>
                <w:sz w:val="24"/>
                <w:szCs w:val="24"/>
                <w:u w:val="none"/>
              </w:rPr>
              <w:t>备注</w:t>
            </w:r>
          </w:p>
        </w:tc>
      </w:tr>
      <w:tr>
        <w:tblPrEx>
          <w:tblCellMar>
            <w:top w:w="0" w:type="dxa"/>
            <w:left w:w="108" w:type="dxa"/>
            <w:bottom w:w="0" w:type="dxa"/>
            <w:right w:w="108" w:type="dxa"/>
          </w:tblCellMar>
        </w:tblPrEx>
        <w:trPr>
          <w:cantSplit/>
          <w:trHeight w:val="1271"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特大型</w:t>
            </w:r>
          </w:p>
        </w:tc>
        <w:tc>
          <w:tcPr>
            <w:tcW w:w="7336"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left"/>
              <w:textAlignment w:val="auto"/>
              <w:rPr>
                <w:rFonts w:ascii="宋体" w:hAnsi="宋体" w:eastAsia="仿宋_GB2312" w:cs="宋体"/>
                <w:kern w:val="1"/>
                <w:sz w:val="21"/>
                <w:szCs w:val="21"/>
                <w:u w:val="none"/>
              </w:rPr>
            </w:pPr>
            <w:r>
              <w:rPr>
                <w:rFonts w:hint="eastAsia" w:ascii="宋体" w:hAnsi="宋体" w:eastAsia="宋体" w:cs="宋体"/>
                <w:kern w:val="1"/>
                <w:sz w:val="21"/>
                <w:szCs w:val="21"/>
                <w:u w:val="none"/>
              </w:rPr>
              <w:t>受地质灾害威胁，需搬迁转移人数在1000人（含）以上，或潜在经济损失1亿元（含）以上的地质灾害险情。因灾死亡和失踪30人（含）以上，或因灾造成直接经济损失1000万元（含）以上的地质灾害灾情。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仿宋_GB2312" w:cs="宋体"/>
                <w:kern w:val="1"/>
                <w:sz w:val="24"/>
                <w:szCs w:val="24"/>
                <w:u w:val="none"/>
              </w:rPr>
            </w:pPr>
          </w:p>
        </w:tc>
      </w:tr>
      <w:tr>
        <w:tblPrEx>
          <w:tblCellMar>
            <w:top w:w="0" w:type="dxa"/>
            <w:left w:w="108" w:type="dxa"/>
            <w:bottom w:w="0" w:type="dxa"/>
            <w:right w:w="108" w:type="dxa"/>
          </w:tblCellMar>
        </w:tblPrEx>
        <w:trPr>
          <w:cantSplit/>
          <w:trHeight w:val="1478"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大型</w:t>
            </w:r>
          </w:p>
        </w:tc>
        <w:tc>
          <w:tcPr>
            <w:tcW w:w="7336"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left"/>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受地质灾害威胁，需搬迁转移人数在500人（含）以上、1000人以下，或潜在经济损失5000万元（含）以上1亿元以下的地质灾害险情。因灾死亡和失踪10人（含）以上30人以下，或因灾造成直接经济损失500万元（含）以上1000万元以下的地质灾害灾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493"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中型</w:t>
            </w:r>
          </w:p>
        </w:tc>
        <w:tc>
          <w:tcPr>
            <w:tcW w:w="7336"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left"/>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受地质灾害威胁，需搬迁转移人数在100人（含）以上500人以下，或潜在经济损失500万元（含）以上5000万元以下的地质灾害险情。因灾死亡和失踪3人（含）以上10人以下，或因灾造成直接经济损失100万元（含）以上500万元以下的地质灾害灾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1266" w:hRule="atLeast"/>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left w:val="single" w:color="000000" w:sz="4" w:space="0"/>
              <w:bottom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1169"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小型</w:t>
            </w:r>
          </w:p>
        </w:tc>
        <w:tc>
          <w:tcPr>
            <w:tcW w:w="7336"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left"/>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受地质灾害威胁，需搬迁转移人数在100人以下，或潜在经济损失500万元以下的地质灾害险情。因灾死亡和失踪3人以下，或因灾造成直接经济损失100万元以下的地质灾害灾情。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364"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default" w:ascii="宋体" w:hAnsi="宋体" w:eastAsia="宋体" w:cs="宋体"/>
                <w:kern w:val="1"/>
                <w:szCs w:val="21"/>
                <w:u w:val="none"/>
                <w:lang w:val="en-US" w:eastAsia="zh-CN"/>
              </w:rPr>
            </w:pPr>
            <w:r>
              <w:rPr>
                <w:rFonts w:hint="eastAsia" w:ascii="宋体" w:hAnsi="宋体" w:eastAsia="宋体" w:cs="宋体"/>
                <w:kern w:val="1"/>
                <w:szCs w:val="21"/>
                <w:u w:val="none"/>
                <w:lang w:val="en-US" w:eastAsia="zh-CN"/>
              </w:rPr>
              <w:t>分级响应机制</w:t>
            </w:r>
          </w:p>
        </w:tc>
        <w:tc>
          <w:tcPr>
            <w:tcW w:w="1169" w:type="dxa"/>
            <w:tcBorders>
              <w:top w:val="single" w:color="000000" w:sz="4" w:space="0"/>
              <w:left w:val="single" w:color="auto"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eastAsia"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等级</w:t>
            </w:r>
          </w:p>
        </w:tc>
        <w:tc>
          <w:tcPr>
            <w:tcW w:w="7336"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default" w:ascii="宋体" w:hAnsi="宋体" w:eastAsia="宋体" w:cs="宋体"/>
                <w:kern w:val="1"/>
                <w:sz w:val="24"/>
                <w:szCs w:val="24"/>
                <w:u w:val="none"/>
                <w:lang w:val="en-US" w:eastAsia="zh-CN"/>
              </w:rPr>
            </w:pPr>
            <w:r>
              <w:rPr>
                <w:rFonts w:hint="eastAsia" w:ascii="宋体" w:hAnsi="宋体" w:eastAsia="宋体" w:cs="宋体"/>
                <w:kern w:val="1"/>
                <w:sz w:val="24"/>
                <w:szCs w:val="24"/>
                <w:u w:val="none"/>
                <w:lang w:val="en-US" w:eastAsia="zh-CN"/>
              </w:rPr>
              <w:t>响应机制</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Calibri" w:hAnsi="Calibri" w:eastAsia="宋体" w:cs="Times New Roman"/>
                <w:kern w:val="1"/>
                <w:sz w:val="24"/>
                <w:szCs w:val="24"/>
                <w:u w:val="none"/>
              </w:rPr>
            </w:pPr>
            <w:r>
              <w:rPr>
                <w:rFonts w:hint="eastAsia" w:ascii="宋体" w:hAnsi="宋体" w:eastAsia="宋体" w:cs="宋体"/>
                <w:kern w:val="1"/>
                <w:sz w:val="24"/>
                <w:szCs w:val="24"/>
                <w:u w:val="none"/>
              </w:rPr>
              <w:t>备注</w:t>
            </w:r>
          </w:p>
        </w:tc>
      </w:tr>
      <w:tr>
        <w:tblPrEx>
          <w:tblCellMar>
            <w:top w:w="0" w:type="dxa"/>
            <w:left w:w="108" w:type="dxa"/>
            <w:bottom w:w="0" w:type="dxa"/>
            <w:right w:w="108" w:type="dxa"/>
          </w:tblCellMar>
        </w:tblPrEx>
        <w:trPr>
          <w:cantSplit/>
          <w:trHeight w:val="3992"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kern w:val="1"/>
                <w:szCs w:val="21"/>
                <w:u w:val="none"/>
                <w:lang w:val="en-US" w:eastAsia="zh-CN"/>
              </w:rPr>
            </w:pPr>
          </w:p>
        </w:tc>
        <w:tc>
          <w:tcPr>
            <w:tcW w:w="1169" w:type="dxa"/>
            <w:tcBorders>
              <w:top w:val="single" w:color="000000" w:sz="4" w:space="0"/>
              <w:left w:val="single" w:color="auto"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特大型</w:t>
            </w:r>
          </w:p>
        </w:tc>
        <w:tc>
          <w:tcPr>
            <w:tcW w:w="7336"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出现特大型地质灾害险情或特大型地质灾害灾情时，管委会和当地镇人民政府（街道办事处）应立即启动相关的应急预案和应急指挥系统，部署本行政区域内的地质灾害应急处置与救灾工作。按速报制度上报地质灾害发生情况。</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地质灾害发生地的</w:t>
            </w:r>
            <w:r>
              <w:rPr>
                <w:rFonts w:hint="eastAsia" w:ascii="宋体" w:hAnsi="宋体" w:cs="宋体"/>
                <w:kern w:val="1"/>
                <w:sz w:val="21"/>
                <w:szCs w:val="21"/>
                <w:u w:val="none"/>
                <w:lang w:val="en-US" w:eastAsia="zh-CN"/>
              </w:rPr>
              <w:t>镇人民政府（街道办事处）</w:t>
            </w:r>
            <w:r>
              <w:rPr>
                <w:rFonts w:hint="eastAsia" w:ascii="宋体" w:hAnsi="宋体" w:eastAsia="宋体" w:cs="宋体"/>
                <w:kern w:val="1"/>
                <w:sz w:val="21"/>
                <w:szCs w:val="21"/>
                <w:u w:val="none"/>
                <w:lang w:val="en-US" w:eastAsia="zh-CN"/>
              </w:rPr>
              <w:t>应当按照群测群防责任制的规定，立即将有关信息通知到地质灾害危险点的防灾责任人、监测人和该区域内的群众，对是否转移群众和采取的应急措施做出决策；及时划定地质灾害危险区，设立明显的危险区警示标志，确定预警信号和撤离路线，组织群众转移避让或采取排险防治措施，根据险情和灾情具体情况提出应急对策，情况危急时应强制组织受威胁群众避灾疏散。经开区指挥部具体指挥、组织管委会有关部门和专家，及时赶赴现场，并在市人民政府和市地质灾害应急指挥部的统一领导下，认真做好地质灾害应急处置和应急防治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eastAsia"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4097"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kern w:val="1"/>
                <w:szCs w:val="21"/>
                <w:u w:val="none"/>
                <w:lang w:val="en-US" w:eastAsia="zh-CN"/>
              </w:rPr>
            </w:pPr>
          </w:p>
        </w:tc>
        <w:tc>
          <w:tcPr>
            <w:tcW w:w="1169" w:type="dxa"/>
            <w:tcBorders>
              <w:top w:val="single" w:color="000000" w:sz="4" w:space="0"/>
              <w:left w:val="single" w:color="auto"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大型</w:t>
            </w:r>
          </w:p>
        </w:tc>
        <w:tc>
          <w:tcPr>
            <w:tcW w:w="7336"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出现大型地质灾害险情或大型地质灾害灾情时，管委会、当地镇人民政府（街道办事处）应立即启动相关的应急预案和应急指挥系统。按速报制度上报地质灾害发生情况。</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地质灾害发生地的</w:t>
            </w:r>
            <w:r>
              <w:rPr>
                <w:rFonts w:hint="eastAsia" w:ascii="宋体" w:hAnsi="宋体" w:cs="宋体"/>
                <w:kern w:val="1"/>
                <w:sz w:val="21"/>
                <w:szCs w:val="21"/>
                <w:u w:val="none"/>
                <w:lang w:val="en-US" w:eastAsia="zh-CN"/>
              </w:rPr>
              <w:t>镇人民政府（街道办事处）</w:t>
            </w:r>
            <w:r>
              <w:rPr>
                <w:rFonts w:hint="eastAsia" w:ascii="宋体" w:hAnsi="宋体" w:eastAsia="宋体" w:cs="宋体"/>
                <w:kern w:val="1"/>
                <w:sz w:val="21"/>
                <w:szCs w:val="21"/>
                <w:u w:val="none"/>
                <w:lang w:val="en-US" w:eastAsia="zh-CN"/>
              </w:rPr>
              <w:t>应当按照群测群防责任制的规定，立即将有关信息通知到地质灾害危险点的防灾责任人、监测人和该区域内的群众，对是否转移群众和采取的应急措施做出决策；及时划定地质灾害危险区，设立明显的危险区警示标志，确定预警信号和撤离路线，组织群众转移避让或采取排险防治措施，根据险情和灾情具体情况提出应急对策，情况危急时应强制组织受威胁群众避灾疏散。经开区指挥部具体指挥、组织管委会有关部门和专家，及时赶赴现场，并在市人民政府和市地质灾害应急指挥部的统一领导下，认真做好地质灾害应急处置和应急防治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eastAsia"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4007"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kern w:val="1"/>
                <w:szCs w:val="21"/>
                <w:u w:val="none"/>
                <w:lang w:val="en-US" w:eastAsia="zh-CN"/>
              </w:rPr>
            </w:pPr>
          </w:p>
        </w:tc>
        <w:tc>
          <w:tcPr>
            <w:tcW w:w="1169" w:type="dxa"/>
            <w:tcBorders>
              <w:top w:val="single" w:color="000000" w:sz="4" w:space="0"/>
              <w:left w:val="single" w:color="auto"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中型</w:t>
            </w:r>
          </w:p>
        </w:tc>
        <w:tc>
          <w:tcPr>
            <w:tcW w:w="7336"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出现中型地质灾害险情或中型地质灾害灾情时，管委会和当地镇人民政府（街道办事处），应立即启动相关的应急预案和应急指挥系统。按速报制度上报地质灾害发生情况。</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both"/>
              <w:textAlignment w:val="auto"/>
              <w:rPr>
                <w:rFonts w:hint="eastAsia"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地质灾害发生地的镇人民政府（街道办事处）应当依照群测群防责任制的规定，立即将有关信息通知到地质灾害危险点的防灾责任人、监测人和该区域内的群众，对是否转移群众和采取的应急措施做出决策；及时划定地质灾害危险区，设立明显的危险区警示标志，确定预警信号和撤离路线，组织群众转移避让或采取排险防治措施，根据险情和灾情具体情况提出应急对策，情况危急时应强制组织受威胁群众避灾疏散。经开区指挥部具体指挥、组织管委会有关部门和专家，及时赶赴现场，并在市人民政府和市地质灾害应急指挥部的统一领导下，认真做好地质灾害应急处置和应急防治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eastAsia"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3662"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top"/>
          </w:tcPr>
          <w:p>
            <w:pPr>
              <w:suppressAutoHyphens/>
              <w:snapToGrid w:val="0"/>
              <w:jc w:val="center"/>
              <w:rPr>
                <w:rFonts w:ascii="宋体" w:hAnsi="宋体" w:eastAsia="宋体" w:cs="宋体"/>
                <w:kern w:val="1"/>
                <w:sz w:val="24"/>
                <w:szCs w:val="21"/>
                <w:u w:val="none"/>
              </w:rPr>
            </w:pPr>
          </w:p>
        </w:tc>
        <w:tc>
          <w:tcPr>
            <w:tcW w:w="1169" w:type="dxa"/>
            <w:tcBorders>
              <w:top w:val="single" w:color="000000" w:sz="4" w:space="0"/>
              <w:left w:val="single" w:color="auto" w:sz="4" w:space="0"/>
              <w:bottom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8" w:lineRule="auto"/>
              <w:jc w:val="center"/>
              <w:textAlignment w:val="auto"/>
              <w:rPr>
                <w:rFonts w:ascii="宋体" w:hAnsi="宋体" w:eastAsia="宋体" w:cs="宋体"/>
                <w:kern w:val="1"/>
                <w:sz w:val="21"/>
                <w:szCs w:val="21"/>
                <w:u w:val="none"/>
              </w:rPr>
            </w:pPr>
            <w:r>
              <w:rPr>
                <w:rFonts w:hint="eastAsia" w:ascii="宋体" w:hAnsi="宋体" w:eastAsia="宋体" w:cs="宋体"/>
                <w:kern w:val="1"/>
                <w:sz w:val="21"/>
                <w:szCs w:val="21"/>
                <w:u w:val="none"/>
              </w:rPr>
              <w:t>小型</w:t>
            </w:r>
          </w:p>
        </w:tc>
        <w:tc>
          <w:tcPr>
            <w:tcW w:w="7336" w:type="dxa"/>
            <w:gridSpan w:val="7"/>
            <w:tcBorders>
              <w:top w:val="single" w:color="000000" w:sz="4" w:space="0"/>
              <w:left w:val="single" w:color="000000" w:sz="4" w:space="0"/>
              <w:bottom w:val="single" w:color="auto"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jc w:val="left"/>
              <w:textAlignment w:val="auto"/>
              <w:rPr>
                <w:rFonts w:hint="default" w:ascii="宋体" w:hAnsi="宋体" w:eastAsia="宋体" w:cs="宋体"/>
                <w:kern w:val="1"/>
                <w:sz w:val="21"/>
                <w:szCs w:val="21"/>
                <w:u w:val="none"/>
                <w:lang w:val="en-US" w:eastAsia="zh-CN"/>
              </w:rPr>
            </w:pPr>
            <w:r>
              <w:rPr>
                <w:rFonts w:hint="eastAsia" w:ascii="宋体" w:hAnsi="宋体" w:eastAsia="宋体" w:cs="宋体"/>
                <w:kern w:val="1"/>
                <w:sz w:val="21"/>
                <w:szCs w:val="21"/>
                <w:u w:val="none"/>
                <w:lang w:val="en-US" w:eastAsia="zh-CN"/>
              </w:rPr>
              <w:t>出现小型地质灾害险情和小型地质灾害灾情时，管委会和当地镇人民政府（街道办事处），应立即启动相关的应急预案和应急指挥系统，按速报制度上报地质灾害发生情况。依照群测群防责任制的规定，立即将有关信息通知到地质灾害危险点的防灾责任人、监测人和该区域内的群众，对是否转移群众和采取的应急措施做出决策。管委会及时划定地质灾害危险区，设立明显的危险区警示标志，确定预警信号和撤离路线，组织群众转移避让或采取排险防治措施，根据险情和灾情具体情况提出应急对策，情况危急时应强制组织受威胁群众避灾疏散。在管委会的统一领导下，由经开区突发性地质灾害应急指挥机构具体指挥、组织和协调有关部门及时赶赴现场，加强监测，采取应急措施，防止灾害进一步扩大，避免抢险救灾可能造成的二次人员伤亡。必要时，请市指挥部派出工作组赶赴灾害现场，协助管委会做好突发性地质灾害的应急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kern w:val="1"/>
                <w:sz w:val="24"/>
                <w:szCs w:val="24"/>
                <w:u w:val="none"/>
              </w:rPr>
            </w:pPr>
          </w:p>
        </w:tc>
      </w:tr>
      <w:tr>
        <w:tblPrEx>
          <w:tblCellMar>
            <w:top w:w="0" w:type="dxa"/>
            <w:left w:w="108" w:type="dxa"/>
            <w:bottom w:w="0" w:type="dxa"/>
            <w:right w:w="108" w:type="dxa"/>
          </w:tblCellMar>
        </w:tblPrEx>
        <w:trPr>
          <w:cantSplit/>
          <w:trHeight w:val="8807" w:hRule="atLeast"/>
        </w:trPr>
        <w:tc>
          <w:tcPr>
            <w:tcW w:w="537" w:type="dxa"/>
            <w:vMerge w:val="continue"/>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uppressAutoHyphens/>
              <w:snapToGrid w:val="0"/>
              <w:jc w:val="center"/>
              <w:rPr>
                <w:rFonts w:ascii="宋体" w:hAnsi="宋体" w:eastAsia="宋体" w:cs="宋体"/>
                <w:kern w:val="1"/>
                <w:sz w:val="24"/>
                <w:szCs w:val="24"/>
                <w:u w:val="none"/>
              </w:rPr>
            </w:pPr>
          </w:p>
          <w:p>
            <w:pPr>
              <w:suppressAutoHyphens/>
              <w:snapToGrid w:val="0"/>
              <w:jc w:val="center"/>
              <w:rPr>
                <w:rFonts w:ascii="宋体" w:hAnsi="宋体" w:eastAsia="宋体" w:cs="宋体"/>
                <w:kern w:val="1"/>
                <w:sz w:val="24"/>
                <w:szCs w:val="24"/>
                <w:u w:val="none"/>
              </w:rPr>
            </w:pPr>
          </w:p>
          <w:p>
            <w:pPr>
              <w:suppressAutoHyphens/>
              <w:snapToGrid w:val="0"/>
              <w:jc w:val="center"/>
              <w:rPr>
                <w:rFonts w:ascii="宋体" w:hAnsi="宋体" w:eastAsia="宋体" w:cs="宋体"/>
                <w:kern w:val="1"/>
                <w:sz w:val="24"/>
                <w:szCs w:val="24"/>
                <w:u w:val="none"/>
              </w:rPr>
            </w:pPr>
          </w:p>
          <w:p>
            <w:pPr>
              <w:suppressAutoHyphens/>
              <w:snapToGrid w:val="0"/>
              <w:jc w:val="center"/>
              <w:rPr>
                <w:rFonts w:ascii="宋体" w:hAnsi="宋体" w:eastAsia="宋体" w:cs="宋体"/>
                <w:kern w:val="1"/>
                <w:sz w:val="24"/>
                <w:szCs w:val="24"/>
                <w:u w:val="none"/>
              </w:rPr>
            </w:pPr>
          </w:p>
          <w:p>
            <w:pPr>
              <w:suppressAutoHyphens/>
              <w:snapToGrid w:val="0"/>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应急处置重点</w:t>
            </w: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p>
            <w:pPr>
              <w:suppressAutoHyphens/>
              <w:jc w:val="center"/>
              <w:rPr>
                <w:rFonts w:ascii="宋体" w:hAnsi="宋体" w:eastAsia="宋体" w:cs="宋体"/>
                <w:kern w:val="1"/>
                <w:sz w:val="24"/>
                <w:szCs w:val="24"/>
                <w:u w:val="none"/>
              </w:rPr>
            </w:pPr>
          </w:p>
        </w:tc>
        <w:tc>
          <w:tcPr>
            <w:tcW w:w="850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（1）抢险救人</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管委会立即组织基层救援队伍、广大群众、工程施工队伍等社会力量，开展自救和应急抢险救援。大型以上灾情或灾害，在自治区指挥部的领导下，配合抢救被埋压人员。中型灾情或灾害，在市指挥部的领导下，配合抢救被埋压人员。</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（2）安置群众</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管委会要尽快将受灾害威胁、无家可归的群众转移出来，按照“安全、就地、就近、分散”安置的方针，实施过渡避难安置，通过帐篷、板房特别是支持群众自搭自建简易过渡住房，解决灾民的过渡安置问题。调集生活物资、卫生队伍，确保转移安置群众有饭吃、有干净水喝、有住处、有衣被、有病能医治。</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（3）抢通保通</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对受损公路和通信、供电、供水设施，各专业部门安排专业工程队伍，积极抢修抢通生命线，为保障抢险救援、灾民转移安置和灾区基本秩序提供基础条件。</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（4）卫生防疫</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坚持专群结合、进村入户、不留死角、彻底防疫，发动基层组织和广大群众及时清理废墟和积存物，安排农业农村部门做好死亡禽畜无害化处理，广泛组织乡村医生和抽调各级卫生防疫部门力量开展“消杀灭”等卫生防疫工作，实现防疫全覆盖，确保大灾之后无大疫。</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（5）防治次生灾害</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坚持主动、及早、安全处理，防范和治理各类次生灾害，同步治理可能造成的堰塞湖、病险水库，及时排查地质灾害隐患，避免次生灾害造成更大损失。</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（6）维护灾区稳定</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Times New Roman" w:hAnsi="Times New Roman"/>
                <w:sz w:val="21"/>
                <w:szCs w:val="21"/>
                <w:u w:val="none"/>
                <w:lang w:val="en-US" w:eastAsia="zh-CN"/>
              </w:rPr>
            </w:pPr>
            <w:r>
              <w:rPr>
                <w:rFonts w:hint="eastAsia" w:ascii="宋体" w:hAnsi="宋体" w:eastAsia="宋体" w:cs="宋体"/>
                <w:kern w:val="1"/>
                <w:sz w:val="21"/>
                <w:szCs w:val="21"/>
                <w:u w:val="none"/>
              </w:rPr>
              <w:t>增加灾区警力，在建立抢险救援现场特别管制区的同时，全面做好交通管制和疏导，加强周边受影响区域的社会治安，积极解决受灾群众利益诉求，帮助解决群众实际困难，以公开、公平、公正原则做好救灾物资发放工作，积极回应社会关注的救灾物资资金发放等问题，确保灾区社会安定，不出现大规模群体性事件。</w:t>
            </w:r>
          </w:p>
        </w:tc>
        <w:tc>
          <w:tcPr>
            <w:tcW w:w="803" w:type="dxa"/>
            <w:tcBorders>
              <w:top w:val="single" w:color="000000" w:sz="4" w:space="0"/>
              <w:left w:val="single" w:color="auto" w:sz="4" w:space="0"/>
              <w:bottom w:val="single" w:color="000000" w:sz="4" w:space="0"/>
              <w:right w:val="single" w:color="000000" w:sz="4" w:space="0"/>
            </w:tcBorders>
            <w:noWrap w:val="0"/>
            <w:vAlign w:val="top"/>
          </w:tcPr>
          <w:p>
            <w:pPr>
              <w:suppressAutoHyphens/>
              <w:jc w:val="center"/>
              <w:rPr>
                <w:rFonts w:ascii="Calibri" w:hAnsi="Calibri" w:eastAsia="宋体" w:cs="Times New Roman"/>
                <w:kern w:val="1"/>
                <w:szCs w:val="22"/>
                <w:u w:val="none"/>
              </w:rPr>
            </w:pPr>
          </w:p>
        </w:tc>
      </w:tr>
      <w:tr>
        <w:tblPrEx>
          <w:tblCellMar>
            <w:top w:w="0" w:type="dxa"/>
            <w:left w:w="108" w:type="dxa"/>
            <w:bottom w:w="0" w:type="dxa"/>
            <w:right w:w="108" w:type="dxa"/>
          </w:tblCellMar>
        </w:tblPrEx>
        <w:trPr>
          <w:cantSplit/>
          <w:trHeight w:val="11952" w:hRule="atLeast"/>
        </w:trPr>
        <w:tc>
          <w:tcPr>
            <w:tcW w:w="537" w:type="dxa"/>
            <w:tcBorders>
              <w:top w:val="single" w:color="000000" w:sz="4" w:space="0"/>
              <w:left w:val="single" w:color="000000" w:sz="4" w:space="0"/>
              <w:bottom w:val="single" w:color="000000" w:sz="4" w:space="0"/>
              <w:right w:val="single" w:color="auto" w:sz="4" w:space="0"/>
            </w:tcBorders>
            <w:noWrap w:val="0"/>
            <w:vAlign w:val="top"/>
          </w:tcPr>
          <w:p>
            <w:pPr>
              <w:suppressAutoHyphens/>
              <w:snapToGrid w:val="0"/>
              <w:jc w:val="center"/>
              <w:rPr>
                <w:rFonts w:ascii="宋体" w:hAnsi="宋体" w:eastAsia="宋体" w:cs="宋体"/>
                <w:kern w:val="1"/>
                <w:sz w:val="24"/>
                <w:szCs w:val="24"/>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ascii="宋体" w:hAnsi="宋体" w:eastAsia="宋体" w:cs="宋体"/>
                <w:kern w:val="1"/>
                <w:sz w:val="24"/>
                <w:szCs w:val="24"/>
                <w:u w:val="none"/>
              </w:rPr>
            </w:pPr>
            <w:r>
              <w:rPr>
                <w:rFonts w:hint="eastAsia" w:ascii="宋体" w:hAnsi="宋体" w:eastAsia="宋体" w:cs="宋体"/>
                <w:kern w:val="1"/>
                <w:sz w:val="24"/>
                <w:szCs w:val="24"/>
                <w:u w:val="none"/>
              </w:rPr>
              <w:t>应急保障</w:t>
            </w:r>
          </w:p>
        </w:tc>
        <w:tc>
          <w:tcPr>
            <w:tcW w:w="850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lang w:eastAsia="zh-CN"/>
              </w:rPr>
            </w:pP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1</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应急平台保障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加强突发性地质灾害应急平台建设，保障其语音通信、视频会议、图像显示及预警预报、动态决策、综合协调与应急联动等功能运转高效。</w:t>
            </w:r>
          </w:p>
          <w:p>
            <w:pPr>
              <w:keepNext w:val="0"/>
              <w:keepLines w:val="0"/>
              <w:pageBreakBefore w:val="0"/>
              <w:widowControl w:val="0"/>
              <w:suppressAutoHyphens/>
              <w:kinsoku/>
              <w:wordWrap/>
              <w:overflowPunct/>
              <w:topLinePunct w:val="0"/>
              <w:autoSpaceDE/>
              <w:autoSpaceDN/>
              <w:bidi w:val="0"/>
              <w:adjustRightInd/>
              <w:snapToGrid/>
              <w:spacing w:line="228" w:lineRule="auto"/>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突发性地质灾害应急平台体系建设以市级突发性地质灾害应急平台为枢纽，以</w:t>
            </w:r>
            <w:r>
              <w:rPr>
                <w:rFonts w:hint="eastAsia" w:ascii="宋体" w:hAnsi="宋体" w:cs="宋体"/>
                <w:kern w:val="1"/>
                <w:sz w:val="21"/>
                <w:szCs w:val="21"/>
                <w:u w:val="none"/>
                <w:lang w:val="en-US" w:eastAsia="zh-CN"/>
              </w:rPr>
              <w:t>经开区</w:t>
            </w:r>
            <w:r>
              <w:rPr>
                <w:rFonts w:hint="eastAsia" w:ascii="宋体" w:hAnsi="宋体" w:eastAsia="宋体" w:cs="宋体"/>
                <w:kern w:val="1"/>
                <w:sz w:val="21"/>
                <w:szCs w:val="21"/>
                <w:u w:val="none"/>
              </w:rPr>
              <w:t>突发性地质灾害应急平台为节点，</w:t>
            </w:r>
            <w:r>
              <w:rPr>
                <w:rFonts w:hint="eastAsia" w:ascii="宋体" w:hAnsi="宋体" w:cs="宋体"/>
                <w:color w:val="auto"/>
                <w:kern w:val="1"/>
                <w:sz w:val="21"/>
                <w:szCs w:val="21"/>
                <w:u w:val="none"/>
                <w:lang w:val="en-US" w:eastAsia="zh-CN"/>
              </w:rPr>
              <w:t>镇（街道</w:t>
            </w:r>
            <w:r>
              <w:rPr>
                <w:rFonts w:hint="eastAsia" w:ascii="宋体" w:hAnsi="宋体" w:cs="宋体"/>
                <w:color w:val="C00000"/>
                <w:kern w:val="1"/>
                <w:sz w:val="21"/>
                <w:szCs w:val="21"/>
                <w:u w:val="none"/>
                <w:lang w:val="en-US" w:eastAsia="zh-CN"/>
              </w:rPr>
              <w:t>）</w:t>
            </w:r>
            <w:r>
              <w:rPr>
                <w:rFonts w:hint="eastAsia" w:ascii="宋体" w:hAnsi="宋体" w:eastAsia="宋体" w:cs="宋体"/>
                <w:kern w:val="1"/>
                <w:sz w:val="21"/>
                <w:szCs w:val="21"/>
                <w:u w:val="none"/>
              </w:rPr>
              <w:t>突发性地质灾害应急平台为端点。重点实现风险预警、信息报送、综合研究、决策支持、远程会商、应急指挥等主要功能。</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应急平台建设要突出应急指挥所、数据共享与交换系统、视频会商系统等重点，同时建立健全完善应急调查队伍、调查设备、通讯设备等，配备应急调查车、便携式卫星终端设备，着统一标识的服装等。</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2</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应急队伍、资金、物资、装备保障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加强突发性地质灾害专业应急防治与救灾队伍建设，确保灾害发生后应急防治与救灾力量及时到位。专业应急防治与救灾队伍、乡镇（村、企业、社区）应急救援志愿者组织等，平时要有针对性地开展应急防治与救灾演练，提高应急防治与救灾能力。</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灾害应急防治和救灾所需资金，按职责分工由相关部门提出，经管委会审核批复后列入年度预算予以保障。同时，对遭受中型以上地质灾害的，由相关部门按现行事权、财权划分原则，积极报请上级主管部门争取专项资金给予支持。</w:t>
            </w:r>
          </w:p>
          <w:p>
            <w:pPr>
              <w:keepNext w:val="0"/>
              <w:keepLines w:val="0"/>
              <w:pageBreakBefore w:val="0"/>
              <w:widowControl w:val="0"/>
              <w:suppressAutoHyphens/>
              <w:kinsoku/>
              <w:wordWrap/>
              <w:overflowPunct/>
              <w:topLinePunct w:val="0"/>
              <w:autoSpaceDE/>
              <w:autoSpaceDN/>
              <w:bidi w:val="0"/>
              <w:adjustRightInd/>
              <w:snapToGrid/>
              <w:spacing w:line="228" w:lineRule="auto"/>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地方各级人民政府要储备用于灾民安置、医疗、卫生、生活等必需必要的抢险救灾专用物资。保证抢险救灾物资的供应。</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3</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应急措施保障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管委会根据突发性地质灾害应急处理的需要，可以紧急调集人员、调用物资、交通工具和相关设施、设备，必要时，可以在抢险救灾区域范围内采取交通管制等措施。因救灾、应急治理需要，临时调用单位或个人的物资、设施、设备或者占用其房屋、土地的，事后应及时归还，无法归还或者造成损失的，应当给予相应的补偿。</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4</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应急技术保障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经开区指挥部办公室要合理运用南宁市地质灾害应急专家库和资料库，组织开展应急调查、应急评估、地质灾害趋势预测、地质灾害气象预报预警技术的研究和开发，为突发性地质灾害应急工作提供技术支持和信息保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5</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宣传培训</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经开区本级各有关单位、镇人民政府（街道办事处）应当利用各种媒体和手段，加强公众防灾减灾知识的宣传，对广大干部和群众进行多层次多方位的突发性地质灾害防治知识教育，增强公众的防灾意识和自救能力，同时开展有针对性的应急防治与救灾演练和培训工作。</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lang w:val="en-US" w:eastAsia="zh-CN"/>
              </w:rPr>
              <w:t>6</w:t>
            </w:r>
            <w:r>
              <w:rPr>
                <w:rFonts w:hint="eastAsia" w:ascii="宋体" w:hAnsi="宋体" w:eastAsia="宋体" w:cs="宋体"/>
                <w:kern w:val="1"/>
                <w:sz w:val="21"/>
                <w:szCs w:val="21"/>
                <w:u w:val="none"/>
                <w:lang w:eastAsia="zh-CN"/>
              </w:rPr>
              <w:t>）</w:t>
            </w:r>
            <w:r>
              <w:rPr>
                <w:rFonts w:hint="eastAsia" w:ascii="宋体" w:hAnsi="宋体" w:eastAsia="宋体" w:cs="宋体"/>
                <w:kern w:val="1"/>
                <w:sz w:val="21"/>
                <w:szCs w:val="21"/>
                <w:u w:val="none"/>
              </w:rPr>
              <w:t>监督检查</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经开区指挥部办公室对上述各项突发性地质灾害应急防治保障工作和各部门的工作情况进行有效的督导和检查。</w:t>
            </w:r>
          </w:p>
          <w:p>
            <w:pPr>
              <w:keepNext w:val="0"/>
              <w:keepLines w:val="0"/>
              <w:pageBreakBefore w:val="0"/>
              <w:widowControl w:val="0"/>
              <w:suppressAutoHyphens/>
              <w:kinsoku/>
              <w:wordWrap/>
              <w:overflowPunct/>
              <w:topLinePunct w:val="0"/>
              <w:autoSpaceDE/>
              <w:autoSpaceDN/>
              <w:bidi w:val="0"/>
              <w:adjustRightInd/>
              <w:snapToGrid/>
              <w:spacing w:line="228" w:lineRule="auto"/>
              <w:ind w:firstLine="420" w:firstLineChars="200"/>
              <w:textAlignment w:val="auto"/>
              <w:rPr>
                <w:rFonts w:hint="eastAsia" w:ascii="宋体" w:hAnsi="宋体" w:eastAsia="宋体" w:cs="宋体"/>
                <w:kern w:val="1"/>
                <w:sz w:val="21"/>
                <w:szCs w:val="21"/>
                <w:u w:val="none"/>
              </w:rPr>
            </w:pPr>
            <w:r>
              <w:rPr>
                <w:rFonts w:hint="eastAsia" w:ascii="宋体" w:hAnsi="宋体" w:eastAsia="宋体" w:cs="宋体"/>
                <w:kern w:val="1"/>
                <w:sz w:val="21"/>
                <w:szCs w:val="21"/>
                <w:u w:val="none"/>
              </w:rPr>
              <w:t>管委会组织各部门、各单位负责落实相关责任。</w:t>
            </w:r>
          </w:p>
        </w:tc>
        <w:tc>
          <w:tcPr>
            <w:tcW w:w="803" w:type="dxa"/>
            <w:tcBorders>
              <w:top w:val="single" w:color="000000" w:sz="4" w:space="0"/>
              <w:left w:val="single" w:color="auto" w:sz="4" w:space="0"/>
              <w:bottom w:val="single" w:color="000000" w:sz="4" w:space="0"/>
              <w:right w:val="single" w:color="000000" w:sz="4" w:space="0"/>
            </w:tcBorders>
            <w:noWrap w:val="0"/>
            <w:vAlign w:val="top"/>
          </w:tcPr>
          <w:p>
            <w:pPr>
              <w:suppressAutoHyphens/>
              <w:jc w:val="center"/>
              <w:rPr>
                <w:rFonts w:ascii="Calibri" w:hAnsi="Calibri" w:eastAsia="宋体" w:cs="Times New Roman"/>
                <w:kern w:val="1"/>
                <w:szCs w:val="22"/>
                <w:u w:val="none"/>
              </w:rPr>
            </w:pPr>
          </w:p>
        </w:tc>
      </w:tr>
    </w:tbl>
    <w:p>
      <w:pPr>
        <w:tabs>
          <w:tab w:val="left" w:pos="1949"/>
        </w:tabs>
        <w:bidi w:val="0"/>
        <w:jc w:val="left"/>
        <w:rPr>
          <w:rFonts w:hint="eastAsia" w:ascii="仿宋_GB2312" w:hAnsi="仿宋_GB2312" w:eastAsia="仿宋_GB2312" w:cs="仿宋_GB2312"/>
          <w:sz w:val="32"/>
          <w:szCs w:val="32"/>
          <w:u w:val="none"/>
          <w:lang w:val="en-US" w:eastAsia="zh-CN"/>
        </w:rPr>
      </w:pPr>
      <w:bookmarkStart w:id="0" w:name="_GoBack"/>
      <w:bookmarkEnd w:id="0"/>
    </w:p>
    <w:sectPr>
      <w:headerReference r:id="rId3" w:type="default"/>
      <w:footerReference r:id="rId4" w:type="default"/>
      <w:type w:val="continuous"/>
      <w:pgSz w:w="16838" w:h="11906" w:orient="landscape"/>
      <w:pgMar w:top="1417" w:right="1417"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xGU1m0wEA&#10;AIMDAAAOAAAAAAAAAAEAIAAAADUBAABkcnMvZTJvRG9jLnhtbFBLBQYAAAAABgAGAFkBAAB6BQAA&#10;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YzVhZTY4MDAzOTNlNTQ5Y2E3YzczNzEyNDQ0YjIifQ=="/>
  </w:docVars>
  <w:rsids>
    <w:rsidRoot w:val="76EE0D5B"/>
    <w:rsid w:val="00081FB9"/>
    <w:rsid w:val="00091A4B"/>
    <w:rsid w:val="0017198F"/>
    <w:rsid w:val="004E1B23"/>
    <w:rsid w:val="0050295B"/>
    <w:rsid w:val="00572380"/>
    <w:rsid w:val="00716A0A"/>
    <w:rsid w:val="008D14A0"/>
    <w:rsid w:val="008E2D13"/>
    <w:rsid w:val="009F3BAF"/>
    <w:rsid w:val="00A9788C"/>
    <w:rsid w:val="00B24029"/>
    <w:rsid w:val="00B44F6C"/>
    <w:rsid w:val="00C21B19"/>
    <w:rsid w:val="00C434F9"/>
    <w:rsid w:val="00C51C35"/>
    <w:rsid w:val="00C944CC"/>
    <w:rsid w:val="00D303A0"/>
    <w:rsid w:val="00D427C3"/>
    <w:rsid w:val="00E33B56"/>
    <w:rsid w:val="00EB5F26"/>
    <w:rsid w:val="00EF0ADA"/>
    <w:rsid w:val="016607D9"/>
    <w:rsid w:val="016D2611"/>
    <w:rsid w:val="01722CE5"/>
    <w:rsid w:val="017C0FB4"/>
    <w:rsid w:val="01FB1FDB"/>
    <w:rsid w:val="02067E82"/>
    <w:rsid w:val="026D25D9"/>
    <w:rsid w:val="03143F46"/>
    <w:rsid w:val="034129CB"/>
    <w:rsid w:val="040D7454"/>
    <w:rsid w:val="04122BBE"/>
    <w:rsid w:val="052149E3"/>
    <w:rsid w:val="059B35A8"/>
    <w:rsid w:val="067C7447"/>
    <w:rsid w:val="07096B5B"/>
    <w:rsid w:val="07AB08DF"/>
    <w:rsid w:val="07E1550D"/>
    <w:rsid w:val="095C51BA"/>
    <w:rsid w:val="09ED54F8"/>
    <w:rsid w:val="0B3D7A05"/>
    <w:rsid w:val="0B5F7943"/>
    <w:rsid w:val="0D883527"/>
    <w:rsid w:val="0DE44B0E"/>
    <w:rsid w:val="0E782FEA"/>
    <w:rsid w:val="0F7309D0"/>
    <w:rsid w:val="1001302C"/>
    <w:rsid w:val="10D604CD"/>
    <w:rsid w:val="111B2AC0"/>
    <w:rsid w:val="113A06BD"/>
    <w:rsid w:val="11816B2A"/>
    <w:rsid w:val="122136E2"/>
    <w:rsid w:val="122668E2"/>
    <w:rsid w:val="12937CCC"/>
    <w:rsid w:val="12A36C06"/>
    <w:rsid w:val="12C9251E"/>
    <w:rsid w:val="138A391D"/>
    <w:rsid w:val="13A6492F"/>
    <w:rsid w:val="14442EBE"/>
    <w:rsid w:val="156D155C"/>
    <w:rsid w:val="15B00CD4"/>
    <w:rsid w:val="16346F4D"/>
    <w:rsid w:val="16625746"/>
    <w:rsid w:val="16A50DF5"/>
    <w:rsid w:val="16B62C85"/>
    <w:rsid w:val="17281D7F"/>
    <w:rsid w:val="17BD7DA7"/>
    <w:rsid w:val="18CD78BC"/>
    <w:rsid w:val="19076D5C"/>
    <w:rsid w:val="196A6F96"/>
    <w:rsid w:val="1BD172B9"/>
    <w:rsid w:val="1BFD50DB"/>
    <w:rsid w:val="1C3E378D"/>
    <w:rsid w:val="1C8A79AC"/>
    <w:rsid w:val="1D6B2C7F"/>
    <w:rsid w:val="1D83660F"/>
    <w:rsid w:val="1DB862AE"/>
    <w:rsid w:val="1E0C60D8"/>
    <w:rsid w:val="1E380731"/>
    <w:rsid w:val="1E683B78"/>
    <w:rsid w:val="1E7903BE"/>
    <w:rsid w:val="1E8262BF"/>
    <w:rsid w:val="1FE126E5"/>
    <w:rsid w:val="2002230C"/>
    <w:rsid w:val="211A1FDC"/>
    <w:rsid w:val="214904DC"/>
    <w:rsid w:val="21E6176B"/>
    <w:rsid w:val="22172FC2"/>
    <w:rsid w:val="2364216F"/>
    <w:rsid w:val="23E85E94"/>
    <w:rsid w:val="24FF4012"/>
    <w:rsid w:val="2651176F"/>
    <w:rsid w:val="26D0582E"/>
    <w:rsid w:val="27203755"/>
    <w:rsid w:val="273C7019"/>
    <w:rsid w:val="27695D59"/>
    <w:rsid w:val="28437B3A"/>
    <w:rsid w:val="28C17F8F"/>
    <w:rsid w:val="29487859"/>
    <w:rsid w:val="2A440AF1"/>
    <w:rsid w:val="2B3F133E"/>
    <w:rsid w:val="2BBB2174"/>
    <w:rsid w:val="2C2E5927"/>
    <w:rsid w:val="2C4701DC"/>
    <w:rsid w:val="2C4F1F94"/>
    <w:rsid w:val="2D6D0909"/>
    <w:rsid w:val="2DB362E2"/>
    <w:rsid w:val="2E025895"/>
    <w:rsid w:val="2E156BC2"/>
    <w:rsid w:val="2E165F73"/>
    <w:rsid w:val="30C845BE"/>
    <w:rsid w:val="31B414C3"/>
    <w:rsid w:val="32473255"/>
    <w:rsid w:val="32FE2053"/>
    <w:rsid w:val="33AA6B29"/>
    <w:rsid w:val="3457451F"/>
    <w:rsid w:val="34700719"/>
    <w:rsid w:val="353E37C8"/>
    <w:rsid w:val="3579613E"/>
    <w:rsid w:val="394367EC"/>
    <w:rsid w:val="39797BA9"/>
    <w:rsid w:val="39D8025F"/>
    <w:rsid w:val="3A493768"/>
    <w:rsid w:val="3A7E361D"/>
    <w:rsid w:val="3AF171BB"/>
    <w:rsid w:val="3B302B0A"/>
    <w:rsid w:val="3B951056"/>
    <w:rsid w:val="3BA16527"/>
    <w:rsid w:val="3BBB5A62"/>
    <w:rsid w:val="3E350709"/>
    <w:rsid w:val="3F7C444E"/>
    <w:rsid w:val="3F963D41"/>
    <w:rsid w:val="400C5318"/>
    <w:rsid w:val="40410479"/>
    <w:rsid w:val="40A6350F"/>
    <w:rsid w:val="40BE2CCD"/>
    <w:rsid w:val="419B782D"/>
    <w:rsid w:val="41DC2F73"/>
    <w:rsid w:val="42A35E0A"/>
    <w:rsid w:val="430F476F"/>
    <w:rsid w:val="43654CB3"/>
    <w:rsid w:val="44C01793"/>
    <w:rsid w:val="456B426F"/>
    <w:rsid w:val="45E613B2"/>
    <w:rsid w:val="478F2DC3"/>
    <w:rsid w:val="481C368D"/>
    <w:rsid w:val="48520B5F"/>
    <w:rsid w:val="48837376"/>
    <w:rsid w:val="49672009"/>
    <w:rsid w:val="49B4725B"/>
    <w:rsid w:val="4A747A0D"/>
    <w:rsid w:val="4AAC6B79"/>
    <w:rsid w:val="4B6408EF"/>
    <w:rsid w:val="4B895B4E"/>
    <w:rsid w:val="4D244C83"/>
    <w:rsid w:val="4D3A507C"/>
    <w:rsid w:val="4DBA3139"/>
    <w:rsid w:val="4EAD7BAB"/>
    <w:rsid w:val="4F2511C7"/>
    <w:rsid w:val="4F672994"/>
    <w:rsid w:val="4F837195"/>
    <w:rsid w:val="4F9B2D59"/>
    <w:rsid w:val="4FB604EB"/>
    <w:rsid w:val="524B76C9"/>
    <w:rsid w:val="529D5B05"/>
    <w:rsid w:val="546E4471"/>
    <w:rsid w:val="547B766F"/>
    <w:rsid w:val="54E25FE3"/>
    <w:rsid w:val="552B2279"/>
    <w:rsid w:val="5548314B"/>
    <w:rsid w:val="5560340C"/>
    <w:rsid w:val="55A14B31"/>
    <w:rsid w:val="55C602C0"/>
    <w:rsid w:val="56727D23"/>
    <w:rsid w:val="56CD563B"/>
    <w:rsid w:val="57B73486"/>
    <w:rsid w:val="585C058A"/>
    <w:rsid w:val="586C19C6"/>
    <w:rsid w:val="59695F47"/>
    <w:rsid w:val="598E12DC"/>
    <w:rsid w:val="59F83A7E"/>
    <w:rsid w:val="5A427419"/>
    <w:rsid w:val="5AED2B1F"/>
    <w:rsid w:val="5AFD3F82"/>
    <w:rsid w:val="5BDE19DD"/>
    <w:rsid w:val="5C825DC7"/>
    <w:rsid w:val="5D04687A"/>
    <w:rsid w:val="5D2A28DE"/>
    <w:rsid w:val="5D671882"/>
    <w:rsid w:val="5DED182B"/>
    <w:rsid w:val="5E020FCF"/>
    <w:rsid w:val="5E2439D4"/>
    <w:rsid w:val="5E76097E"/>
    <w:rsid w:val="5EA066D7"/>
    <w:rsid w:val="5F937EF3"/>
    <w:rsid w:val="5F9C5F19"/>
    <w:rsid w:val="5FC12487"/>
    <w:rsid w:val="60507340"/>
    <w:rsid w:val="60AE14F9"/>
    <w:rsid w:val="60BD221D"/>
    <w:rsid w:val="61A04D37"/>
    <w:rsid w:val="61ED12FA"/>
    <w:rsid w:val="62D07149"/>
    <w:rsid w:val="63536ED7"/>
    <w:rsid w:val="63557C20"/>
    <w:rsid w:val="637E4F1F"/>
    <w:rsid w:val="63D0699B"/>
    <w:rsid w:val="6411152C"/>
    <w:rsid w:val="64B17A30"/>
    <w:rsid w:val="65BA340A"/>
    <w:rsid w:val="65D73F05"/>
    <w:rsid w:val="66522279"/>
    <w:rsid w:val="6681699E"/>
    <w:rsid w:val="66F677E8"/>
    <w:rsid w:val="677B672F"/>
    <w:rsid w:val="67C45173"/>
    <w:rsid w:val="69267ACF"/>
    <w:rsid w:val="69F761EB"/>
    <w:rsid w:val="6A350288"/>
    <w:rsid w:val="6A682DD1"/>
    <w:rsid w:val="6BC226E4"/>
    <w:rsid w:val="6C3A6321"/>
    <w:rsid w:val="6C4E16CC"/>
    <w:rsid w:val="6C7104F7"/>
    <w:rsid w:val="6CD132C9"/>
    <w:rsid w:val="6CD74AC7"/>
    <w:rsid w:val="6CEB51AD"/>
    <w:rsid w:val="6D001DC1"/>
    <w:rsid w:val="6D7B13FB"/>
    <w:rsid w:val="6E4426F2"/>
    <w:rsid w:val="6F481FDE"/>
    <w:rsid w:val="6FBE6965"/>
    <w:rsid w:val="70027D64"/>
    <w:rsid w:val="70B77340"/>
    <w:rsid w:val="7159202F"/>
    <w:rsid w:val="717E7029"/>
    <w:rsid w:val="719F15EB"/>
    <w:rsid w:val="71EF65B8"/>
    <w:rsid w:val="729A40F8"/>
    <w:rsid w:val="72AA5858"/>
    <w:rsid w:val="73207FD6"/>
    <w:rsid w:val="73BE13F1"/>
    <w:rsid w:val="743C378B"/>
    <w:rsid w:val="744B0542"/>
    <w:rsid w:val="750A3D9C"/>
    <w:rsid w:val="756E16A9"/>
    <w:rsid w:val="75B4227D"/>
    <w:rsid w:val="763A551F"/>
    <w:rsid w:val="768D11A2"/>
    <w:rsid w:val="76EE0D5B"/>
    <w:rsid w:val="78F84952"/>
    <w:rsid w:val="79B34CD9"/>
    <w:rsid w:val="79E44AB5"/>
    <w:rsid w:val="7B021E35"/>
    <w:rsid w:val="7B826BD6"/>
    <w:rsid w:val="7BF61631"/>
    <w:rsid w:val="7C4573A3"/>
    <w:rsid w:val="7D2B13A2"/>
    <w:rsid w:val="7D6D96D3"/>
    <w:rsid w:val="7DA51EBC"/>
    <w:rsid w:val="7E5900A5"/>
    <w:rsid w:val="7E6F490F"/>
    <w:rsid w:val="7EE92B5C"/>
    <w:rsid w:val="7EF2717C"/>
    <w:rsid w:val="7EFFE09D"/>
    <w:rsid w:val="7F076ED2"/>
    <w:rsid w:val="7F1720C5"/>
    <w:rsid w:val="7F765B60"/>
    <w:rsid w:val="ACF7B89B"/>
    <w:rsid w:val="ADFEA7A2"/>
    <w:rsid w:val="CFD2A3C9"/>
    <w:rsid w:val="E8DB6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Char"/>
    <w:basedOn w:val="9"/>
    <w:link w:val="2"/>
    <w:qFormat/>
    <w:uiPriority w:val="0"/>
    <w:rPr>
      <w:kern w:val="2"/>
      <w:sz w:val="18"/>
      <w:szCs w:val="18"/>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
    <w:name w:val="修订1"/>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18644</Words>
  <Characters>19309</Characters>
  <Lines>132</Lines>
  <Paragraphs>37</Paragraphs>
  <TotalTime>44</TotalTime>
  <ScaleCrop>false</ScaleCrop>
  <LinksUpToDate>false</LinksUpToDate>
  <CharactersWithSpaces>19660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2020-07-03T03:04:00Z</dcterms:created>
  <dc:creator>藏冬</dc:creator>
  <cp:lastModifiedBy>gxxc</cp:lastModifiedBy>
  <cp:lastPrinted>2022-07-05T22:40:00Z</cp:lastPrinted>
  <dcterms:modified xsi:type="dcterms:W3CDTF">2022-08-16T18:02:11Z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94B618848FEA4188BD87451AB8DC177D</vt:lpwstr>
  </property>
</Properties>
</file>