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jc w:val="center"/>
        <w:rPr>
          <w:rFonts w:hint="eastAsia" w:ascii="方正小标宋简体" w:hAnsi="宋体" w:eastAsia="方正小标宋简体" w:cs="宋体"/>
          <w:color w:val="auto"/>
          <w:kern w:val="1"/>
          <w:sz w:val="44"/>
          <w:szCs w:val="44"/>
          <w:u w:val="none"/>
        </w:rPr>
      </w:pPr>
      <w:r>
        <w:rPr>
          <w:rFonts w:hint="eastAsia" w:ascii="方正小标宋简体" w:hAnsi="宋体" w:eastAsia="方正小标宋简体" w:cs="华文中宋"/>
          <w:color w:val="auto"/>
          <w:kern w:val="1"/>
          <w:sz w:val="44"/>
          <w:szCs w:val="44"/>
          <w:u w:val="none"/>
        </w:rPr>
        <w:t>南宁经济技术开发区气象灾害</w:t>
      </w:r>
      <w:r>
        <w:rPr>
          <w:rFonts w:hint="eastAsia" w:ascii="方正小标宋简体" w:hAnsi="宋体" w:eastAsia="方正小标宋简体" w:cs="Times New Roman"/>
          <w:color w:val="auto"/>
          <w:kern w:val="1"/>
          <w:sz w:val="44"/>
          <w:szCs w:val="44"/>
          <w:u w:val="none"/>
        </w:rPr>
        <w:t>应急预案简本</w:t>
      </w:r>
    </w:p>
    <w:tbl>
      <w:tblPr>
        <w:tblStyle w:val="5"/>
        <w:tblW w:w="0" w:type="auto"/>
        <w:jc w:val="center"/>
        <w:tblLayout w:type="fixed"/>
        <w:tblCellMar>
          <w:top w:w="0" w:type="dxa"/>
          <w:left w:w="108" w:type="dxa"/>
          <w:bottom w:w="0" w:type="dxa"/>
          <w:right w:w="108" w:type="dxa"/>
        </w:tblCellMar>
      </w:tblPr>
      <w:tblGrid>
        <w:gridCol w:w="2127"/>
        <w:gridCol w:w="2551"/>
        <w:gridCol w:w="2410"/>
        <w:gridCol w:w="3402"/>
      </w:tblGrid>
      <w:tr>
        <w:tblPrEx>
          <w:tblCellMar>
            <w:top w:w="0" w:type="dxa"/>
            <w:left w:w="108" w:type="dxa"/>
            <w:bottom w:w="0" w:type="dxa"/>
            <w:right w:w="108" w:type="dxa"/>
          </w:tblCellMar>
        </w:tblPrEx>
        <w:trPr>
          <w:trHeight w:val="566" w:hRule="atLeast"/>
          <w:jc w:val="center"/>
        </w:trPr>
        <w:tc>
          <w:tcPr>
            <w:tcW w:w="2127"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编制单位</w:t>
            </w:r>
          </w:p>
        </w:tc>
        <w:tc>
          <w:tcPr>
            <w:tcW w:w="8363"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lang w:val="en-US" w:eastAsia="zh-CN"/>
              </w:rPr>
              <w:t>南宁经济技术开发区应急管理</w:t>
            </w:r>
            <w:r>
              <w:rPr>
                <w:rFonts w:hint="eastAsia" w:ascii="宋体" w:hAnsi="宋体" w:cs="宋体"/>
                <w:b w:val="0"/>
                <w:bCs/>
                <w:color w:val="auto"/>
                <w:kern w:val="1"/>
                <w:szCs w:val="21"/>
                <w:u w:val="none"/>
              </w:rPr>
              <w:t>局</w:t>
            </w:r>
          </w:p>
        </w:tc>
      </w:tr>
      <w:tr>
        <w:tblPrEx>
          <w:tblCellMar>
            <w:top w:w="0" w:type="dxa"/>
            <w:left w:w="108" w:type="dxa"/>
            <w:bottom w:w="0" w:type="dxa"/>
            <w:right w:w="108" w:type="dxa"/>
          </w:tblCellMar>
        </w:tblPrEx>
        <w:trPr>
          <w:trHeight w:val="560" w:hRule="atLeast"/>
          <w:jc w:val="center"/>
        </w:trPr>
        <w:tc>
          <w:tcPr>
            <w:tcW w:w="2127"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单位责任人</w:t>
            </w:r>
          </w:p>
        </w:tc>
        <w:tc>
          <w:tcPr>
            <w:tcW w:w="2551"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eastAsia="宋体" w:cs="宋体"/>
                <w:b w:val="0"/>
                <w:bCs/>
                <w:color w:val="auto"/>
                <w:kern w:val="1"/>
                <w:szCs w:val="21"/>
                <w:u w:val="none"/>
                <w:lang w:eastAsia="zh-CN"/>
              </w:rPr>
            </w:pPr>
            <w:r>
              <w:rPr>
                <w:rFonts w:hint="eastAsia" w:ascii="宋体" w:hAnsi="宋体" w:cs="宋体"/>
                <w:b w:val="0"/>
                <w:bCs/>
                <w:color w:val="auto"/>
                <w:kern w:val="1"/>
                <w:szCs w:val="21"/>
                <w:u w:val="none"/>
                <w:lang w:val="en-US" w:eastAsia="zh-CN"/>
              </w:rPr>
              <w:t>白云飞</w:t>
            </w:r>
          </w:p>
        </w:tc>
        <w:tc>
          <w:tcPr>
            <w:tcW w:w="2410"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联系电话</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default" w:ascii="宋体" w:hAnsi="宋体" w:eastAsia="宋体" w:cs="Times New Roman"/>
                <w:b w:val="0"/>
                <w:bCs/>
                <w:color w:val="FFFFFF"/>
                <w:kern w:val="1"/>
                <w:szCs w:val="21"/>
                <w:u w:val="none"/>
                <w:lang w:val="en-US" w:eastAsia="zh-CN"/>
              </w:rPr>
            </w:pPr>
            <w:r>
              <w:rPr>
                <w:rFonts w:hint="eastAsia" w:ascii="宋体" w:hAnsi="宋体" w:cs="宋体"/>
                <w:b w:val="0"/>
                <w:bCs/>
                <w:color w:val="FFFFFF"/>
                <w:kern w:val="1"/>
                <w:szCs w:val="21"/>
                <w:u w:val="none"/>
                <w:lang w:val="en-US" w:eastAsia="zh-CN"/>
              </w:rPr>
              <w:t>15177120333</w:t>
            </w:r>
          </w:p>
        </w:tc>
      </w:tr>
      <w:tr>
        <w:tblPrEx>
          <w:tblCellMar>
            <w:top w:w="0" w:type="dxa"/>
            <w:left w:w="108" w:type="dxa"/>
            <w:bottom w:w="0" w:type="dxa"/>
            <w:right w:w="108" w:type="dxa"/>
          </w:tblCellMar>
        </w:tblPrEx>
        <w:trPr>
          <w:trHeight w:val="561" w:hRule="atLeast"/>
          <w:jc w:val="center"/>
        </w:trPr>
        <w:tc>
          <w:tcPr>
            <w:tcW w:w="2127"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单位联系人</w:t>
            </w:r>
          </w:p>
        </w:tc>
        <w:tc>
          <w:tcPr>
            <w:tcW w:w="2551"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eastAsia="宋体" w:cs="宋体"/>
                <w:b w:val="0"/>
                <w:bCs/>
                <w:color w:val="auto"/>
                <w:kern w:val="1"/>
                <w:szCs w:val="21"/>
                <w:u w:val="none"/>
                <w:lang w:eastAsia="zh-CN"/>
              </w:rPr>
            </w:pPr>
            <w:r>
              <w:rPr>
                <w:rFonts w:hint="eastAsia" w:ascii="宋体" w:hAnsi="宋体" w:cs="宋体"/>
                <w:b w:val="0"/>
                <w:bCs/>
                <w:color w:val="auto"/>
                <w:kern w:val="1"/>
                <w:szCs w:val="21"/>
                <w:u w:val="none"/>
                <w:lang w:val="en-US" w:eastAsia="zh-CN"/>
              </w:rPr>
              <w:t>黄皓宇</w:t>
            </w:r>
          </w:p>
        </w:tc>
        <w:tc>
          <w:tcPr>
            <w:tcW w:w="2410"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联系电话</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default" w:ascii="宋体" w:hAnsi="宋体" w:eastAsia="宋体" w:cs="Times New Roman"/>
                <w:b w:val="0"/>
                <w:bCs/>
                <w:color w:val="FFFFFF"/>
                <w:kern w:val="1"/>
                <w:szCs w:val="21"/>
                <w:u w:val="none"/>
                <w:lang w:val="en-US" w:eastAsia="zh-CN"/>
              </w:rPr>
            </w:pPr>
            <w:r>
              <w:rPr>
                <w:rFonts w:hint="eastAsia" w:ascii="宋体" w:hAnsi="宋体" w:cs="Times New Roman"/>
                <w:b w:val="0"/>
                <w:bCs/>
                <w:color w:val="FFFFFF"/>
                <w:kern w:val="1"/>
                <w:szCs w:val="21"/>
                <w:u w:val="none"/>
                <w:lang w:val="en-US" w:eastAsia="zh-CN"/>
              </w:rPr>
              <w:t>18172395733</w:t>
            </w:r>
          </w:p>
        </w:tc>
      </w:tr>
    </w:tbl>
    <w:p>
      <w:pPr>
        <w:suppressAutoHyphens/>
        <w:snapToGrid w:val="0"/>
        <w:rPr>
          <w:rFonts w:hint="eastAsia" w:ascii="宋体" w:hAnsi="宋体" w:cs="宋体"/>
          <w:b w:val="0"/>
          <w:bCs/>
          <w:color w:val="auto"/>
          <w:kern w:val="1"/>
          <w:szCs w:val="21"/>
          <w:u w:val="none"/>
        </w:rPr>
      </w:pPr>
    </w:p>
    <w:tbl>
      <w:tblPr>
        <w:tblStyle w:val="5"/>
        <w:tblW w:w="10554" w:type="dxa"/>
        <w:jc w:val="center"/>
        <w:tblLayout w:type="fixed"/>
        <w:tblCellMar>
          <w:top w:w="0" w:type="dxa"/>
          <w:left w:w="108" w:type="dxa"/>
          <w:bottom w:w="0" w:type="dxa"/>
          <w:right w:w="108" w:type="dxa"/>
        </w:tblCellMar>
      </w:tblPr>
      <w:tblGrid>
        <w:gridCol w:w="537"/>
        <w:gridCol w:w="709"/>
        <w:gridCol w:w="1509"/>
        <w:gridCol w:w="617"/>
        <w:gridCol w:w="2315"/>
        <w:gridCol w:w="520"/>
        <w:gridCol w:w="1016"/>
        <w:gridCol w:w="329"/>
        <w:gridCol w:w="142"/>
        <w:gridCol w:w="1518"/>
        <w:gridCol w:w="298"/>
        <w:gridCol w:w="241"/>
        <w:gridCol w:w="803"/>
      </w:tblGrid>
      <w:tr>
        <w:tblPrEx>
          <w:tblCellMar>
            <w:top w:w="0" w:type="dxa"/>
            <w:left w:w="108" w:type="dxa"/>
            <w:bottom w:w="0" w:type="dxa"/>
            <w:right w:w="108" w:type="dxa"/>
          </w:tblCellMar>
        </w:tblPrEx>
        <w:trPr>
          <w:cantSplit/>
          <w:trHeight w:val="518" w:hRule="atLeast"/>
          <w:jc w:val="center"/>
        </w:trPr>
        <w:tc>
          <w:tcPr>
            <w:tcW w:w="537" w:type="dxa"/>
            <w:vMerge w:val="restart"/>
            <w:tcBorders>
              <w:top w:val="single" w:color="000000" w:sz="4" w:space="0"/>
              <w:left w:val="single" w:color="000000" w:sz="4" w:space="0"/>
              <w:bottom w:val="single" w:color="000000" w:sz="4" w:space="0"/>
            </w:tcBorders>
            <w:noWrap w:val="0"/>
            <w:vAlign w:val="top"/>
          </w:tcPr>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组</w:t>
            </w: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织</w:t>
            </w: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系</w:t>
            </w: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统</w:t>
            </w: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织</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机</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构</w:t>
            </w:r>
          </w:p>
        </w:tc>
        <w:tc>
          <w:tcPr>
            <w:tcW w:w="212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名称</w:t>
            </w:r>
          </w:p>
        </w:tc>
        <w:tc>
          <w:tcPr>
            <w:tcW w:w="2315"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职务</w:t>
            </w:r>
          </w:p>
        </w:tc>
        <w:tc>
          <w:tcPr>
            <w:tcW w:w="153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姓名</w:t>
            </w:r>
          </w:p>
        </w:tc>
        <w:tc>
          <w:tcPr>
            <w:tcW w:w="1989"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联系电话</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备注</w:t>
            </w:r>
          </w:p>
        </w:tc>
      </w:tr>
      <w:tr>
        <w:tblPrEx>
          <w:tblCellMar>
            <w:top w:w="0" w:type="dxa"/>
            <w:left w:w="108" w:type="dxa"/>
            <w:bottom w:w="0" w:type="dxa"/>
            <w:right w:w="108" w:type="dxa"/>
          </w:tblCellMar>
        </w:tblPrEx>
        <w:trPr>
          <w:cantSplit/>
          <w:trHeight w:val="572"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2126" w:type="dxa"/>
            <w:gridSpan w:val="2"/>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领导机构</w:t>
            </w:r>
          </w:p>
        </w:tc>
        <w:tc>
          <w:tcPr>
            <w:tcW w:w="2315"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指挥长</w:t>
            </w:r>
          </w:p>
        </w:tc>
        <w:tc>
          <w:tcPr>
            <w:tcW w:w="153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何尚汉</w:t>
            </w:r>
          </w:p>
        </w:tc>
        <w:tc>
          <w:tcPr>
            <w:tcW w:w="1989"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18277178168</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566"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2126" w:type="dxa"/>
            <w:gridSpan w:val="2"/>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2315"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副指挥长</w:t>
            </w:r>
          </w:p>
        </w:tc>
        <w:tc>
          <w:tcPr>
            <w:tcW w:w="153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eastAsia="宋体" w:cs="宋体"/>
                <w:b w:val="0"/>
                <w:bCs/>
                <w:color w:val="auto"/>
                <w:kern w:val="1"/>
                <w:szCs w:val="21"/>
                <w:u w:val="none"/>
                <w:lang w:eastAsia="zh-CN"/>
              </w:rPr>
            </w:pPr>
            <w:r>
              <w:rPr>
                <w:rFonts w:hint="eastAsia" w:ascii="宋体" w:hAnsi="宋体" w:cs="宋体"/>
                <w:b w:val="0"/>
                <w:bCs/>
                <w:color w:val="auto"/>
                <w:kern w:val="1"/>
                <w:szCs w:val="21"/>
                <w:u w:val="none"/>
                <w:lang w:val="en-US" w:eastAsia="zh-CN"/>
              </w:rPr>
              <w:t>杨贵山</w:t>
            </w:r>
          </w:p>
        </w:tc>
        <w:tc>
          <w:tcPr>
            <w:tcW w:w="1989"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default" w:ascii="宋体" w:hAnsi="宋体" w:eastAsia="宋体" w:cs="宋体"/>
                <w:b w:val="0"/>
                <w:bCs/>
                <w:color w:val="FFFFFF"/>
                <w:kern w:val="1"/>
                <w:szCs w:val="21"/>
                <w:u w:val="none"/>
                <w:lang w:val="en-US" w:eastAsia="zh-CN"/>
              </w:rPr>
            </w:pPr>
            <w:r>
              <w:rPr>
                <w:rFonts w:hint="eastAsia" w:ascii="宋体" w:hAnsi="宋体" w:cs="宋体"/>
                <w:b w:val="0"/>
                <w:bCs/>
                <w:color w:val="FFFFFF"/>
                <w:kern w:val="1"/>
                <w:szCs w:val="21"/>
                <w:u w:val="none"/>
                <w:lang w:val="en-US" w:eastAsia="zh-CN"/>
              </w:rPr>
              <w:t>15878171177</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212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日常工作</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机构</w:t>
            </w:r>
          </w:p>
        </w:tc>
        <w:tc>
          <w:tcPr>
            <w:tcW w:w="2315"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办公室主任</w:t>
            </w:r>
          </w:p>
        </w:tc>
        <w:tc>
          <w:tcPr>
            <w:tcW w:w="153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eastAsia="宋体" w:cs="宋体"/>
                <w:b w:val="0"/>
                <w:bCs/>
                <w:color w:val="auto"/>
                <w:kern w:val="1"/>
                <w:szCs w:val="21"/>
                <w:u w:val="none"/>
                <w:lang w:eastAsia="zh-CN"/>
              </w:rPr>
            </w:pPr>
            <w:r>
              <w:rPr>
                <w:rFonts w:hint="eastAsia" w:ascii="宋体" w:hAnsi="宋体" w:cs="宋体"/>
                <w:b w:val="0"/>
                <w:bCs/>
                <w:color w:val="auto"/>
                <w:kern w:val="1"/>
                <w:szCs w:val="21"/>
                <w:u w:val="none"/>
                <w:lang w:val="en-US" w:eastAsia="zh-CN"/>
              </w:rPr>
              <w:t>白云飞</w:t>
            </w:r>
          </w:p>
        </w:tc>
        <w:tc>
          <w:tcPr>
            <w:tcW w:w="1989"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15177120333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38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2126" w:type="dxa"/>
            <w:gridSpan w:val="2"/>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联席会议</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制度</w:t>
            </w: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工作制度</w:t>
            </w:r>
          </w:p>
        </w:tc>
      </w:tr>
      <w:tr>
        <w:tblPrEx>
          <w:tblCellMar>
            <w:top w:w="0" w:type="dxa"/>
            <w:left w:w="108" w:type="dxa"/>
            <w:bottom w:w="0" w:type="dxa"/>
            <w:right w:w="108" w:type="dxa"/>
          </w:tblCellMar>
        </w:tblPrEx>
        <w:trPr>
          <w:cantSplit/>
          <w:trHeight w:val="1169"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2126"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 xml:space="preserve">   适时组织经开区气象灾害应急指挥部成员单位会商气象灾害发展趋势，分析研判气象灾害影响程度和范围。</w:t>
            </w:r>
          </w:p>
        </w:tc>
      </w:tr>
      <w:tr>
        <w:tblPrEx>
          <w:tblCellMar>
            <w:top w:w="0" w:type="dxa"/>
            <w:left w:w="108" w:type="dxa"/>
            <w:bottom w:w="0" w:type="dxa"/>
            <w:right w:w="108" w:type="dxa"/>
          </w:tblCellMar>
        </w:tblPrEx>
        <w:trPr>
          <w:cantSplit/>
          <w:trHeight w:val="624"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成员机构</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tc>
        <w:tc>
          <w:tcPr>
            <w:tcW w:w="4961" w:type="dxa"/>
            <w:gridSpan w:val="4"/>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成员名单</w:t>
            </w: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责任人</w:t>
            </w:r>
          </w:p>
        </w:tc>
        <w:tc>
          <w:tcPr>
            <w:tcW w:w="181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联系电话</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备注</w:t>
            </w:r>
          </w:p>
        </w:tc>
      </w:tr>
      <w:tr>
        <w:tblPrEx>
          <w:tblCellMar>
            <w:top w:w="0" w:type="dxa"/>
            <w:left w:w="108" w:type="dxa"/>
            <w:bottom w:w="0" w:type="dxa"/>
            <w:right w:w="108" w:type="dxa"/>
          </w:tblCellMar>
        </w:tblPrEx>
        <w:trPr>
          <w:cantSplit/>
          <w:trHeight w:val="1002"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4961" w:type="dxa"/>
            <w:gridSpan w:val="4"/>
            <w:vMerge w:val="restart"/>
            <w:tcBorders>
              <w:top w:val="single" w:color="000000" w:sz="4" w:space="0"/>
              <w:left w:val="single" w:color="000000" w:sz="4" w:space="0"/>
              <w:bottom w:val="single" w:color="000000" w:sz="4" w:space="0"/>
            </w:tcBorders>
            <w:noWrap w:val="0"/>
            <w:vAlign w:val="center"/>
          </w:tcPr>
          <w:p>
            <w:pPr>
              <w:suppressAutoHyphens/>
              <w:snapToGrid w:val="0"/>
              <w:ind w:firstLine="210" w:firstLineChars="1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成员从应急管理局</w:t>
            </w:r>
            <w:r>
              <w:rPr>
                <w:rFonts w:hint="eastAsia" w:ascii="宋体" w:hAnsi="宋体" w:cs="宋体"/>
                <w:b w:val="0"/>
                <w:bCs/>
                <w:color w:val="auto"/>
                <w:kern w:val="1"/>
                <w:szCs w:val="21"/>
                <w:u w:val="none"/>
                <w:lang w:eastAsia="zh-CN"/>
              </w:rPr>
              <w:t>、</w:t>
            </w:r>
            <w:r>
              <w:rPr>
                <w:rFonts w:hint="eastAsia" w:ascii="宋体" w:hAnsi="宋体" w:cs="宋体"/>
                <w:b w:val="0"/>
                <w:bCs/>
                <w:color w:val="auto"/>
                <w:kern w:val="1"/>
                <w:szCs w:val="21"/>
                <w:u w:val="none"/>
              </w:rPr>
              <w:t>社会事业局、吴圩镇政府、那洪街道办、金凯街道办抽调人员组成。辖区内突发气象灾害事件时，根据发生情况，由经开区处置气象灾害工作领导小组牵头，吴圩镇政府、那洪街道办、金凯街道办、社区居委会、辖区各单位联合组成气象灾害应急处理分队采取措施应对气象灾害。应急分队现场指挥部设立在经开区</w:t>
            </w:r>
            <w:r>
              <w:rPr>
                <w:rFonts w:hint="eastAsia" w:ascii="宋体" w:hAnsi="宋体" w:cs="宋体"/>
                <w:b w:val="0"/>
                <w:bCs/>
                <w:color w:val="auto"/>
                <w:kern w:val="1"/>
                <w:szCs w:val="21"/>
                <w:u w:val="none"/>
                <w:lang w:val="en-US" w:eastAsia="zh-CN"/>
              </w:rPr>
              <w:t>应急管理</w:t>
            </w:r>
            <w:r>
              <w:rPr>
                <w:rFonts w:hint="eastAsia" w:ascii="宋体" w:hAnsi="宋体" w:cs="宋体"/>
                <w:b w:val="0"/>
                <w:bCs/>
                <w:color w:val="auto"/>
                <w:kern w:val="1"/>
                <w:szCs w:val="21"/>
                <w:u w:val="none"/>
              </w:rPr>
              <w:t>局，应急分队指挥部部长由</w:t>
            </w:r>
            <w:r>
              <w:rPr>
                <w:rFonts w:hint="eastAsia" w:ascii="宋体" w:hAnsi="宋体" w:cs="宋体"/>
                <w:b w:val="0"/>
                <w:bCs/>
                <w:color w:val="auto"/>
                <w:kern w:val="1"/>
                <w:szCs w:val="21"/>
                <w:u w:val="none"/>
                <w:lang w:val="en-US" w:eastAsia="zh-CN"/>
              </w:rPr>
              <w:t>应急管理</w:t>
            </w:r>
            <w:r>
              <w:rPr>
                <w:rFonts w:hint="eastAsia" w:ascii="宋体" w:hAnsi="宋体" w:cs="宋体"/>
                <w:b w:val="0"/>
                <w:bCs/>
                <w:color w:val="auto"/>
                <w:kern w:val="1"/>
                <w:szCs w:val="21"/>
                <w:u w:val="none"/>
              </w:rPr>
              <w:t>局局长担任，应急分队</w:t>
            </w:r>
            <w:r>
              <w:rPr>
                <w:rFonts w:hint="eastAsia" w:ascii="宋体" w:hAnsi="宋体" w:cs="宋体"/>
                <w:b w:val="0"/>
                <w:bCs/>
                <w:color w:val="auto"/>
                <w:kern w:val="1"/>
                <w:szCs w:val="21"/>
                <w:u w:val="none"/>
                <w:lang w:val="en-US" w:eastAsia="zh-CN"/>
              </w:rPr>
              <w:t>成员</w:t>
            </w:r>
            <w:r>
              <w:rPr>
                <w:rFonts w:hint="eastAsia" w:ascii="宋体" w:hAnsi="宋体" w:cs="宋体"/>
                <w:b w:val="0"/>
                <w:bCs/>
                <w:color w:val="auto"/>
                <w:kern w:val="1"/>
                <w:szCs w:val="21"/>
                <w:u w:val="none"/>
              </w:rPr>
              <w:t>由：经开区</w:t>
            </w:r>
            <w:r>
              <w:rPr>
                <w:rFonts w:hint="eastAsia" w:ascii="宋体" w:hAnsi="宋体" w:cs="宋体"/>
                <w:b w:val="0"/>
                <w:bCs/>
                <w:color w:val="auto"/>
                <w:kern w:val="1"/>
                <w:szCs w:val="21"/>
                <w:u w:val="none"/>
                <w:lang w:val="en-US" w:eastAsia="zh-CN"/>
              </w:rPr>
              <w:t>应急管理局副局长、</w:t>
            </w:r>
            <w:r>
              <w:rPr>
                <w:rFonts w:hint="eastAsia" w:ascii="宋体" w:hAnsi="宋体" w:cs="宋体"/>
                <w:b w:val="0"/>
                <w:bCs/>
                <w:color w:val="auto"/>
                <w:kern w:val="1"/>
                <w:szCs w:val="21"/>
                <w:u w:val="none"/>
              </w:rPr>
              <w:t>社会事业局副局长 、吴圩镇人民政府副镇长、那洪街道办事处副主任</w:t>
            </w:r>
            <w:r>
              <w:rPr>
                <w:rFonts w:hint="eastAsia" w:ascii="宋体" w:hAnsi="宋体" w:cs="宋体"/>
                <w:b w:val="0"/>
                <w:bCs/>
                <w:color w:val="auto"/>
                <w:kern w:val="1"/>
                <w:szCs w:val="21"/>
                <w:u w:val="none"/>
                <w:lang w:eastAsia="zh-CN"/>
              </w:rPr>
              <w:t>、</w:t>
            </w:r>
            <w:r>
              <w:rPr>
                <w:rFonts w:hint="eastAsia" w:ascii="宋体" w:hAnsi="宋体" w:cs="宋体"/>
                <w:b w:val="0"/>
                <w:bCs/>
                <w:color w:val="auto"/>
                <w:kern w:val="1"/>
                <w:szCs w:val="21"/>
                <w:u w:val="none"/>
              </w:rPr>
              <w:t>金凯街道办事处副主任组成。</w:t>
            </w: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eastAsia="宋体" w:cs="宋体"/>
                <w:b w:val="0"/>
                <w:bCs/>
                <w:color w:val="auto"/>
                <w:kern w:val="1"/>
                <w:szCs w:val="21"/>
                <w:u w:val="none"/>
                <w:lang w:eastAsia="zh-CN"/>
              </w:rPr>
            </w:pPr>
            <w:r>
              <w:rPr>
                <w:rFonts w:hint="eastAsia" w:ascii="宋体" w:hAnsi="宋体" w:cs="宋体"/>
                <w:b w:val="0"/>
                <w:bCs/>
                <w:color w:val="auto"/>
                <w:kern w:val="1"/>
                <w:szCs w:val="21"/>
                <w:u w:val="none"/>
                <w:lang w:val="en-US" w:eastAsia="zh-CN"/>
              </w:rPr>
              <w:t>白云飞</w:t>
            </w:r>
          </w:p>
        </w:tc>
        <w:tc>
          <w:tcPr>
            <w:tcW w:w="181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15177120333</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978"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4961" w:type="dxa"/>
            <w:gridSpan w:val="4"/>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杨  清</w:t>
            </w:r>
          </w:p>
        </w:tc>
        <w:tc>
          <w:tcPr>
            <w:tcW w:w="181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13878183611</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003"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4961" w:type="dxa"/>
            <w:gridSpan w:val="4"/>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叶祖莲</w:t>
            </w:r>
          </w:p>
        </w:tc>
        <w:tc>
          <w:tcPr>
            <w:tcW w:w="1816" w:type="dxa"/>
            <w:gridSpan w:val="2"/>
            <w:tcBorders>
              <w:top w:val="single" w:color="000000" w:sz="4" w:space="0"/>
              <w:left w:val="single" w:color="000000" w:sz="4" w:space="0"/>
              <w:bottom w:val="single" w:color="auto"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13878797328</w:t>
            </w:r>
          </w:p>
        </w:tc>
        <w:tc>
          <w:tcPr>
            <w:tcW w:w="1044" w:type="dxa"/>
            <w:gridSpan w:val="2"/>
            <w:tcBorders>
              <w:top w:val="single" w:color="000000" w:sz="4" w:space="0"/>
              <w:left w:val="single" w:color="000000" w:sz="4" w:space="0"/>
              <w:bottom w:val="single" w:color="auto"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034"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4961" w:type="dxa"/>
            <w:gridSpan w:val="4"/>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罗治国</w:t>
            </w:r>
          </w:p>
        </w:tc>
        <w:tc>
          <w:tcPr>
            <w:tcW w:w="1816" w:type="dxa"/>
            <w:gridSpan w:val="2"/>
            <w:tcBorders>
              <w:top w:val="single" w:color="auto"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13397778777</w:t>
            </w:r>
          </w:p>
        </w:tc>
        <w:tc>
          <w:tcPr>
            <w:tcW w:w="1044" w:type="dxa"/>
            <w:gridSpan w:val="2"/>
            <w:tcBorders>
              <w:top w:val="single" w:color="auto" w:sz="4" w:space="0"/>
              <w:left w:val="single" w:color="000000" w:sz="4" w:space="0"/>
              <w:bottom w:val="single" w:color="auto"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076"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4961" w:type="dxa"/>
            <w:gridSpan w:val="4"/>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487" w:type="dxa"/>
            <w:gridSpan w:val="3"/>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陈学翔</w:t>
            </w:r>
          </w:p>
        </w:tc>
        <w:tc>
          <w:tcPr>
            <w:tcW w:w="1816"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FFFFFF"/>
                <w:kern w:val="1"/>
                <w:szCs w:val="21"/>
                <w:u w:val="none"/>
              </w:rPr>
            </w:pPr>
            <w:r>
              <w:rPr>
                <w:rFonts w:hint="eastAsia" w:ascii="宋体" w:hAnsi="宋体" w:cs="宋体"/>
                <w:b w:val="0"/>
                <w:bCs/>
                <w:color w:val="FFFFFF"/>
                <w:kern w:val="1"/>
                <w:szCs w:val="21"/>
                <w:u w:val="none"/>
              </w:rPr>
              <w:t>13507882818</w:t>
            </w:r>
          </w:p>
        </w:tc>
        <w:tc>
          <w:tcPr>
            <w:tcW w:w="1044" w:type="dxa"/>
            <w:gridSpan w:val="2"/>
            <w:tcBorders>
              <w:top w:val="single" w:color="auto"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489" w:hRule="atLeast"/>
          <w:jc w:val="center"/>
        </w:trPr>
        <w:tc>
          <w:tcPr>
            <w:tcW w:w="537"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急</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置</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急</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置</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急</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置</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急</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置</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预警准备</w:t>
            </w:r>
          </w:p>
        </w:tc>
        <w:tc>
          <w:tcPr>
            <w:tcW w:w="9308" w:type="dxa"/>
            <w:gridSpan w:val="11"/>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预警准备措施</w:t>
            </w:r>
          </w:p>
        </w:tc>
      </w:tr>
      <w:tr>
        <w:tblPrEx>
          <w:tblCellMar>
            <w:top w:w="0" w:type="dxa"/>
            <w:left w:w="108" w:type="dxa"/>
            <w:bottom w:w="0" w:type="dxa"/>
            <w:right w:w="108" w:type="dxa"/>
          </w:tblCellMar>
        </w:tblPrEx>
        <w:trPr>
          <w:cantSplit/>
          <w:trHeight w:val="1699"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9308" w:type="dxa"/>
            <w:gridSpan w:val="11"/>
            <w:tcBorders>
              <w:top w:val="single" w:color="000000" w:sz="4" w:space="0"/>
              <w:left w:val="single" w:color="000000" w:sz="4" w:space="0"/>
              <w:bottom w:val="single" w:color="000000" w:sz="4" w:space="0"/>
              <w:right w:val="single" w:color="000000" w:sz="4" w:space="0"/>
            </w:tcBorders>
            <w:noWrap w:val="0"/>
            <w:vAlign w:val="top"/>
          </w:tcPr>
          <w:p>
            <w:pPr>
              <w:widowControl/>
              <w:suppressAutoHyphens/>
              <w:snapToGrid w:val="0"/>
              <w:ind w:firstLine="210" w:firstLineChars="100"/>
              <w:rPr>
                <w:rFonts w:hint="eastAsia" w:ascii="宋体" w:hAnsi="宋体" w:cs="宋体"/>
                <w:b w:val="0"/>
                <w:bCs/>
                <w:color w:val="auto"/>
                <w:kern w:val="1"/>
                <w:szCs w:val="21"/>
                <w:u w:val="none"/>
              </w:rPr>
            </w:pPr>
          </w:p>
          <w:p>
            <w:pPr>
              <w:widowControl/>
              <w:suppressAutoHyphens/>
              <w:snapToGrid w:val="0"/>
              <w:ind w:firstLine="210" w:firstLineChars="1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1.领导小组各成员单位要按照职责分工，做好有关应急准备工作。气防办要做好应急准备工作的检查、督促和指导，并及时将准备情况报告气象灾害应急领导小组。</w:t>
            </w:r>
          </w:p>
          <w:p>
            <w:pPr>
              <w:suppressAutoHyphens/>
              <w:snapToGrid w:val="0"/>
              <w:ind w:firstLine="210" w:firstLineChars="10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2.各有关部门和社会团体要按照气象灾害预警信号及防御指南，积极采取措施防御和避免气象灾害的影响</w:t>
            </w:r>
          </w:p>
        </w:tc>
      </w:tr>
      <w:tr>
        <w:tblPrEx>
          <w:tblCellMar>
            <w:top w:w="0" w:type="dxa"/>
            <w:left w:w="108" w:type="dxa"/>
            <w:bottom w:w="0" w:type="dxa"/>
            <w:right w:w="108" w:type="dxa"/>
          </w:tblCellMar>
        </w:tblPrEx>
        <w:trPr>
          <w:cantSplit/>
          <w:trHeight w:val="37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分级</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响应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机制</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分级</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响应</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机制</w:t>
            </w:r>
          </w:p>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等级</w:t>
            </w:r>
          </w:p>
        </w:tc>
        <w:tc>
          <w:tcPr>
            <w:tcW w:w="6996" w:type="dxa"/>
            <w:gridSpan w:val="9"/>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标准及发布</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备注</w:t>
            </w:r>
          </w:p>
        </w:tc>
      </w:tr>
      <w:tr>
        <w:tblPrEx>
          <w:tblCellMar>
            <w:top w:w="0" w:type="dxa"/>
            <w:left w:w="108" w:type="dxa"/>
            <w:bottom w:w="0" w:type="dxa"/>
            <w:right w:w="108" w:type="dxa"/>
          </w:tblCellMar>
        </w:tblPrEx>
        <w:trPr>
          <w:cantSplit/>
          <w:trHeight w:val="4136"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特别重大气象灾害预警（I级）</w:t>
            </w:r>
          </w:p>
        </w:tc>
        <w:tc>
          <w:tcPr>
            <w:tcW w:w="6996" w:type="dxa"/>
            <w:gridSpan w:val="9"/>
            <w:tcBorders>
              <w:top w:val="single" w:color="000000" w:sz="4" w:space="0"/>
              <w:left w:val="single" w:color="000000" w:sz="4" w:space="0"/>
              <w:bottom w:val="single" w:color="000000" w:sz="4" w:space="0"/>
            </w:tcBorders>
            <w:noWrap w:val="0"/>
            <w:vAlign w:val="center"/>
          </w:tcPr>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（1）特大暴雨、大雪、龙卷风、台风等极端天气气候事件影响重要城市和50平方公里以上较大区域，造成30人以上死亡，或造成5000万元以上直接经济损失的气象灾害。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（2）全区围内将出现极端天气气候事件或极强灾害性天气过程，并会造成特大人员伤亡和巨大经济损失的气象灾害。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（3）在市区发生的可能对经开区辖区经济社会产生重大影响的极端天气气候事件。</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（4）在本辖区行政区域内，市气象局监测或预报预警出现气象灾害红色预警信号等级的天气，可能直接造成人员死亡或对经济社会及群众生产、生活产生严重影响。</w:t>
            </w:r>
          </w:p>
          <w:p>
            <w:pPr>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Ⅰ级预警由市突发公共事件应急领导小组决定启动，并按程序报上级气象灾害应急领导小组。</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2901"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spacing w:val="2"/>
                <w:kern w:val="1"/>
                <w:szCs w:val="21"/>
                <w:u w:val="none"/>
              </w:rPr>
            </w:pPr>
            <w:r>
              <w:rPr>
                <w:rFonts w:hint="eastAsia" w:ascii="宋体" w:hAnsi="宋体" w:cs="宋体"/>
                <w:b w:val="0"/>
                <w:bCs/>
                <w:color w:val="auto"/>
                <w:kern w:val="1"/>
                <w:szCs w:val="21"/>
                <w:u w:val="none"/>
              </w:rPr>
              <w:t>重大气象灾害预警（II级）</w:t>
            </w:r>
          </w:p>
        </w:tc>
        <w:tc>
          <w:tcPr>
            <w:tcW w:w="6996" w:type="dxa"/>
            <w:gridSpan w:val="9"/>
            <w:tcBorders>
              <w:top w:val="single" w:color="000000" w:sz="4" w:space="0"/>
              <w:left w:val="single" w:color="000000" w:sz="4" w:space="0"/>
              <w:bottom w:val="single" w:color="000000" w:sz="4" w:space="0"/>
            </w:tcBorders>
            <w:noWrap w:val="0"/>
            <w:vAlign w:val="top"/>
          </w:tcPr>
          <w:p>
            <w:pPr>
              <w:widowControl/>
              <w:suppressAutoHyphens/>
              <w:snapToGrid w:val="0"/>
              <w:spacing w:line="288" w:lineRule="auto"/>
              <w:ind w:firstLine="428"/>
              <w:rPr>
                <w:rFonts w:hint="eastAsia" w:ascii="宋体" w:hAnsi="宋体" w:cs="宋体"/>
                <w:b w:val="0"/>
                <w:bCs/>
                <w:color w:val="auto"/>
                <w:spacing w:val="2"/>
                <w:kern w:val="1"/>
                <w:szCs w:val="21"/>
                <w:u w:val="none"/>
              </w:rPr>
            </w:pPr>
            <w:r>
              <w:rPr>
                <w:rFonts w:hint="eastAsia" w:ascii="宋体" w:hAnsi="宋体" w:cs="宋体"/>
                <w:b w:val="0"/>
                <w:bCs/>
                <w:color w:val="auto"/>
                <w:spacing w:val="2"/>
                <w:kern w:val="1"/>
                <w:szCs w:val="21"/>
                <w:u w:val="none"/>
              </w:rPr>
              <w:t>（1）暴雨、冰雹、龙卷风、大雪、寒潮、大风和台风等造成</w:t>
            </w:r>
          </w:p>
          <w:p>
            <w:pPr>
              <w:widowControl/>
              <w:suppressAutoHyphens/>
              <w:snapToGrid w:val="0"/>
              <w:spacing w:line="288" w:lineRule="auto"/>
              <w:rPr>
                <w:rFonts w:hint="eastAsia" w:ascii="宋体" w:hAnsi="宋体" w:cs="宋体"/>
                <w:b w:val="0"/>
                <w:bCs/>
                <w:color w:val="auto"/>
                <w:kern w:val="1"/>
                <w:szCs w:val="21"/>
                <w:u w:val="none"/>
              </w:rPr>
            </w:pPr>
            <w:r>
              <w:rPr>
                <w:rFonts w:hint="eastAsia" w:ascii="宋体" w:hAnsi="宋体" w:cs="宋体"/>
                <w:b w:val="0"/>
                <w:bCs/>
                <w:color w:val="auto"/>
                <w:spacing w:val="2"/>
                <w:kern w:val="1"/>
                <w:szCs w:val="21"/>
                <w:u w:val="none"/>
              </w:rPr>
              <w:t>10人</w:t>
            </w:r>
            <w:r>
              <w:rPr>
                <w:rFonts w:hint="eastAsia" w:ascii="宋体" w:hAnsi="宋体" w:cs="宋体"/>
                <w:b w:val="0"/>
                <w:bCs/>
                <w:color w:val="auto"/>
                <w:kern w:val="1"/>
                <w:szCs w:val="21"/>
                <w:u w:val="none"/>
              </w:rPr>
              <w:t>以上、30人以下死亡，或造成1000万元以上、5000万元以下直接经济损失的气象灾害。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（2）对社会、经济及群众生产、生活等造成严重影响的高温、热浪、干热风、干旱、大雾、低温、霜冻、雷电、下击暴流等气象灾害。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（3）因各种气象原因，造成公路网线路连续封闭12小时以上。</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II级预警由市突发公共事件应急领导小组决定启动，并按程序报自治区气象灾害应急领导小组。</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265"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较大气象灾害预警（III级）</w:t>
            </w:r>
          </w:p>
        </w:tc>
        <w:tc>
          <w:tcPr>
            <w:tcW w:w="6996" w:type="dxa"/>
            <w:gridSpan w:val="9"/>
            <w:tcBorders>
              <w:top w:val="single" w:color="000000" w:sz="4" w:space="0"/>
              <w:left w:val="single" w:color="000000" w:sz="4" w:space="0"/>
              <w:bottom w:val="single" w:color="000000" w:sz="4" w:space="0"/>
            </w:tcBorders>
            <w:noWrap w:val="0"/>
            <w:vAlign w:val="top"/>
          </w:tcPr>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因极端天气气候事件造成3人以上、10人以下死亡，或造成100万元以上、1000万元以下直接经济损失的气象灾害。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III级预警由市气象灾害应急领导小组决定启动。</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127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一般气象灾害预警（IV级）四级</w:t>
            </w:r>
          </w:p>
        </w:tc>
        <w:tc>
          <w:tcPr>
            <w:tcW w:w="6996" w:type="dxa"/>
            <w:gridSpan w:val="9"/>
            <w:tcBorders>
              <w:top w:val="single" w:color="000000" w:sz="4" w:space="0"/>
              <w:left w:val="single" w:color="000000" w:sz="4" w:space="0"/>
              <w:bottom w:val="single" w:color="000000" w:sz="4" w:space="0"/>
            </w:tcBorders>
            <w:noWrap w:val="0"/>
            <w:vAlign w:val="top"/>
          </w:tcPr>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因极端天气气候事件造成3人以下死亡，或造成100万元以下直接经济损失的气象灾害。</w:t>
            </w:r>
          </w:p>
          <w:p>
            <w:pPr>
              <w:widowControl/>
              <w:suppressAutoHyphens/>
              <w:snapToGrid w:val="0"/>
              <w:spacing w:line="288" w:lineRule="auto"/>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Ⅳ级预警由经开区领导小组决定启动。</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554"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灾情报送程序和内容</w:t>
            </w:r>
          </w:p>
        </w:tc>
        <w:tc>
          <w:tcPr>
            <w:tcW w:w="6306" w:type="dxa"/>
            <w:gridSpan w:val="6"/>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报送程序</w:t>
            </w:r>
          </w:p>
        </w:tc>
        <w:tc>
          <w:tcPr>
            <w:tcW w:w="2199" w:type="dxa"/>
            <w:gridSpan w:val="4"/>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报送内容</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备注</w:t>
            </w:r>
          </w:p>
        </w:tc>
      </w:tr>
      <w:tr>
        <w:tblPrEx>
          <w:tblCellMar>
            <w:top w:w="0" w:type="dxa"/>
            <w:left w:w="108" w:type="dxa"/>
            <w:bottom w:w="0" w:type="dxa"/>
            <w:right w:w="108" w:type="dxa"/>
          </w:tblCellMar>
        </w:tblPrEx>
        <w:trPr>
          <w:cantSplit/>
          <w:trHeight w:val="2405"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6306" w:type="dxa"/>
            <w:gridSpan w:val="6"/>
            <w:tcBorders>
              <w:top w:val="single" w:color="000000" w:sz="4" w:space="0"/>
              <w:left w:val="single" w:color="000000" w:sz="4" w:space="0"/>
              <w:bottom w:val="single" w:color="000000" w:sz="4" w:space="0"/>
            </w:tcBorders>
            <w:noWrap w:val="0"/>
            <w:vAlign w:val="top"/>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1.区、市气象主管机构归口管理本行政区域内的气象灾害监测、信息收集、预报预警、灾情调查和评估工作，社会事业局及时将气象灾害监测、预警最新信息及时向领导小组报告。</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2.气象灾害发生后，知情单位或个人要及时通过气防办（4519587）等途径报告有关气象灾害信息。</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气防办收到区气象主管机构发布的气象灾害信息后，要及时报告领导小组，并在30分钟内通知辖区各单位。</w:t>
            </w:r>
          </w:p>
        </w:tc>
        <w:tc>
          <w:tcPr>
            <w:tcW w:w="2199" w:type="dxa"/>
            <w:gridSpan w:val="4"/>
            <w:tcBorders>
              <w:top w:val="single" w:color="000000" w:sz="4" w:space="0"/>
              <w:left w:val="single" w:color="000000" w:sz="4" w:space="0"/>
              <w:bottom w:val="single" w:color="000000" w:sz="4" w:space="0"/>
            </w:tcBorders>
            <w:noWrap w:val="0"/>
            <w:vAlign w:val="top"/>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报告单位，联系人，联系方式，报告时间，气象灾害种类、特征、发生时间、地点和范围，人员伤亡和财产损失情况，已经采取的措施等。</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365"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应急响应程序</w:t>
            </w: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分级</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响应</w:t>
            </w:r>
          </w:p>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机制</w:t>
            </w: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步骤</w:t>
            </w:r>
          </w:p>
        </w:tc>
        <w:tc>
          <w:tcPr>
            <w:tcW w:w="6996" w:type="dxa"/>
            <w:gridSpan w:val="9"/>
            <w:tcBorders>
              <w:top w:val="single" w:color="000000" w:sz="4" w:space="0"/>
              <w:left w:val="single" w:color="000000" w:sz="4" w:space="0"/>
              <w:bottom w:val="single" w:color="000000" w:sz="4" w:space="0"/>
            </w:tcBorders>
            <w:noWrap w:val="0"/>
            <w:vAlign w:val="center"/>
          </w:tcPr>
          <w:p>
            <w:pPr>
              <w:tabs>
                <w:tab w:val="left" w:pos="900"/>
                <w:tab w:val="center" w:pos="1576"/>
              </w:tabs>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步骤内容</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备注</w:t>
            </w:r>
          </w:p>
        </w:tc>
      </w:tr>
      <w:tr>
        <w:tblPrEx>
          <w:tblCellMar>
            <w:top w:w="0" w:type="dxa"/>
            <w:left w:w="108" w:type="dxa"/>
            <w:bottom w:w="0" w:type="dxa"/>
            <w:right w:w="108" w:type="dxa"/>
          </w:tblCellMar>
        </w:tblPrEx>
        <w:trPr>
          <w:cantSplit/>
          <w:trHeight w:val="2132"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分级响应</w:t>
            </w:r>
          </w:p>
        </w:tc>
        <w:tc>
          <w:tcPr>
            <w:tcW w:w="6996" w:type="dxa"/>
            <w:gridSpan w:val="9"/>
            <w:tcBorders>
              <w:top w:val="single" w:color="000000" w:sz="4" w:space="0"/>
              <w:left w:val="single" w:color="000000" w:sz="4" w:space="0"/>
              <w:bottom w:val="single" w:color="000000" w:sz="4" w:space="0"/>
            </w:tcBorders>
            <w:noWrap w:val="0"/>
            <w:vAlign w:val="top"/>
          </w:tcPr>
          <w:p>
            <w:pPr>
              <w:suppressAutoHyphens/>
              <w:snapToGrid w:val="0"/>
              <w:ind w:firstLine="420" w:firstLineChars="2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一般气象灾害（Ⅳ级）已经发生或可能发生，由经开区气象灾害应急领导小组发布启动命令，统一指挥调度，进行应急处置。特别重大（I级）、重大（II级）、较大（III级）气象灾害已经发生或可能发生，由经开区管委会先期启动区级应急预案，进行先期应急处置，并请求上级启动相应级别的应急预案，统一指挥协调，</w:t>
            </w:r>
            <w:r>
              <w:rPr>
                <w:rFonts w:hint="eastAsia" w:ascii="宋体" w:hAnsi="宋体" w:cs="宋体"/>
                <w:b w:val="0"/>
                <w:bCs/>
                <w:color w:val="auto"/>
                <w:spacing w:val="4"/>
                <w:kern w:val="1"/>
                <w:szCs w:val="21"/>
                <w:u w:val="none"/>
              </w:rPr>
              <w:t>督促有关部门开展工作。预案启动后，应急人员全部到位，实行24</w:t>
            </w:r>
            <w:r>
              <w:rPr>
                <w:rFonts w:hint="eastAsia" w:ascii="宋体" w:hAnsi="宋体" w:cs="宋体"/>
                <w:b w:val="0"/>
                <w:bCs/>
                <w:color w:val="auto"/>
                <w:kern w:val="1"/>
                <w:szCs w:val="21"/>
                <w:u w:val="none"/>
              </w:rPr>
              <w:t>小时主要负责人带班和人员值班制度，及时掌握灾害性天气的发展、变化情况，加强天气会商，做好上传下达和跟踪服务。</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4377"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应急处置</w:t>
            </w: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p>
            <w:pPr>
              <w:suppressAutoHyphens/>
              <w:snapToGrid w:val="0"/>
              <w:jc w:val="center"/>
              <w:rPr>
                <w:rFonts w:hint="eastAsia" w:ascii="宋体" w:hAnsi="宋体" w:cs="宋体"/>
                <w:b w:val="0"/>
                <w:bCs/>
                <w:color w:val="auto"/>
                <w:kern w:val="1"/>
                <w:szCs w:val="21"/>
                <w:u w:val="none"/>
              </w:rPr>
            </w:pPr>
          </w:p>
        </w:tc>
        <w:tc>
          <w:tcPr>
            <w:tcW w:w="6996" w:type="dxa"/>
            <w:gridSpan w:val="9"/>
            <w:tcBorders>
              <w:top w:val="single" w:color="000000" w:sz="4" w:space="0"/>
              <w:left w:val="single" w:color="000000" w:sz="4" w:space="0"/>
              <w:bottom w:val="single" w:color="000000" w:sz="4" w:space="0"/>
            </w:tcBorders>
            <w:noWrap w:val="0"/>
            <w:vAlign w:val="top"/>
          </w:tcPr>
          <w:p>
            <w:pPr>
              <w:widowControl/>
              <w:suppressAutoHyphens/>
              <w:snapToGrid w:val="0"/>
              <w:ind w:firstLine="436"/>
              <w:rPr>
                <w:rFonts w:hint="eastAsia" w:ascii="宋体" w:hAnsi="宋体" w:cs="宋体"/>
                <w:b w:val="0"/>
                <w:bCs/>
                <w:color w:val="auto"/>
                <w:kern w:val="1"/>
                <w:szCs w:val="21"/>
                <w:u w:val="none"/>
              </w:rPr>
            </w:pPr>
            <w:r>
              <w:rPr>
                <w:rFonts w:hint="eastAsia" w:ascii="宋体" w:hAnsi="宋体" w:cs="宋体"/>
                <w:b w:val="0"/>
                <w:bCs/>
                <w:color w:val="auto"/>
                <w:spacing w:val="4"/>
                <w:kern w:val="1"/>
                <w:szCs w:val="21"/>
                <w:u w:val="none"/>
              </w:rPr>
              <w:t>1.重大或特别重大气象灾害应急预案启动后，各成员单位要24</w:t>
            </w:r>
            <w:r>
              <w:rPr>
                <w:rFonts w:hint="eastAsia" w:ascii="宋体" w:hAnsi="宋体" w:cs="宋体"/>
                <w:b w:val="0"/>
                <w:bCs/>
                <w:color w:val="auto"/>
                <w:kern w:val="1"/>
                <w:szCs w:val="21"/>
                <w:u w:val="none"/>
              </w:rPr>
              <w:t>小时值班，有关人员及时到达预定岗位。</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2.领导小组办公室利用信息平台，跟踪气象灾害发生发展情况，收集气象信息，并根据已经形成或有可能形成的气象灾害情况，提出处置建议。</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3.气象灾害发生后，辖区有关单位要组织进行先期应急处置，并根据需要组织群众开展自救互救，全力控制事态扩大，尽力减轻气象灾害损失。</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4.镇</w:t>
            </w:r>
            <w:r>
              <w:rPr>
                <w:rFonts w:hint="eastAsia" w:ascii="宋体" w:hAnsi="宋体" w:cs="宋体"/>
                <w:b w:val="0"/>
                <w:bCs/>
                <w:color w:val="auto"/>
                <w:kern w:val="1"/>
                <w:szCs w:val="21"/>
                <w:u w:val="none"/>
                <w:lang w:val="en-US" w:eastAsia="zh-CN"/>
              </w:rPr>
              <w:t>政府</w:t>
            </w:r>
            <w:r>
              <w:rPr>
                <w:rFonts w:hint="eastAsia" w:ascii="宋体" w:hAnsi="宋体" w:cs="宋体"/>
                <w:b w:val="0"/>
                <w:bCs/>
                <w:color w:val="auto"/>
                <w:kern w:val="1"/>
                <w:szCs w:val="21"/>
                <w:u w:val="none"/>
              </w:rPr>
              <w:t>（街道办）和村（居）民委员会要立即组织群众开展自救；有关单位要按各自职责和预案规定以及领导小组的要求，开展搜寻和抢救失踪、伤病人员，做好抢险救灾工作。</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5.卫生部门要紧急派遣专业队伍抢救伤员，同时组织开展灾后疫情监测和疾病预防控制工作。</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6.公安交警等有关单位根据需要依法采取交通管制措施。</w:t>
            </w:r>
          </w:p>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7.管委会和有关部门要迅速组织人员，设立警戒区和警戒哨，对重点地区、重点人群、重要物资和设备进行保护。</w:t>
            </w:r>
          </w:p>
          <w:p>
            <w:pPr>
              <w:suppressAutoHyphens/>
              <w:snapToGrid w:val="0"/>
              <w:ind w:firstLine="315"/>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8.必要时，领导小组依照有关法律的规定向社会征用物资、交通工具和相关的设施、设备。</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365"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应急人员的</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安全防护</w:t>
            </w:r>
          </w:p>
        </w:tc>
        <w:tc>
          <w:tcPr>
            <w:tcW w:w="6996" w:type="dxa"/>
            <w:gridSpan w:val="9"/>
            <w:tcBorders>
              <w:top w:val="single" w:color="000000" w:sz="4" w:space="0"/>
              <w:left w:val="single" w:color="000000" w:sz="4" w:space="0"/>
              <w:bottom w:val="single" w:color="000000" w:sz="4" w:space="0"/>
            </w:tcBorders>
            <w:noWrap w:val="0"/>
            <w:vAlign w:val="top"/>
          </w:tcPr>
          <w:p>
            <w:pPr>
              <w:suppressAutoHyphens/>
              <w:snapToGrid w:val="0"/>
              <w:ind w:firstLine="420" w:firstLineChars="2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管委会和有关部门要对事发现场的安全情况进行科学评估，采取相应措施，保障应急现场工作人员的人身安全。</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756"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群众的安全</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防护</w:t>
            </w:r>
          </w:p>
        </w:tc>
        <w:tc>
          <w:tcPr>
            <w:tcW w:w="6996" w:type="dxa"/>
            <w:gridSpan w:val="9"/>
            <w:tcBorders>
              <w:top w:val="single" w:color="000000" w:sz="4" w:space="0"/>
              <w:left w:val="single" w:color="000000" w:sz="4" w:space="0"/>
              <w:bottom w:val="single" w:color="000000" w:sz="4" w:space="0"/>
            </w:tcBorders>
            <w:noWrap w:val="0"/>
            <w:vAlign w:val="top"/>
          </w:tcPr>
          <w:p>
            <w:pPr>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管委会和有关部门要对灾害发生地公众讲解安全防护和救援知识，必要时气象灾害监测预警部门要指导人员疏散，尽量避开灾害可能影响和波及的区域。</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54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社会力量动员与参与</w:t>
            </w:r>
          </w:p>
        </w:tc>
        <w:tc>
          <w:tcPr>
            <w:tcW w:w="6996" w:type="dxa"/>
            <w:gridSpan w:val="9"/>
            <w:tcBorders>
              <w:top w:val="single" w:color="000000" w:sz="4" w:space="0"/>
              <w:left w:val="single" w:color="000000" w:sz="4" w:space="0"/>
              <w:bottom w:val="single" w:color="000000" w:sz="4" w:space="0"/>
            </w:tcBorders>
            <w:noWrap w:val="0"/>
            <w:vAlign w:val="top"/>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各单位要充分发动社会各界，组织公众和气象灾害应急处置志愿者参与气象灾害应急处置工作。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706"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信息发布</w:t>
            </w:r>
          </w:p>
        </w:tc>
        <w:tc>
          <w:tcPr>
            <w:tcW w:w="6996" w:type="dxa"/>
            <w:gridSpan w:val="9"/>
            <w:tcBorders>
              <w:top w:val="single" w:color="000000" w:sz="4" w:space="0"/>
              <w:left w:val="single" w:color="000000" w:sz="4" w:space="0"/>
              <w:bottom w:val="single" w:color="000000" w:sz="4" w:space="0"/>
            </w:tcBorders>
            <w:noWrap w:val="0"/>
            <w:vAlign w:val="top"/>
          </w:tcPr>
          <w:p>
            <w:pPr>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领导小组负责气象突发事件统一审核与发布，及时、准确地向社会公布气象灾害及其衍生、次生灾害监测、预警情况，以及因灾伤亡人员、经济损失、救援措施等。</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908"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应急结束</w:t>
            </w:r>
          </w:p>
        </w:tc>
        <w:tc>
          <w:tcPr>
            <w:tcW w:w="6996" w:type="dxa"/>
            <w:gridSpan w:val="9"/>
            <w:tcBorders>
              <w:top w:val="single" w:color="000000" w:sz="4" w:space="0"/>
              <w:left w:val="single" w:color="000000" w:sz="4" w:space="0"/>
              <w:bottom w:val="single" w:color="000000" w:sz="4" w:space="0"/>
            </w:tcBorders>
            <w:noWrap w:val="0"/>
            <w:vAlign w:val="top"/>
          </w:tcPr>
          <w:p>
            <w:pPr>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气象灾害应急处置工作完成后，要向上级气象灾害应急领导小组报告，由上纪气象灾害应急领导小组决定是否终止重大或特别重大气象灾害应急预案。应急预案终止，应向社会发布结束应急状态的公告。</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hint="eastAsia" w:ascii="宋体" w:hAnsi="宋体" w:cs="宋体"/>
                <w:b w:val="0"/>
                <w:bCs/>
                <w:color w:val="auto"/>
                <w:kern w:val="1"/>
                <w:szCs w:val="21"/>
                <w:u w:val="none"/>
              </w:rPr>
            </w:pPr>
          </w:p>
        </w:tc>
      </w:tr>
      <w:tr>
        <w:tblPrEx>
          <w:tblCellMar>
            <w:top w:w="0" w:type="dxa"/>
            <w:left w:w="108" w:type="dxa"/>
            <w:bottom w:w="0" w:type="dxa"/>
            <w:right w:w="108" w:type="dxa"/>
          </w:tblCellMar>
        </w:tblPrEx>
        <w:trPr>
          <w:cantSplit/>
          <w:trHeight w:val="2296"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后期处置</w:t>
            </w: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善后处置</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left"/>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领导小组要组织民政等部门及时调查、统计气象灾害的影响范围和受灾程度，评估、核实气象灾害损失。社会事业局及吴圩镇政府、那洪街道办事处、金凯街道办事处要组织设立灾民安置场所和救济物资供应站，依法做好灾民安置和救灾款物的接收、发放、使用与管理工作，保障灾民的基本生活。</w:t>
            </w:r>
            <w:r>
              <w:rPr>
                <w:rFonts w:hint="eastAsia" w:ascii="宋体" w:hAnsi="宋体" w:cs="宋体"/>
                <w:b w:val="0"/>
                <w:bCs/>
                <w:color w:val="auto"/>
                <w:kern w:val="1"/>
                <w:szCs w:val="21"/>
                <w:u w:val="none"/>
                <w:lang w:eastAsia="zh-CN"/>
              </w:rPr>
              <w:t>卫生健康</w:t>
            </w:r>
            <w:r>
              <w:rPr>
                <w:rFonts w:hint="eastAsia" w:ascii="宋体" w:hAnsi="宋体" w:cs="宋体"/>
                <w:b w:val="0"/>
                <w:bCs/>
                <w:color w:val="auto"/>
                <w:kern w:val="1"/>
                <w:szCs w:val="21"/>
                <w:u w:val="none"/>
              </w:rPr>
              <w:t>局负责做好气象灾害现场防疫消毒与疫情监测的组织、指导工作。生态环境局、建设发展局要根据各自职责，做好气象灾害现场污染物收集、清理等处理工作。气防办负责对气象灾害事件进行调查，总结气象灾害应急工作，提出改进建议，并及时上报经开区管委会和上级主管机构。</w:t>
            </w:r>
          </w:p>
        </w:tc>
      </w:tr>
      <w:tr>
        <w:tblPrEx>
          <w:tblCellMar>
            <w:top w:w="0" w:type="dxa"/>
            <w:left w:w="108" w:type="dxa"/>
            <w:bottom w:w="0" w:type="dxa"/>
            <w:right w:w="108" w:type="dxa"/>
          </w:tblCellMar>
        </w:tblPrEx>
        <w:trPr>
          <w:cantSplit/>
          <w:trHeight w:val="577"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应急保障措施</w:t>
            </w: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ind w:firstLine="422"/>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分类</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2"/>
              <w:jc w:val="center"/>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工作要求</w:t>
            </w:r>
          </w:p>
        </w:tc>
      </w:tr>
      <w:tr>
        <w:tblPrEx>
          <w:tblCellMar>
            <w:top w:w="0" w:type="dxa"/>
            <w:left w:w="108" w:type="dxa"/>
            <w:bottom w:w="0" w:type="dxa"/>
            <w:right w:w="108" w:type="dxa"/>
          </w:tblCellMar>
        </w:tblPrEx>
        <w:trPr>
          <w:cantSplit/>
          <w:trHeight w:val="129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ind w:firstLine="210" w:firstLineChars="10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通信保障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1.依托现有的气象通信网，实现气象灾害应急信息的迅速传输，确保应急期间信息畅通。</w:t>
            </w:r>
          </w:p>
          <w:p>
            <w:pPr>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2.应急救援现场要与上级气象灾害应急领导小组之间确保通信畅通，为气象灾害应急救援工作现场提供保障；“气防办”负责协调应急处置现场的通信保障。</w:t>
            </w:r>
          </w:p>
        </w:tc>
      </w:tr>
      <w:tr>
        <w:tblPrEx>
          <w:tblCellMar>
            <w:top w:w="0" w:type="dxa"/>
            <w:left w:w="108" w:type="dxa"/>
            <w:bottom w:w="0" w:type="dxa"/>
            <w:right w:w="108" w:type="dxa"/>
          </w:tblCellMar>
        </w:tblPrEx>
        <w:trPr>
          <w:cantSplit/>
          <w:trHeight w:val="155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ind w:firstLine="210" w:firstLineChars="10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信息保障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1.完善气象灾害监测、预报、预警系统，建立气象灾害应急资源数据库；建立气象灾害预警信号发布管理办法。</w:t>
            </w:r>
          </w:p>
          <w:p>
            <w:pPr>
              <w:widowControl/>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2.气防办根据气象部门发布的气象灾害信息进行收集、整理、分析、评估和处理，并按有关规定定期或不定期报送本级应急领导，重要信息和已报信息的变更要立即报送。</w:t>
            </w:r>
          </w:p>
        </w:tc>
      </w:tr>
      <w:tr>
        <w:tblPrEx>
          <w:tblCellMar>
            <w:top w:w="0" w:type="dxa"/>
            <w:left w:w="108" w:type="dxa"/>
            <w:bottom w:w="0" w:type="dxa"/>
            <w:right w:w="108" w:type="dxa"/>
          </w:tblCellMar>
        </w:tblPrEx>
        <w:trPr>
          <w:cantSplit/>
          <w:trHeight w:val="751"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应急保障措施</w:t>
            </w:r>
          </w:p>
        </w:tc>
        <w:tc>
          <w:tcPr>
            <w:tcW w:w="1509"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现场救援和</w:t>
            </w:r>
          </w:p>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工程抢险保障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各部门要加强对气象灾害应急救援等方面的专用物料、器材、工具的储备，建立相应的物资数据库，并对应急救援物资的调配、购置、库存、使用和销毁等环节进行严格管理。</w:t>
            </w:r>
          </w:p>
        </w:tc>
      </w:tr>
      <w:tr>
        <w:tblPrEx>
          <w:tblCellMar>
            <w:top w:w="0" w:type="dxa"/>
            <w:left w:w="108" w:type="dxa"/>
            <w:bottom w:w="0" w:type="dxa"/>
            <w:right w:w="108" w:type="dxa"/>
          </w:tblCellMar>
        </w:tblPrEx>
        <w:trPr>
          <w:cantSplit/>
          <w:trHeight w:val="1289"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应急队伍保障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1.公安、卫生等部门要按照领导小组的指令，成立气象灾害应急救援队伍，组织应急救援技术培训，提高应急响应和救援能力。</w:t>
            </w:r>
          </w:p>
          <w:p>
            <w:pPr>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2.各单位要组织引导民兵、企事业单位以及志愿者等社会资源，组建群众性应急救援队伍，对气象灾害进行先期处置。</w:t>
            </w:r>
          </w:p>
        </w:tc>
      </w:tr>
      <w:tr>
        <w:tblPrEx>
          <w:tblCellMar>
            <w:top w:w="0" w:type="dxa"/>
            <w:left w:w="108" w:type="dxa"/>
            <w:bottom w:w="0" w:type="dxa"/>
            <w:right w:w="108" w:type="dxa"/>
          </w:tblCellMar>
        </w:tblPrEx>
        <w:trPr>
          <w:cantSplit/>
          <w:trHeight w:val="1096"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交通运输保障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公安交警等有关部门负责气象灾害现场的道路交通管制，保障道路交通秩序；</w:t>
            </w:r>
            <w:bookmarkStart w:id="0" w:name="_GoBack"/>
            <w:bookmarkEnd w:id="0"/>
            <w:r>
              <w:rPr>
                <w:rFonts w:hint="eastAsia" w:ascii="宋体" w:hAnsi="宋体" w:cs="宋体"/>
                <w:b w:val="0"/>
                <w:bCs/>
                <w:color w:val="auto"/>
                <w:kern w:val="1"/>
                <w:szCs w:val="21"/>
                <w:u w:val="none"/>
                <w:lang w:eastAsia="zh-CN"/>
              </w:rPr>
              <w:t>交通运输部</w:t>
            </w:r>
            <w:r>
              <w:rPr>
                <w:rFonts w:hint="eastAsia" w:ascii="宋体" w:hAnsi="宋体" w:cs="宋体"/>
                <w:b w:val="0"/>
                <w:bCs/>
                <w:color w:val="auto"/>
                <w:kern w:val="1"/>
                <w:szCs w:val="21"/>
                <w:u w:val="none"/>
              </w:rPr>
              <w:t>门负责道路清障和受损道路设施的抢修；</w:t>
            </w:r>
            <w:r>
              <w:rPr>
                <w:rFonts w:hint="eastAsia" w:ascii="宋体" w:hAnsi="宋体" w:cs="宋体"/>
                <w:b w:val="0"/>
                <w:bCs/>
                <w:color w:val="auto"/>
                <w:kern w:val="1"/>
                <w:szCs w:val="21"/>
                <w:u w:val="none"/>
                <w:lang w:eastAsia="zh-CN"/>
              </w:rPr>
              <w:t>交通运输部</w:t>
            </w:r>
            <w:r>
              <w:rPr>
                <w:rFonts w:hint="eastAsia" w:ascii="宋体" w:hAnsi="宋体" w:cs="宋体"/>
                <w:b w:val="0"/>
                <w:bCs/>
                <w:color w:val="auto"/>
                <w:kern w:val="1"/>
                <w:szCs w:val="21"/>
                <w:u w:val="none"/>
              </w:rPr>
              <w:t>门负责开设应急支援“绿色通道”，应急处置的交通运输，必要时领导小组依法紧急动员和征用社会交通运输工具及装备。</w:t>
            </w:r>
          </w:p>
        </w:tc>
      </w:tr>
      <w:tr>
        <w:tblPrEx>
          <w:tblCellMar>
            <w:top w:w="0" w:type="dxa"/>
            <w:left w:w="108" w:type="dxa"/>
            <w:bottom w:w="0" w:type="dxa"/>
            <w:right w:w="108" w:type="dxa"/>
          </w:tblCellMar>
        </w:tblPrEx>
        <w:trPr>
          <w:cantSplit/>
          <w:trHeight w:val="1003"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医疗卫生保障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卫生部门要会同有关部门负责气象灾害的医疗卫生保障工作。做好灾区疾病防治的业务技术指导，组织医疗卫生队赴灾区巡医问诊，负责灾区防疫消毒、抢救伤病员等工作。</w:t>
            </w:r>
          </w:p>
        </w:tc>
      </w:tr>
      <w:tr>
        <w:tblPrEx>
          <w:tblCellMar>
            <w:top w:w="0" w:type="dxa"/>
            <w:left w:w="108" w:type="dxa"/>
            <w:bottom w:w="0" w:type="dxa"/>
            <w:right w:w="108" w:type="dxa"/>
          </w:tblCellMar>
        </w:tblPrEx>
        <w:trPr>
          <w:cantSplit/>
          <w:trHeight w:val="960"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ind w:firstLine="210" w:firstLineChars="1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物资保障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社会事业局、</w:t>
            </w:r>
            <w:r>
              <w:rPr>
                <w:rFonts w:hint="eastAsia" w:ascii="宋体" w:hAnsi="宋体" w:cs="宋体"/>
                <w:b w:val="0"/>
                <w:bCs/>
                <w:color w:val="auto"/>
                <w:kern w:val="1"/>
                <w:szCs w:val="21"/>
                <w:u w:val="none"/>
                <w:lang w:val="en-US" w:eastAsia="zh-CN"/>
              </w:rPr>
              <w:t>应急管理局</w:t>
            </w:r>
            <w:r>
              <w:rPr>
                <w:rFonts w:hint="eastAsia" w:ascii="宋体" w:hAnsi="宋体" w:cs="宋体"/>
                <w:b w:val="0"/>
                <w:bCs/>
                <w:color w:val="auto"/>
                <w:kern w:val="1"/>
                <w:szCs w:val="21"/>
                <w:u w:val="none"/>
              </w:rPr>
              <w:t>等部门负责组织、协调气象灾害应急救援物资的储备、调拨和紧急供应等工作，并制定应急物资保障计划；其他有关部门按照各自的职责和应急预案的要求，做好物资保障等相关工作。</w:t>
            </w:r>
          </w:p>
        </w:tc>
      </w:tr>
      <w:tr>
        <w:tblPrEx>
          <w:tblCellMar>
            <w:top w:w="0" w:type="dxa"/>
            <w:left w:w="108" w:type="dxa"/>
            <w:bottom w:w="0" w:type="dxa"/>
            <w:right w:w="108" w:type="dxa"/>
          </w:tblCellMar>
        </w:tblPrEx>
        <w:trPr>
          <w:cantSplit/>
          <w:trHeight w:val="1349"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ind w:firstLine="210" w:firstLineChars="10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经费保障</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财政部门要</w:t>
            </w:r>
            <w:r>
              <w:rPr>
                <w:rFonts w:ascii="宋体" w:hAnsi="宋体" w:eastAsia="宋体" w:cs="宋体"/>
                <w:b w:val="0"/>
                <w:bCs/>
                <w:color w:val="auto"/>
                <w:sz w:val="24"/>
                <w:szCs w:val="24"/>
                <w:u w:val="none"/>
              </w:rPr>
              <w:t>根据管委会年度的批复预算，及结合经开区财力情况做好经费保障。</w:t>
            </w:r>
            <w:r>
              <w:rPr>
                <w:rFonts w:hint="eastAsia" w:ascii="宋体" w:hAnsi="宋体" w:cs="宋体"/>
                <w:b w:val="0"/>
                <w:bCs/>
                <w:color w:val="auto"/>
                <w:kern w:val="1"/>
                <w:szCs w:val="21"/>
                <w:u w:val="none"/>
              </w:rPr>
              <w:t>财政、审计部门要加强对气象灾害应急专项资金使用情况的监督检查，确保专款专用。</w:t>
            </w:r>
          </w:p>
        </w:tc>
      </w:tr>
      <w:tr>
        <w:tblPrEx>
          <w:tblCellMar>
            <w:top w:w="0" w:type="dxa"/>
            <w:left w:w="108" w:type="dxa"/>
            <w:bottom w:w="0" w:type="dxa"/>
            <w:right w:w="108" w:type="dxa"/>
          </w:tblCellMar>
        </w:tblPrEx>
        <w:trPr>
          <w:cantSplit/>
          <w:trHeight w:val="751" w:hRule="atLeast"/>
          <w:jc w:val="center"/>
        </w:trPr>
        <w:tc>
          <w:tcPr>
            <w:tcW w:w="537"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709"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p>
        </w:tc>
        <w:tc>
          <w:tcPr>
            <w:tcW w:w="1509" w:type="dxa"/>
            <w:tcBorders>
              <w:top w:val="single" w:color="000000" w:sz="4" w:space="0"/>
              <w:left w:val="single" w:color="000000" w:sz="4" w:space="0"/>
              <w:bottom w:val="single" w:color="000000" w:sz="4" w:space="0"/>
            </w:tcBorders>
            <w:noWrap w:val="0"/>
            <w:vAlign w:val="center"/>
          </w:tcPr>
          <w:p>
            <w:pPr>
              <w:widowControl/>
              <w:suppressAutoHyphens/>
              <w:snapToGrid w:val="0"/>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加强业务培训</w:t>
            </w:r>
          </w:p>
        </w:tc>
        <w:tc>
          <w:tcPr>
            <w:tcW w:w="779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snapToGrid w:val="0"/>
              <w:ind w:firstLine="420"/>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领导小组要适时组织气象灾害应急处置专业技能培训和应急演练。</w:t>
            </w:r>
          </w:p>
        </w:tc>
      </w:tr>
      <w:tr>
        <w:tblPrEx>
          <w:tblCellMar>
            <w:top w:w="0" w:type="dxa"/>
            <w:left w:w="108" w:type="dxa"/>
            <w:bottom w:w="0" w:type="dxa"/>
            <w:right w:w="108" w:type="dxa"/>
          </w:tblCellMar>
        </w:tblPrEx>
        <w:trPr>
          <w:trHeight w:val="4293" w:hRule="atLeast"/>
          <w:jc w:val="center"/>
        </w:trPr>
        <w:tc>
          <w:tcPr>
            <w:tcW w:w="537" w:type="dxa"/>
            <w:tcBorders>
              <w:top w:val="single" w:color="000000" w:sz="4" w:space="0"/>
              <w:left w:val="single" w:color="000000" w:sz="4" w:space="0"/>
              <w:bottom w:val="single" w:color="000000" w:sz="4" w:space="0"/>
            </w:tcBorders>
            <w:noWrap w:val="0"/>
            <w:vAlign w:val="center"/>
          </w:tcPr>
          <w:p>
            <w:pPr>
              <w:suppressAutoHyphens/>
              <w:snapToGrid w:val="0"/>
              <w:jc w:val="center"/>
              <w:rPr>
                <w:rFonts w:hint="eastAsia" w:ascii="宋体" w:hAnsi="宋体" w:cs="宋体"/>
                <w:b w:val="0"/>
                <w:bCs/>
                <w:color w:val="auto"/>
                <w:kern w:val="1"/>
                <w:szCs w:val="21"/>
                <w:u w:val="none"/>
              </w:rPr>
            </w:pPr>
            <w:r>
              <w:rPr>
                <w:rFonts w:hint="eastAsia" w:ascii="宋体" w:hAnsi="宋体" w:cs="宋体"/>
                <w:b w:val="0"/>
                <w:bCs/>
                <w:color w:val="auto"/>
                <w:kern w:val="1"/>
                <w:szCs w:val="21"/>
                <w:u w:val="none"/>
              </w:rPr>
              <w:t>后期处置</w:t>
            </w:r>
          </w:p>
        </w:tc>
        <w:tc>
          <w:tcPr>
            <w:tcW w:w="10017" w:type="dxa"/>
            <w:gridSpan w:val="12"/>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ind w:firstLine="420" w:firstLineChars="200"/>
              <w:jc w:val="left"/>
              <w:rPr>
                <w:rFonts w:hint="eastAsia" w:ascii="宋体" w:hAnsi="宋体" w:cs="Times New Roman"/>
                <w:b w:val="0"/>
                <w:bCs/>
                <w:color w:val="auto"/>
                <w:kern w:val="1"/>
                <w:szCs w:val="21"/>
                <w:u w:val="none"/>
              </w:rPr>
            </w:pPr>
            <w:r>
              <w:rPr>
                <w:rFonts w:hint="eastAsia" w:ascii="宋体" w:hAnsi="宋体" w:cs="宋体"/>
                <w:b w:val="0"/>
                <w:bCs/>
                <w:color w:val="auto"/>
                <w:kern w:val="1"/>
                <w:szCs w:val="21"/>
                <w:u w:val="none"/>
              </w:rPr>
              <w:t>领导小组要组织民政等部门及时调查、统计气象灾害的影响范围和受灾程度，评估、核实气象灾害损失。管委会民政部门及吴圩镇政府、那洪街道办事处、金凯街道办事处要组织设立灾民安置场所和救济物资供应站，依法做好灾民安置和救灾款物的接收、发放、使用与管理工作，保障灾民的基本生活。卫生部门负责做好气象灾害现场防疫消毒与疫情监测的组织、指导工作。生态环境、建设部门要根据各自职责，做好气象灾害现场污染物收集、清理等处理工作。气防办负责对气象灾害事件进行调查，总结气象灾害应急工作，提出改进建议，并及时上报经开区管委会和上级主管机构。</w:t>
            </w:r>
          </w:p>
        </w:tc>
      </w:tr>
    </w:tbl>
    <w:p>
      <w:pPr>
        <w:snapToGrid w:val="0"/>
        <w:rPr>
          <w:rFonts w:hint="eastAsia" w:ascii="宋体" w:hAnsi="宋体"/>
          <w:b w:val="0"/>
          <w:bCs/>
          <w:color w:val="auto"/>
          <w:szCs w:val="21"/>
          <w:u w:val="none"/>
        </w:rPr>
      </w:pPr>
    </w:p>
    <w:sectPr>
      <w:footerReference r:id="rId3" w:type="default"/>
      <w:footerReference r:id="rId4" w:type="even"/>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15 -</w:t>
    </w:r>
    <w:r>
      <w:rPr>
        <w:rFonts w:hint="eastAsia"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16 -</w:t>
    </w:r>
    <w:r>
      <w:rPr>
        <w:rFonts w:hint="eastAsia" w:ascii="仿宋_GB2312" w:eastAsia="仿宋_GB2312"/>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s>
  <w:rsids>
    <w:rsidRoot w:val="007F3B8C"/>
    <w:rsid w:val="000731EE"/>
    <w:rsid w:val="001A22E9"/>
    <w:rsid w:val="0022440B"/>
    <w:rsid w:val="0027772C"/>
    <w:rsid w:val="003C1D3A"/>
    <w:rsid w:val="003D6CE5"/>
    <w:rsid w:val="00557747"/>
    <w:rsid w:val="00594854"/>
    <w:rsid w:val="00680454"/>
    <w:rsid w:val="006A056C"/>
    <w:rsid w:val="006F2C9D"/>
    <w:rsid w:val="0071044B"/>
    <w:rsid w:val="00786A48"/>
    <w:rsid w:val="007E655E"/>
    <w:rsid w:val="007F3B8C"/>
    <w:rsid w:val="00880259"/>
    <w:rsid w:val="00925661"/>
    <w:rsid w:val="00A80E23"/>
    <w:rsid w:val="00AC2F61"/>
    <w:rsid w:val="00AE289F"/>
    <w:rsid w:val="00B57EBE"/>
    <w:rsid w:val="00B97974"/>
    <w:rsid w:val="00C55226"/>
    <w:rsid w:val="00CB4ED2"/>
    <w:rsid w:val="00D037D7"/>
    <w:rsid w:val="00D56389"/>
    <w:rsid w:val="00DC4814"/>
    <w:rsid w:val="00E33627"/>
    <w:rsid w:val="00F270E6"/>
    <w:rsid w:val="011C2752"/>
    <w:rsid w:val="10C41134"/>
    <w:rsid w:val="19DE156A"/>
    <w:rsid w:val="1F1C0D1E"/>
    <w:rsid w:val="24016E09"/>
    <w:rsid w:val="242D3138"/>
    <w:rsid w:val="2966208E"/>
    <w:rsid w:val="3B8051B4"/>
    <w:rsid w:val="3CD60894"/>
    <w:rsid w:val="4311469A"/>
    <w:rsid w:val="48597908"/>
    <w:rsid w:val="4DC5001C"/>
    <w:rsid w:val="4FFF50EE"/>
    <w:rsid w:val="501E3B86"/>
    <w:rsid w:val="54646E83"/>
    <w:rsid w:val="5AF17F8B"/>
    <w:rsid w:val="691512B1"/>
    <w:rsid w:val="6FFF621C"/>
    <w:rsid w:val="706D69D0"/>
    <w:rsid w:val="733659A5"/>
    <w:rsid w:val="73FE8BF3"/>
    <w:rsid w:val="7FFF2427"/>
    <w:rsid w:val="BBF77509"/>
    <w:rsid w:val="FDB19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basedOn w:val="7"/>
    <w:link w:val="2"/>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 w:type="table" w:customStyle="1" w:styleId="12">
    <w:name w:val="网格型1"/>
    <w:basedOn w:val="5"/>
    <w:qFormat/>
    <w:uiPriority w:val="59"/>
    <w:rPr>
      <w:rFonts w:eastAsia="微软雅黑"/>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8834</Words>
  <Characters>9092</Characters>
  <Lines>69</Lines>
  <Paragraphs>19</Paragraphs>
  <TotalTime>6</TotalTime>
  <ScaleCrop>false</ScaleCrop>
  <LinksUpToDate>false</LinksUpToDate>
  <CharactersWithSpaces>9141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2019-11-01T18:53:00Z</dcterms:created>
  <dc:creator>李芳</dc:creator>
  <cp:lastModifiedBy>WPS_1653028716</cp:lastModifiedBy>
  <cp:lastPrinted>2022-05-28T17:57:00Z</cp:lastPrinted>
  <dcterms:modified xsi:type="dcterms:W3CDTF">2023-07-20T16:19:13Z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C3314B4A22F4473DA47D9D2EF9D63234</vt:lpwstr>
  </property>
</Properties>
</file>