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吴圩镇2021年突发公共卫生事件应急预案简本</w:t>
      </w:r>
    </w:p>
    <w:p>
      <w:pPr>
        <w:spacing w:line="240" w:lineRule="atLeast"/>
        <w:jc w:val="cente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396"/>
        <w:gridCol w:w="1240"/>
        <w:gridCol w:w="1560"/>
        <w:gridCol w:w="1723"/>
        <w:gridCol w:w="850"/>
        <w:gridCol w:w="152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32" w:type="dxa"/>
            <w:gridSpan w:val="3"/>
            <w:vAlign w:val="center"/>
          </w:tcPr>
          <w:p>
            <w:pPr>
              <w:spacing w:line="240" w:lineRule="exact"/>
              <w:jc w:val="center"/>
              <w:rPr>
                <w:rFonts w:ascii="仿宋_GB2312" w:eastAsia="仿宋_GB2312"/>
                <w:sz w:val="18"/>
                <w:szCs w:val="18"/>
              </w:rPr>
            </w:pPr>
            <w:r>
              <w:rPr>
                <w:rFonts w:hint="eastAsia" w:ascii="仿宋_GB2312" w:eastAsia="仿宋_GB2312"/>
                <w:sz w:val="18"/>
                <w:szCs w:val="18"/>
              </w:rPr>
              <w:t>编制单位</w:t>
            </w:r>
          </w:p>
        </w:tc>
        <w:tc>
          <w:tcPr>
            <w:tcW w:w="6713" w:type="dxa"/>
            <w:gridSpan w:val="5"/>
            <w:vAlign w:val="center"/>
          </w:tcPr>
          <w:p>
            <w:pPr>
              <w:spacing w:line="240" w:lineRule="exact"/>
              <w:jc w:val="center"/>
              <w:rPr>
                <w:rFonts w:ascii="仿宋_GB2312" w:eastAsia="仿宋_GB2312"/>
                <w:sz w:val="18"/>
                <w:szCs w:val="18"/>
              </w:rPr>
            </w:pPr>
            <w:r>
              <w:rPr>
                <w:rFonts w:hint="eastAsia" w:ascii="仿宋_GB2312" w:eastAsia="仿宋_GB2312"/>
                <w:sz w:val="18"/>
                <w:szCs w:val="18"/>
              </w:rPr>
              <w:t>吴圩镇人民政府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32" w:type="dxa"/>
            <w:gridSpan w:val="3"/>
            <w:vAlign w:val="center"/>
          </w:tcPr>
          <w:p>
            <w:pPr>
              <w:spacing w:line="240" w:lineRule="exact"/>
              <w:jc w:val="center"/>
              <w:rPr>
                <w:rFonts w:ascii="仿宋_GB2312" w:eastAsia="仿宋_GB2312"/>
                <w:sz w:val="18"/>
                <w:szCs w:val="18"/>
              </w:rPr>
            </w:pPr>
            <w:r>
              <w:rPr>
                <w:rFonts w:hint="eastAsia" w:ascii="仿宋_GB2312" w:eastAsia="仿宋_GB2312"/>
                <w:sz w:val="18"/>
                <w:szCs w:val="18"/>
              </w:rPr>
              <w:t>单位责任人</w:t>
            </w:r>
          </w:p>
        </w:tc>
        <w:tc>
          <w:tcPr>
            <w:tcW w:w="156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杨清</w:t>
            </w: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联系电话</w:t>
            </w:r>
          </w:p>
        </w:tc>
        <w:tc>
          <w:tcPr>
            <w:tcW w:w="2580" w:type="dxa"/>
            <w:gridSpan w:val="2"/>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32" w:type="dxa"/>
            <w:gridSpan w:val="3"/>
            <w:vAlign w:val="center"/>
          </w:tcPr>
          <w:p>
            <w:pPr>
              <w:spacing w:line="240" w:lineRule="exact"/>
              <w:jc w:val="center"/>
              <w:rPr>
                <w:rFonts w:ascii="仿宋_GB2312" w:eastAsia="仿宋_GB2312"/>
                <w:sz w:val="18"/>
                <w:szCs w:val="18"/>
              </w:rPr>
            </w:pPr>
            <w:r>
              <w:rPr>
                <w:rFonts w:hint="eastAsia" w:ascii="仿宋_GB2312" w:eastAsia="仿宋_GB2312"/>
                <w:sz w:val="18"/>
                <w:szCs w:val="18"/>
              </w:rPr>
              <w:t>单位联系人</w:t>
            </w:r>
          </w:p>
        </w:tc>
        <w:tc>
          <w:tcPr>
            <w:tcW w:w="156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梁群芳</w:t>
            </w: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联系电话</w:t>
            </w:r>
          </w:p>
        </w:tc>
        <w:tc>
          <w:tcPr>
            <w:tcW w:w="2580" w:type="dxa"/>
            <w:gridSpan w:val="2"/>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96" w:type="dxa"/>
            <w:vMerge w:val="restart"/>
            <w:vAlign w:val="center"/>
          </w:tcPr>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组织体系</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eastAsia="仿宋_GB2312"/>
                <w:sz w:val="18"/>
                <w:szCs w:val="18"/>
              </w:rPr>
              <w:t>组织体系</w:t>
            </w:r>
          </w:p>
        </w:tc>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组织机构</w:t>
            </w: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名称</w:t>
            </w:r>
          </w:p>
        </w:tc>
        <w:tc>
          <w:tcPr>
            <w:tcW w:w="156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职务</w:t>
            </w: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姓名</w:t>
            </w:r>
          </w:p>
        </w:tc>
        <w:tc>
          <w:tcPr>
            <w:tcW w:w="15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联系电话</w:t>
            </w:r>
          </w:p>
        </w:tc>
        <w:tc>
          <w:tcPr>
            <w:tcW w:w="1054"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领导机构</w:t>
            </w:r>
          </w:p>
        </w:tc>
        <w:tc>
          <w:tcPr>
            <w:tcW w:w="1560"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组长</w:t>
            </w: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杨清</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Merge w:val="continue"/>
            <w:vAlign w:val="center"/>
          </w:tcPr>
          <w:p>
            <w:pPr>
              <w:spacing w:line="240" w:lineRule="exact"/>
              <w:jc w:val="center"/>
              <w:rPr>
                <w:rFonts w:ascii="仿宋_GB2312" w:eastAsia="仿宋_GB2312"/>
                <w:sz w:val="18"/>
                <w:szCs w:val="18"/>
              </w:rPr>
            </w:pPr>
          </w:p>
        </w:tc>
        <w:tc>
          <w:tcPr>
            <w:tcW w:w="1560" w:type="dxa"/>
            <w:vMerge w:val="continue"/>
            <w:vAlign w:val="center"/>
          </w:tcPr>
          <w:p>
            <w:pPr>
              <w:spacing w:line="240" w:lineRule="exact"/>
              <w:jc w:val="center"/>
              <w:rPr>
                <w:rFonts w:ascii="仿宋_GB2312" w:eastAsia="仿宋_GB2312"/>
                <w:sz w:val="18"/>
                <w:szCs w:val="18"/>
              </w:rPr>
            </w:pP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石玲</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Merge w:val="continue"/>
            <w:vAlign w:val="center"/>
          </w:tcPr>
          <w:p>
            <w:pPr>
              <w:spacing w:line="240" w:lineRule="exact"/>
              <w:jc w:val="center"/>
              <w:rPr>
                <w:rFonts w:ascii="仿宋_GB2312" w:eastAsia="仿宋_GB2312"/>
                <w:sz w:val="18"/>
                <w:szCs w:val="18"/>
              </w:rPr>
            </w:pPr>
          </w:p>
        </w:tc>
        <w:tc>
          <w:tcPr>
            <w:tcW w:w="1560" w:type="dxa"/>
            <w:vMerge w:val="continue"/>
            <w:vAlign w:val="center"/>
          </w:tcPr>
          <w:p>
            <w:pPr>
              <w:spacing w:line="240" w:lineRule="exact"/>
              <w:jc w:val="center"/>
              <w:rPr>
                <w:rFonts w:ascii="仿宋_GB2312" w:eastAsia="仿宋_GB2312"/>
                <w:sz w:val="18"/>
                <w:szCs w:val="18"/>
              </w:rPr>
            </w:pP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梁永华</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日常工作</w:t>
            </w:r>
          </w:p>
          <w:p>
            <w:pPr>
              <w:spacing w:line="240" w:lineRule="exact"/>
              <w:jc w:val="center"/>
              <w:rPr>
                <w:rFonts w:ascii="仿宋_GB2312" w:eastAsia="仿宋_GB2312"/>
                <w:sz w:val="18"/>
                <w:szCs w:val="18"/>
              </w:rPr>
            </w:pPr>
            <w:r>
              <w:rPr>
                <w:rFonts w:hint="eastAsia" w:ascii="仿宋_GB2312" w:eastAsia="仿宋_GB2312"/>
                <w:sz w:val="18"/>
                <w:szCs w:val="18"/>
              </w:rPr>
              <w:t>机构</w:t>
            </w:r>
          </w:p>
        </w:tc>
        <w:tc>
          <w:tcPr>
            <w:tcW w:w="156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办公室主任</w:t>
            </w:r>
          </w:p>
        </w:tc>
        <w:tc>
          <w:tcPr>
            <w:tcW w:w="257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梁群芳</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restart"/>
            <w:vAlign w:val="center"/>
          </w:tcPr>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成员单位</w:t>
            </w:r>
          </w:p>
          <w:p>
            <w:pPr>
              <w:spacing w:line="240" w:lineRule="exact"/>
              <w:jc w:val="center"/>
              <w:rPr>
                <w:rFonts w:ascii="仿宋_GB2312" w:eastAsia="仿宋_GB2312"/>
                <w:sz w:val="18"/>
                <w:szCs w:val="18"/>
              </w:rPr>
            </w:pPr>
            <w:r>
              <w:rPr>
                <w:rFonts w:hint="eastAsia" w:ascii="仿宋_GB2312" w:eastAsia="仿宋_GB2312"/>
                <w:sz w:val="18"/>
                <w:szCs w:val="18"/>
              </w:rPr>
              <w:t>职责</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eastAsia="仿宋_GB2312"/>
                <w:sz w:val="18"/>
                <w:szCs w:val="18"/>
              </w:rPr>
              <w:t>成员单位</w:t>
            </w:r>
          </w:p>
          <w:p>
            <w:pPr>
              <w:spacing w:line="240" w:lineRule="exact"/>
              <w:jc w:val="center"/>
              <w:rPr>
                <w:rFonts w:ascii="仿宋_GB2312" w:eastAsia="仿宋_GB2312"/>
                <w:sz w:val="18"/>
                <w:szCs w:val="18"/>
              </w:rPr>
            </w:pPr>
            <w:r>
              <w:rPr>
                <w:rFonts w:hint="eastAsia" w:ascii="仿宋_GB2312" w:eastAsia="仿宋_GB2312"/>
                <w:sz w:val="18"/>
                <w:szCs w:val="18"/>
              </w:rPr>
              <w:t>职责</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名称</w:t>
            </w:r>
          </w:p>
        </w:tc>
        <w:tc>
          <w:tcPr>
            <w:tcW w:w="3283" w:type="dxa"/>
            <w:gridSpan w:val="2"/>
            <w:vAlign w:val="center"/>
          </w:tcPr>
          <w:p>
            <w:pPr>
              <w:spacing w:line="240" w:lineRule="exact"/>
              <w:jc w:val="center"/>
              <w:rPr>
                <w:rFonts w:ascii="仿宋_GB2312" w:eastAsia="仿宋_GB2312"/>
                <w:sz w:val="18"/>
                <w:szCs w:val="18"/>
              </w:rPr>
            </w:pPr>
            <w:r>
              <w:rPr>
                <w:rFonts w:hint="eastAsia" w:ascii="仿宋_GB2312" w:eastAsia="仿宋_GB2312"/>
                <w:sz w:val="18"/>
                <w:szCs w:val="18"/>
              </w:rPr>
              <w:t>职责</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责任人</w:t>
            </w:r>
          </w:p>
        </w:tc>
        <w:tc>
          <w:tcPr>
            <w:tcW w:w="15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联系电话</w:t>
            </w: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社保中心</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负责落实好参与突发公共卫生事件应急处理工作人员的工伤、保险待遇</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梁春玲</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财政所</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负责及时落实突发公共卫生事件应急处置所需经费</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黄晓会</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农服中心</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组织做好家畜家禽疫病的防治工作，开展与人类接触密切的家畜家禽及野生动物相关传染病的监测和管理工作</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麻志杰</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乡村办</w:t>
            </w:r>
          </w:p>
        </w:tc>
        <w:tc>
          <w:tcPr>
            <w:tcW w:w="3283" w:type="dxa"/>
            <w:gridSpan w:val="2"/>
            <w:vMerge w:val="restart"/>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负责清除垃圾污物；配合爱国卫生运动，提高环境卫生水平；加强对辖区单位、村（社区）消毒预防工作</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梁业连</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社会</w:t>
            </w:r>
          </w:p>
          <w:p>
            <w:pPr>
              <w:spacing w:line="240" w:lineRule="exact"/>
              <w:jc w:val="center"/>
              <w:rPr>
                <w:rFonts w:ascii="仿宋_GB2312" w:eastAsia="仿宋_GB2312"/>
                <w:sz w:val="18"/>
                <w:szCs w:val="18"/>
              </w:rPr>
            </w:pPr>
            <w:r>
              <w:rPr>
                <w:rFonts w:hint="eastAsia" w:ascii="仿宋_GB2312" w:eastAsia="仿宋_GB2312"/>
                <w:sz w:val="18"/>
                <w:szCs w:val="18"/>
              </w:rPr>
              <w:t>事务办</w:t>
            </w:r>
          </w:p>
        </w:tc>
        <w:tc>
          <w:tcPr>
            <w:tcW w:w="3283" w:type="dxa"/>
            <w:gridSpan w:val="2"/>
            <w:vMerge w:val="continue"/>
            <w:vAlign w:val="center"/>
          </w:tcPr>
          <w:p>
            <w:pPr>
              <w:spacing w:line="240" w:lineRule="exact"/>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黄月媚</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乡村建设</w:t>
            </w:r>
          </w:p>
          <w:p>
            <w:pPr>
              <w:spacing w:line="240" w:lineRule="exact"/>
              <w:jc w:val="center"/>
              <w:rPr>
                <w:rFonts w:ascii="仿宋_GB2312" w:eastAsia="仿宋_GB2312"/>
                <w:sz w:val="18"/>
                <w:szCs w:val="18"/>
              </w:rPr>
            </w:pPr>
            <w:r>
              <w:rPr>
                <w:rFonts w:hint="eastAsia" w:ascii="仿宋_GB2312" w:eastAsia="仿宋_GB2312"/>
                <w:sz w:val="18"/>
                <w:szCs w:val="18"/>
              </w:rPr>
              <w:t>综合服务</w:t>
            </w:r>
          </w:p>
          <w:p>
            <w:pPr>
              <w:spacing w:line="240" w:lineRule="exact"/>
              <w:jc w:val="center"/>
              <w:rPr>
                <w:rFonts w:ascii="仿宋_GB2312" w:eastAsia="仿宋_GB2312"/>
                <w:sz w:val="18"/>
                <w:szCs w:val="18"/>
              </w:rPr>
            </w:pPr>
            <w:r>
              <w:rPr>
                <w:rFonts w:hint="eastAsia" w:ascii="仿宋_GB2312" w:eastAsia="仿宋_GB2312"/>
                <w:sz w:val="18"/>
                <w:szCs w:val="18"/>
              </w:rPr>
              <w:t>中心</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负责协助有关部门做好交通运输行业相关检疫、查验工作；负责指导住宅小区、建筑工地等高危场所的防控措施落实；配合做好车站及公共运输交通工具与场所的消毒等工作；依法组织、协调事故的调查处理工作</w:t>
            </w:r>
          </w:p>
        </w:tc>
        <w:tc>
          <w:tcPr>
            <w:tcW w:w="850" w:type="dxa"/>
            <w:vAlign w:val="center"/>
          </w:tcPr>
          <w:p>
            <w:pPr>
              <w:spacing w:line="240" w:lineRule="exact"/>
              <w:rPr>
                <w:rFonts w:ascii="仿宋_GB2312" w:eastAsia="仿宋_GB2312"/>
                <w:sz w:val="18"/>
                <w:szCs w:val="18"/>
              </w:rPr>
            </w:pPr>
            <w:r>
              <w:rPr>
                <w:rFonts w:hint="eastAsia" w:ascii="仿宋_GB2312" w:eastAsia="仿宋_GB2312"/>
                <w:sz w:val="18"/>
                <w:szCs w:val="18"/>
              </w:rPr>
              <w:t>张海安</w:t>
            </w:r>
          </w:p>
        </w:tc>
        <w:tc>
          <w:tcPr>
            <w:tcW w:w="1526" w:type="dxa"/>
            <w:vAlign w:val="center"/>
          </w:tcPr>
          <w:p>
            <w:pPr>
              <w:spacing w:line="240" w:lineRule="exact"/>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空港市场</w:t>
            </w:r>
          </w:p>
          <w:p>
            <w:pPr>
              <w:spacing w:line="240" w:lineRule="exact"/>
              <w:jc w:val="center"/>
              <w:rPr>
                <w:rFonts w:ascii="仿宋_GB2312" w:eastAsia="仿宋_GB2312"/>
                <w:sz w:val="18"/>
                <w:szCs w:val="18"/>
              </w:rPr>
            </w:pPr>
            <w:r>
              <w:rPr>
                <w:rFonts w:hint="eastAsia" w:ascii="仿宋_GB2312" w:eastAsia="仿宋_GB2312"/>
                <w:sz w:val="18"/>
                <w:szCs w:val="18"/>
              </w:rPr>
              <w:t>监督管理所</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突发公共卫生事件处置过程中的食品安全的监督管理工作；负责指导辖区内市场、超市、车站、酒店等场所落实防控措施；负责突发公共卫生事件所需医疗放治药品、医疗器械的质量监督，维护药品、医疗器械生产经营正常秩序，依法打击各种违法行为确保医疗救治药品、医器械安全有效</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赵秋瑜</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纪委办</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负责调查处理突发公共卫生事件期间的违规违纪、失职渎职事件，并追究有关人员的责任</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刘启明</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宣传办</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及时报道卫健部门授权发布的突发公共卫生事件信息，正确引导舆论；加强突发公共卫生事件应急处理宣传报道的管理与引导；配合做好心理危机干预和防病知识普及；负责加强辖区学校突发公共卫生事件防范工作</w:t>
            </w:r>
          </w:p>
        </w:tc>
        <w:tc>
          <w:tcPr>
            <w:tcW w:w="850" w:type="dxa"/>
            <w:vAlign w:val="center"/>
          </w:tcPr>
          <w:p>
            <w:pPr>
              <w:spacing w:line="240" w:lineRule="exact"/>
              <w:rPr>
                <w:rFonts w:ascii="仿宋_GB2312" w:eastAsia="仿宋_GB2312"/>
                <w:sz w:val="18"/>
                <w:szCs w:val="18"/>
              </w:rPr>
            </w:pPr>
            <w:r>
              <w:rPr>
                <w:rFonts w:hint="eastAsia" w:ascii="仿宋_GB2312" w:eastAsia="仿宋_GB2312"/>
                <w:sz w:val="18"/>
                <w:szCs w:val="18"/>
              </w:rPr>
              <w:t>杨永照</w:t>
            </w:r>
          </w:p>
        </w:tc>
        <w:tc>
          <w:tcPr>
            <w:tcW w:w="1526" w:type="dxa"/>
            <w:vAlign w:val="center"/>
          </w:tcPr>
          <w:p>
            <w:pPr>
              <w:spacing w:line="240" w:lineRule="exact"/>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经发办</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负责组织做好居民日常生活必需品的供应；做好辖区木板厂、破产厂矿等企业突发公共卫生事件应急处置指导工作；做好受灾群众的紧急转移、安置工作，对特困群众进行救助；协调做好其他善后工作</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张识辉</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卫计所</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突发公共卫生事件信息的收集、分析；配合经开区卫计局做好传染病病人的流行病学调查、事件现场卫生处置工作；开展健康教育，保护易感人群，防止疫情扩散;确保在上级部门的统一指挥下，卫生防疫工作高效、有序进行</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黄增昌</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综治办</w:t>
            </w:r>
          </w:p>
        </w:tc>
        <w:tc>
          <w:tcPr>
            <w:tcW w:w="3283" w:type="dxa"/>
            <w:gridSpan w:val="2"/>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负责协调突发公共卫生事件现场处理和控制过程中的有关工作;协调做好社会稳定等工作</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苏安东</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rPr>
                <w:rFonts w:ascii="仿宋_GB2312" w:eastAsia="仿宋_GB2312"/>
                <w:sz w:val="18"/>
                <w:szCs w:val="18"/>
              </w:rPr>
            </w:pPr>
            <w:r>
              <w:rPr>
                <w:rFonts w:hint="eastAsia" w:ascii="仿宋_GB2312" w:eastAsia="仿宋_GB2312"/>
                <w:sz w:val="18"/>
                <w:szCs w:val="18"/>
              </w:rPr>
              <w:t>吴圩派出所</w:t>
            </w:r>
          </w:p>
        </w:tc>
        <w:tc>
          <w:tcPr>
            <w:tcW w:w="3283" w:type="dxa"/>
            <w:gridSpan w:val="2"/>
            <w:vMerge w:val="restart"/>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密切关注与疫情有关的社会动态，依法、及时、妥善地处置与疫情有关的突发性群体性事件，查处打击违法犯罪活动，维护社会稳定;在紧急情况下实行交通管制的职责;协助卫生部门依法落实强制隔离</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苏昊</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rPr>
                <w:rFonts w:ascii="仿宋_GB2312" w:eastAsia="仿宋_GB2312"/>
                <w:sz w:val="18"/>
                <w:szCs w:val="18"/>
              </w:rPr>
            </w:pPr>
            <w:r>
              <w:rPr>
                <w:rFonts w:hint="eastAsia" w:ascii="仿宋_GB2312" w:eastAsia="仿宋_GB2312"/>
                <w:sz w:val="18"/>
                <w:szCs w:val="18"/>
              </w:rPr>
              <w:t>明阳派出所</w:t>
            </w:r>
          </w:p>
        </w:tc>
        <w:tc>
          <w:tcPr>
            <w:tcW w:w="3283" w:type="dxa"/>
            <w:gridSpan w:val="2"/>
            <w:vMerge w:val="continue"/>
            <w:vAlign w:val="center"/>
          </w:tcPr>
          <w:p>
            <w:pPr>
              <w:spacing w:line="240" w:lineRule="exact"/>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黄磊</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镇中心</w:t>
            </w:r>
          </w:p>
          <w:p>
            <w:pPr>
              <w:spacing w:line="240" w:lineRule="exact"/>
              <w:jc w:val="center"/>
              <w:rPr>
                <w:rFonts w:ascii="仿宋_GB2312" w:eastAsia="仿宋_GB2312"/>
                <w:sz w:val="18"/>
                <w:szCs w:val="18"/>
              </w:rPr>
            </w:pPr>
            <w:r>
              <w:rPr>
                <w:rFonts w:hint="eastAsia" w:ascii="仿宋_GB2312" w:eastAsia="仿宋_GB2312"/>
                <w:sz w:val="18"/>
                <w:szCs w:val="18"/>
              </w:rPr>
              <w:t>卫生院</w:t>
            </w:r>
          </w:p>
        </w:tc>
        <w:tc>
          <w:tcPr>
            <w:tcW w:w="3283" w:type="dxa"/>
            <w:gridSpan w:val="2"/>
            <w:vMerge w:val="restart"/>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是辖区突发公共卫生事件应急处理的技术机构，主要负责医疗救治、技术支撑、疫情控制、中毒处置、放射事故控制、健康教育、物资供应、信息收集和措施落实</w:t>
            </w: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莫春莲</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明阳工业园区社区卫生服务中心</w:t>
            </w:r>
          </w:p>
        </w:tc>
        <w:tc>
          <w:tcPr>
            <w:tcW w:w="3283" w:type="dxa"/>
            <w:gridSpan w:val="2"/>
            <w:vMerge w:val="continue"/>
            <w:vAlign w:val="center"/>
          </w:tcPr>
          <w:p>
            <w:pPr>
              <w:spacing w:line="240" w:lineRule="exact"/>
              <w:rPr>
                <w:rFonts w:ascii="仿宋_GB2312" w:eastAsia="仿宋_GB2312"/>
                <w:sz w:val="18"/>
                <w:szCs w:val="18"/>
              </w:rPr>
            </w:pPr>
          </w:p>
        </w:tc>
        <w:tc>
          <w:tcPr>
            <w:tcW w:w="85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陈宣恺</w:t>
            </w:r>
          </w:p>
        </w:tc>
        <w:tc>
          <w:tcPr>
            <w:tcW w:w="1526" w:type="dxa"/>
            <w:vAlign w:val="center"/>
          </w:tcPr>
          <w:p>
            <w:pPr>
              <w:spacing w:line="240" w:lineRule="exact"/>
              <w:jc w:val="center"/>
              <w:rPr>
                <w:rFonts w:ascii="仿宋_GB2312" w:eastAsia="仿宋_GB2312"/>
                <w:sz w:val="18"/>
                <w:szCs w:val="18"/>
              </w:rPr>
            </w:pP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应急处置</w:t>
            </w:r>
          </w:p>
        </w:tc>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报告响应</w:t>
            </w: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责任</w:t>
            </w:r>
          </w:p>
          <w:p>
            <w:pPr>
              <w:spacing w:line="240" w:lineRule="exact"/>
              <w:jc w:val="center"/>
              <w:rPr>
                <w:rFonts w:ascii="仿宋_GB2312" w:eastAsia="仿宋_GB2312"/>
                <w:sz w:val="18"/>
                <w:szCs w:val="18"/>
              </w:rPr>
            </w:pPr>
            <w:r>
              <w:rPr>
                <w:rFonts w:hint="eastAsia" w:ascii="仿宋_GB2312" w:eastAsia="仿宋_GB2312"/>
                <w:sz w:val="18"/>
                <w:szCs w:val="18"/>
              </w:rPr>
              <w:t>报告人</w:t>
            </w:r>
          </w:p>
        </w:tc>
        <w:tc>
          <w:tcPr>
            <w:tcW w:w="6713" w:type="dxa"/>
            <w:gridSpan w:val="5"/>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凡执行职务的医疗保健人员、疾病预防控制人员、卫生监督人员和个体开业医生均为责任报告人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报告内容</w:t>
            </w:r>
          </w:p>
        </w:tc>
        <w:tc>
          <w:tcPr>
            <w:tcW w:w="6713" w:type="dxa"/>
            <w:gridSpan w:val="5"/>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发生或者可能发生传染病暴发、流行，发生或者可能发生不明原因的群众性疾病，发生或者可能发生重大食物中毒和职业中毒，多例相同症状不明原因死亡等有关情况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报告程序和时限</w:t>
            </w:r>
          </w:p>
        </w:tc>
        <w:tc>
          <w:tcPr>
            <w:tcW w:w="6713" w:type="dxa"/>
            <w:gridSpan w:val="5"/>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1</w:t>
            </w:r>
            <w:r>
              <w:rPr>
                <w:rFonts w:ascii="仿宋_GB2312" w:eastAsia="仿宋_GB2312"/>
                <w:sz w:val="18"/>
                <w:szCs w:val="18"/>
              </w:rPr>
              <w:t>.</w:t>
            </w:r>
            <w:r>
              <w:rPr>
                <w:rFonts w:hint="eastAsia" w:ascii="仿宋_GB2312" w:eastAsia="仿宋_GB2312"/>
                <w:sz w:val="18"/>
                <w:szCs w:val="18"/>
              </w:rPr>
              <w:t>责任报告人除按常规疫情报告、疾病</w:t>
            </w:r>
            <w:bookmarkStart w:id="0" w:name="_GoBack"/>
            <w:bookmarkEnd w:id="0"/>
            <w:r>
              <w:rPr>
                <w:rFonts w:hint="eastAsia" w:ascii="仿宋_GB2312" w:eastAsia="仿宋_GB2312"/>
                <w:sz w:val="18"/>
                <w:szCs w:val="18"/>
                <w:lang w:eastAsia="zh-CN"/>
              </w:rPr>
              <w:t>监测</w:t>
            </w:r>
            <w:r>
              <w:rPr>
                <w:rFonts w:hint="eastAsia" w:ascii="仿宋_GB2312" w:eastAsia="仿宋_GB2312"/>
                <w:sz w:val="18"/>
                <w:szCs w:val="18"/>
              </w:rPr>
              <w:t>及其他常规监测系统规定要求进行报告外、对发现的各种公共卫生异常现象，在网络直报的同时，应当在</w:t>
            </w:r>
            <w:r>
              <w:rPr>
                <w:rFonts w:ascii="仿宋_GB2312" w:eastAsia="仿宋_GB2312"/>
                <w:sz w:val="18"/>
                <w:szCs w:val="18"/>
              </w:rPr>
              <w:t>2</w:t>
            </w:r>
            <w:r>
              <w:rPr>
                <w:rFonts w:hint="eastAsia" w:ascii="仿宋_GB2312" w:eastAsia="仿宋_GB2312"/>
                <w:sz w:val="18"/>
                <w:szCs w:val="18"/>
              </w:rPr>
              <w:t>小时内迅速向领导小组办公室报告。</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2</w:t>
            </w:r>
            <w:r>
              <w:rPr>
                <w:rFonts w:ascii="仿宋_GB2312" w:eastAsia="仿宋_GB2312"/>
                <w:sz w:val="18"/>
                <w:szCs w:val="18"/>
              </w:rPr>
              <w:t>.</w:t>
            </w:r>
            <w:r>
              <w:rPr>
                <w:rFonts w:hint="eastAsia" w:ascii="仿宋_GB2312" w:eastAsia="仿宋_GB2312"/>
                <w:sz w:val="18"/>
                <w:szCs w:val="18"/>
              </w:rPr>
              <w:t>领导小组办公室接到医疗卫生机构、公共卫生监测点和有关单位发现突发事件报告后，立即组织进行现场调查确认，及时采取措施进行先期处置，及时分析其对公众健康的危害程度、可能的发展趋势，当初步判断为突发公共卫生事件时，区分疫情或中毒，立即报告领导小组，领导小组研究后报经开区卫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应急处置</w:t>
            </w:r>
          </w:p>
        </w:tc>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分级响应机制</w:t>
            </w: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等级</w:t>
            </w:r>
          </w:p>
        </w:tc>
        <w:tc>
          <w:tcPr>
            <w:tcW w:w="5659" w:type="dxa"/>
            <w:gridSpan w:val="4"/>
            <w:vAlign w:val="center"/>
          </w:tcPr>
          <w:p>
            <w:pPr>
              <w:tabs>
                <w:tab w:val="left" w:pos="3697"/>
              </w:tabs>
              <w:spacing w:line="240" w:lineRule="exact"/>
              <w:jc w:val="center"/>
              <w:rPr>
                <w:rFonts w:ascii="仿宋_GB2312" w:eastAsia="仿宋_GB2312"/>
                <w:sz w:val="18"/>
                <w:szCs w:val="18"/>
              </w:rPr>
            </w:pPr>
            <w:r>
              <w:rPr>
                <w:rFonts w:hint="eastAsia" w:ascii="仿宋_GB2312" w:eastAsia="仿宋_GB2312"/>
                <w:sz w:val="18"/>
                <w:szCs w:val="18"/>
              </w:rPr>
              <w:t>标准</w:t>
            </w:r>
          </w:p>
        </w:tc>
        <w:tc>
          <w:tcPr>
            <w:tcW w:w="1054"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IV级预警</w:t>
            </w:r>
          </w:p>
          <w:p>
            <w:pPr>
              <w:spacing w:line="240" w:lineRule="exact"/>
              <w:jc w:val="center"/>
              <w:rPr>
                <w:rFonts w:ascii="仿宋_GB2312" w:eastAsia="仿宋_GB2312"/>
                <w:sz w:val="18"/>
                <w:szCs w:val="18"/>
              </w:rPr>
            </w:pPr>
            <w:r>
              <w:rPr>
                <w:rFonts w:hint="eastAsia" w:ascii="仿宋_GB2312" w:eastAsia="仿宋_GB2312"/>
                <w:sz w:val="18"/>
                <w:szCs w:val="18"/>
              </w:rPr>
              <w:t>（一般）</w:t>
            </w:r>
          </w:p>
        </w:tc>
        <w:tc>
          <w:tcPr>
            <w:tcW w:w="5659" w:type="dxa"/>
            <w:gridSpan w:val="4"/>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指由县级以上卫生行政部门认定，存在发生重大传染病的潜在危险因素，尚未引起重大传染病的发生和扩散，还没达到规定的较大突发公共卫生事件标准的突发公卫事件</w:t>
            </w:r>
          </w:p>
        </w:tc>
        <w:tc>
          <w:tcPr>
            <w:tcW w:w="1054" w:type="dxa"/>
            <w:vAlign w:val="center"/>
          </w:tcPr>
          <w:p>
            <w:pPr>
              <w:spacing w:line="240" w:lineRule="exact"/>
              <w:jc w:val="lef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III级预警（较大）</w:t>
            </w:r>
          </w:p>
        </w:tc>
        <w:tc>
          <w:tcPr>
            <w:tcW w:w="5659" w:type="dxa"/>
            <w:gridSpan w:val="4"/>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指由市级以上卫生行政部门认定，出现疫情或小范围内的扩散，尚未达到规定的重大突发公共卫生事件标准的突发公共卫生事件</w:t>
            </w: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II级预警</w:t>
            </w:r>
          </w:p>
          <w:p>
            <w:pPr>
              <w:spacing w:line="240" w:lineRule="exact"/>
              <w:jc w:val="center"/>
              <w:rPr>
                <w:rFonts w:ascii="仿宋_GB2312" w:eastAsia="仿宋_GB2312"/>
                <w:sz w:val="18"/>
                <w:szCs w:val="18"/>
              </w:rPr>
            </w:pPr>
            <w:r>
              <w:rPr>
                <w:rFonts w:hint="eastAsia" w:ascii="仿宋_GB2312" w:eastAsia="仿宋_GB2312"/>
                <w:sz w:val="18"/>
                <w:szCs w:val="18"/>
              </w:rPr>
              <w:t>（重大）</w:t>
            </w:r>
          </w:p>
        </w:tc>
        <w:tc>
          <w:tcPr>
            <w:tcW w:w="5659" w:type="dxa"/>
            <w:gridSpan w:val="4"/>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指由自治区级以上卫生行政部门认定，出现重大传染病疫情，或疫情涉及人数多或出现死亡病例，危害严重、影响重大的突发公共卫生事件</w:t>
            </w: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I级预警</w:t>
            </w:r>
          </w:p>
          <w:p>
            <w:pPr>
              <w:spacing w:line="240" w:lineRule="exact"/>
              <w:jc w:val="center"/>
              <w:rPr>
                <w:rFonts w:ascii="仿宋_GB2312" w:eastAsia="仿宋_GB2312"/>
                <w:sz w:val="18"/>
                <w:szCs w:val="18"/>
              </w:rPr>
            </w:pPr>
            <w:r>
              <w:rPr>
                <w:rFonts w:hint="eastAsia" w:ascii="仿宋_GB2312" w:eastAsia="仿宋_GB2312"/>
                <w:sz w:val="18"/>
                <w:szCs w:val="18"/>
              </w:rPr>
              <w:t>（特别重大）</w:t>
            </w:r>
          </w:p>
        </w:tc>
        <w:tc>
          <w:tcPr>
            <w:tcW w:w="5659" w:type="dxa"/>
            <w:gridSpan w:val="4"/>
            <w:vAlign w:val="center"/>
          </w:tcPr>
          <w:p>
            <w:pPr>
              <w:spacing w:line="240" w:lineRule="exact"/>
              <w:ind w:firstLine="360" w:firstLineChars="200"/>
              <w:rPr>
                <w:rFonts w:ascii="仿宋_GB2312" w:eastAsia="仿宋_GB2312"/>
                <w:sz w:val="18"/>
                <w:szCs w:val="18"/>
              </w:rPr>
            </w:pPr>
            <w:r>
              <w:rPr>
                <w:rFonts w:hint="eastAsia" w:ascii="仿宋_GB2312" w:eastAsia="仿宋_GB2312"/>
                <w:sz w:val="18"/>
                <w:szCs w:val="18"/>
              </w:rPr>
              <w:t>指国务院卫生行政主管部门认定的特别严重的突发公共卫生事件</w:t>
            </w:r>
          </w:p>
        </w:tc>
        <w:tc>
          <w:tcPr>
            <w:tcW w:w="1054" w:type="dxa"/>
            <w:vAlign w:val="center"/>
          </w:tcPr>
          <w:p>
            <w:pPr>
              <w:spacing w:line="240" w:lineRule="exact"/>
              <w:jc w:val="center"/>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应急处置措施</w:t>
            </w: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发生突发</w:t>
            </w:r>
          </w:p>
          <w:p>
            <w:pPr>
              <w:spacing w:line="240" w:lineRule="exact"/>
              <w:jc w:val="center"/>
              <w:rPr>
                <w:rFonts w:ascii="仿宋_GB2312" w:eastAsia="仿宋_GB2312"/>
                <w:sz w:val="18"/>
                <w:szCs w:val="18"/>
              </w:rPr>
            </w:pPr>
            <w:r>
              <w:rPr>
                <w:rFonts w:hint="eastAsia" w:ascii="仿宋_GB2312" w:eastAsia="仿宋_GB2312"/>
                <w:sz w:val="18"/>
                <w:szCs w:val="18"/>
              </w:rPr>
              <w:t>公共卫生</w:t>
            </w:r>
          </w:p>
          <w:p>
            <w:pPr>
              <w:spacing w:line="240" w:lineRule="exact"/>
              <w:jc w:val="center"/>
              <w:rPr>
                <w:rFonts w:ascii="仿宋_GB2312" w:eastAsia="仿宋_GB2312"/>
                <w:sz w:val="18"/>
                <w:szCs w:val="18"/>
              </w:rPr>
            </w:pPr>
            <w:r>
              <w:rPr>
                <w:rFonts w:hint="eastAsia" w:ascii="仿宋_GB2312" w:eastAsia="仿宋_GB2312"/>
                <w:sz w:val="18"/>
                <w:szCs w:val="18"/>
              </w:rPr>
              <w:t>事件的应急反应措施</w:t>
            </w:r>
          </w:p>
        </w:tc>
        <w:tc>
          <w:tcPr>
            <w:tcW w:w="6713" w:type="dxa"/>
            <w:gridSpan w:val="5"/>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1</w:t>
            </w:r>
            <w:r>
              <w:rPr>
                <w:rFonts w:ascii="仿宋_GB2312" w:eastAsia="仿宋_GB2312"/>
                <w:sz w:val="18"/>
                <w:szCs w:val="18"/>
              </w:rPr>
              <w:t>.</w:t>
            </w:r>
            <w:r>
              <w:rPr>
                <w:rFonts w:hint="eastAsia" w:ascii="仿宋_GB2312" w:eastAsia="仿宋_GB2312"/>
                <w:sz w:val="18"/>
                <w:szCs w:val="18"/>
              </w:rPr>
              <w:t>根据突发公共卫生事件应急处理的需要，组织镇区各有关部门(单位)协调人员、物资、交通工具、相关设施和设备，参加应急处理工作。</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2.卫计所配合经开区卫计局对辖区内发生的突发公共卫生事件开展流行病学调查，提供相关信息；根据实际需要建立临时隔离场所，对需要进行隔离的辖区居民、外来人员及外出返回人员，实施家庭隔离观察或集中隔离观察；镇中心卫生院、明阳工业园区社区卫生服务中心做好应急接种、预防性服药等防控措施的组织与落实；乡村办、社会事务办开展公共场所的消毒、杀虫、灭鼠等工作;农服中心做好动物疫病的防治工作和对辖区内禽畜和野生动物等异常病死情况，及时报告，并采取保护现场、监督深埋或劝阻食用等措施; 经发办做好受灾群众的紧急转移、安置工作，对特困群众进行救助。</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3.辖区内发生疑似食物或职业中毒时相关部门要及时向镇政府和相关部门报告，并做好中毒样品的采集及其他各项公共卫生措施的落实工作;及时通知急救中心对中毒病人实施抢救;必要时通知公安部门，配合做好现场保护工作，组织群众疏散、协助专业机构开展中毒原因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Merge w:val="continue"/>
            <w:vAlign w:val="center"/>
          </w:tcPr>
          <w:p>
            <w:pPr>
              <w:spacing w:line="240" w:lineRule="exact"/>
              <w:jc w:val="center"/>
              <w:rPr>
                <w:rFonts w:ascii="仿宋_GB2312" w:eastAsia="仿宋_GB2312"/>
                <w:sz w:val="18"/>
                <w:szCs w:val="18"/>
              </w:rPr>
            </w:pPr>
          </w:p>
        </w:tc>
        <w:tc>
          <w:tcPr>
            <w:tcW w:w="1240"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未发生突发公共卫生</w:t>
            </w:r>
          </w:p>
          <w:p>
            <w:pPr>
              <w:spacing w:line="240" w:lineRule="exact"/>
              <w:jc w:val="center"/>
              <w:rPr>
                <w:rFonts w:ascii="仿宋_GB2312" w:eastAsia="仿宋_GB2312"/>
                <w:sz w:val="18"/>
                <w:szCs w:val="18"/>
              </w:rPr>
            </w:pPr>
            <w:r>
              <w:rPr>
                <w:rFonts w:hint="eastAsia" w:ascii="仿宋_GB2312" w:eastAsia="仿宋_GB2312"/>
                <w:sz w:val="18"/>
                <w:szCs w:val="18"/>
              </w:rPr>
              <w:t>事件的防控措施</w:t>
            </w:r>
          </w:p>
          <w:p>
            <w:pPr>
              <w:spacing w:line="240" w:lineRule="exact"/>
              <w:rPr>
                <w:rFonts w:ascii="仿宋_GB2312" w:eastAsia="仿宋_GB2312"/>
                <w:sz w:val="18"/>
                <w:szCs w:val="18"/>
              </w:rPr>
            </w:pPr>
          </w:p>
        </w:tc>
        <w:tc>
          <w:tcPr>
            <w:tcW w:w="6713" w:type="dxa"/>
            <w:gridSpan w:val="5"/>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根据其他地区发生突发公共卫生事件的性质、特点、范围和发展趋势，分析本辖区受到涉及的可能性和程度，相关部门根据职能应做好以下工作</w:t>
            </w:r>
            <w:r>
              <w:rPr>
                <w:rFonts w:ascii="仿宋_GB2312" w:eastAsia="仿宋_GB2312"/>
                <w:sz w:val="18"/>
                <w:szCs w:val="18"/>
              </w:rPr>
              <w:t>:</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1.与上级突发公共卫生事件应急领导小组保持联系，密切关注事件发生地区的相关信息。</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2.组织好本辖区内应急处理所需的人员和物资准备。</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3.开展辖区重点单位、重点人群、重点场所和重点环节的监督检查，及时发现并处理公共卫生安全隐患。</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4.配合专业防治机构，开展疾病及相关因素的监测和预防控制工作，加强突发公共事件相关信息管理报告工作。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396"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保障措施</w:t>
            </w:r>
          </w:p>
        </w:tc>
        <w:tc>
          <w:tcPr>
            <w:tcW w:w="396" w:type="dxa"/>
            <w:vAlign w:val="center"/>
          </w:tcPr>
          <w:p>
            <w:pPr>
              <w:spacing w:line="240" w:lineRule="exact"/>
              <w:rPr>
                <w:rFonts w:ascii="仿宋_GB2312" w:eastAsia="仿宋_GB2312"/>
                <w:sz w:val="18"/>
                <w:szCs w:val="18"/>
              </w:rPr>
            </w:pPr>
            <w:r>
              <w:rPr>
                <w:rFonts w:hint="eastAsia" w:ascii="仿宋_GB2312" w:eastAsia="仿宋_GB2312"/>
                <w:sz w:val="18"/>
                <w:szCs w:val="18"/>
              </w:rPr>
              <w:t>物资经费保障</w:t>
            </w:r>
          </w:p>
        </w:tc>
        <w:tc>
          <w:tcPr>
            <w:tcW w:w="7953" w:type="dxa"/>
            <w:gridSpan w:val="6"/>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1.卫计所、财政所要加强沟通、协调配合，建立处置突发公共卫生事件的物资储备、落实突发公共卫生事件应急处置经费。</w:t>
            </w:r>
          </w:p>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2.发生突发公共卫生事件时，卫生部门可根据应急处置工作需要，从有关部门(单位)调用储备物资。卫生应急</w:t>
            </w:r>
            <w:r>
              <w:rPr>
                <w:rFonts w:ascii="仿宋_GB2312" w:eastAsia="仿宋_GB2312"/>
                <w:sz w:val="18"/>
                <w:szCs w:val="18"/>
              </w:rPr>
              <w:t>储备物资使用后须及时补充。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法律保障</w:t>
            </w:r>
          </w:p>
        </w:tc>
        <w:tc>
          <w:tcPr>
            <w:tcW w:w="7953" w:type="dxa"/>
            <w:gridSpan w:val="6"/>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各有关部门(单位)要严格执行《突发公共卫生事件应急条例》等法律法规规定，并根据本预案要求，严格履行职责切实落实责任制。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dxa"/>
            <w:vMerge w:val="continue"/>
            <w:vAlign w:val="center"/>
          </w:tcPr>
          <w:p>
            <w:pPr>
              <w:spacing w:line="240" w:lineRule="exact"/>
              <w:jc w:val="center"/>
              <w:rPr>
                <w:rFonts w:ascii="仿宋_GB2312" w:eastAsia="仿宋_GB2312"/>
                <w:sz w:val="18"/>
                <w:szCs w:val="18"/>
              </w:rPr>
            </w:pPr>
          </w:p>
        </w:tc>
        <w:tc>
          <w:tcPr>
            <w:tcW w:w="3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宣传教育</w:t>
            </w:r>
          </w:p>
        </w:tc>
        <w:tc>
          <w:tcPr>
            <w:tcW w:w="7953" w:type="dxa"/>
            <w:gridSpan w:val="6"/>
            <w:vAlign w:val="center"/>
          </w:tcPr>
          <w:p>
            <w:pPr>
              <w:spacing w:line="240" w:lineRule="exact"/>
              <w:ind w:firstLine="360" w:firstLineChars="200"/>
              <w:jc w:val="left"/>
              <w:rPr>
                <w:rFonts w:ascii="仿宋_GB2312" w:eastAsia="仿宋_GB2312"/>
                <w:sz w:val="18"/>
                <w:szCs w:val="18"/>
              </w:rPr>
            </w:pPr>
            <w:r>
              <w:rPr>
                <w:rFonts w:hint="eastAsia" w:ascii="仿宋_GB2312" w:eastAsia="仿宋_GB2312"/>
                <w:sz w:val="18"/>
                <w:szCs w:val="18"/>
              </w:rPr>
              <w:t>卫计所、宣传办要多种途径、多形式对社会公众广泛开展突发公共卫生事件应急知识的普及教育，宣传卫生科普知识，指导群众以科学的行为和方式对待突发公共卫生事件。</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footerReference r:id="rId4" w:type="first"/>
      <w:footerReference r:id="rId3" w:type="default"/>
      <w:pgSz w:w="11906" w:h="16838"/>
      <w:pgMar w:top="1440" w:right="1474" w:bottom="1440" w:left="1474"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01ADB"/>
    <w:rsid w:val="00001DB8"/>
    <w:rsid w:val="00005DC3"/>
    <w:rsid w:val="000065D5"/>
    <w:rsid w:val="00010B41"/>
    <w:rsid w:val="00014A13"/>
    <w:rsid w:val="00023515"/>
    <w:rsid w:val="00027763"/>
    <w:rsid w:val="0003204A"/>
    <w:rsid w:val="000530BF"/>
    <w:rsid w:val="000607FC"/>
    <w:rsid w:val="00062C35"/>
    <w:rsid w:val="000631C7"/>
    <w:rsid w:val="00064309"/>
    <w:rsid w:val="00070C83"/>
    <w:rsid w:val="00071514"/>
    <w:rsid w:val="0007334C"/>
    <w:rsid w:val="0008099F"/>
    <w:rsid w:val="0008145D"/>
    <w:rsid w:val="00081B23"/>
    <w:rsid w:val="000978D1"/>
    <w:rsid w:val="000A280D"/>
    <w:rsid w:val="000A5159"/>
    <w:rsid w:val="000B3EBB"/>
    <w:rsid w:val="000C21B5"/>
    <w:rsid w:val="000D0DE8"/>
    <w:rsid w:val="00116A1E"/>
    <w:rsid w:val="001333A1"/>
    <w:rsid w:val="00134DCA"/>
    <w:rsid w:val="0014145E"/>
    <w:rsid w:val="00156C1E"/>
    <w:rsid w:val="001A1769"/>
    <w:rsid w:val="001B5334"/>
    <w:rsid w:val="001B75E3"/>
    <w:rsid w:val="001C3D79"/>
    <w:rsid w:val="001D403A"/>
    <w:rsid w:val="001E019B"/>
    <w:rsid w:val="001E5AA6"/>
    <w:rsid w:val="001F17F9"/>
    <w:rsid w:val="001F3B67"/>
    <w:rsid w:val="002151AC"/>
    <w:rsid w:val="00222488"/>
    <w:rsid w:val="00231624"/>
    <w:rsid w:val="00236BCA"/>
    <w:rsid w:val="00240ED7"/>
    <w:rsid w:val="00245CC6"/>
    <w:rsid w:val="00246481"/>
    <w:rsid w:val="0027230E"/>
    <w:rsid w:val="00275680"/>
    <w:rsid w:val="00284318"/>
    <w:rsid w:val="0028598D"/>
    <w:rsid w:val="00292D1E"/>
    <w:rsid w:val="002A14D0"/>
    <w:rsid w:val="002A5E8B"/>
    <w:rsid w:val="002B0400"/>
    <w:rsid w:val="002D0ECA"/>
    <w:rsid w:val="002E03CB"/>
    <w:rsid w:val="002E0B3F"/>
    <w:rsid w:val="002E4044"/>
    <w:rsid w:val="00300A95"/>
    <w:rsid w:val="003141EB"/>
    <w:rsid w:val="0032437F"/>
    <w:rsid w:val="0032611D"/>
    <w:rsid w:val="00326486"/>
    <w:rsid w:val="0033406E"/>
    <w:rsid w:val="00337CCD"/>
    <w:rsid w:val="00342CB7"/>
    <w:rsid w:val="00346A9A"/>
    <w:rsid w:val="0035108D"/>
    <w:rsid w:val="00373F17"/>
    <w:rsid w:val="003825C5"/>
    <w:rsid w:val="003846D3"/>
    <w:rsid w:val="00387B42"/>
    <w:rsid w:val="00391953"/>
    <w:rsid w:val="003944D9"/>
    <w:rsid w:val="003A0226"/>
    <w:rsid w:val="003B1BE9"/>
    <w:rsid w:val="003C2AD1"/>
    <w:rsid w:val="003E08AD"/>
    <w:rsid w:val="003E57DD"/>
    <w:rsid w:val="00402172"/>
    <w:rsid w:val="00405536"/>
    <w:rsid w:val="004137EE"/>
    <w:rsid w:val="004376D5"/>
    <w:rsid w:val="00452733"/>
    <w:rsid w:val="00453165"/>
    <w:rsid w:val="004534CF"/>
    <w:rsid w:val="00456112"/>
    <w:rsid w:val="004678F5"/>
    <w:rsid w:val="004763B5"/>
    <w:rsid w:val="00476FA4"/>
    <w:rsid w:val="00477126"/>
    <w:rsid w:val="00482C84"/>
    <w:rsid w:val="00485263"/>
    <w:rsid w:val="00491978"/>
    <w:rsid w:val="004B6E7A"/>
    <w:rsid w:val="004D4E17"/>
    <w:rsid w:val="004E27A3"/>
    <w:rsid w:val="004E66F3"/>
    <w:rsid w:val="004F02DF"/>
    <w:rsid w:val="004F4F63"/>
    <w:rsid w:val="004F54BE"/>
    <w:rsid w:val="005071D2"/>
    <w:rsid w:val="00507686"/>
    <w:rsid w:val="00510DFC"/>
    <w:rsid w:val="00513AE1"/>
    <w:rsid w:val="00524AC6"/>
    <w:rsid w:val="00534E4B"/>
    <w:rsid w:val="00543361"/>
    <w:rsid w:val="00551B97"/>
    <w:rsid w:val="00554C4F"/>
    <w:rsid w:val="00566DC5"/>
    <w:rsid w:val="005720F8"/>
    <w:rsid w:val="00580B78"/>
    <w:rsid w:val="00596565"/>
    <w:rsid w:val="005A5063"/>
    <w:rsid w:val="005A5482"/>
    <w:rsid w:val="005A5C57"/>
    <w:rsid w:val="005C7259"/>
    <w:rsid w:val="005D65EC"/>
    <w:rsid w:val="005E352B"/>
    <w:rsid w:val="005F0205"/>
    <w:rsid w:val="005F0950"/>
    <w:rsid w:val="00610BFF"/>
    <w:rsid w:val="00614A48"/>
    <w:rsid w:val="0061564E"/>
    <w:rsid w:val="00616856"/>
    <w:rsid w:val="00625C86"/>
    <w:rsid w:val="00641D58"/>
    <w:rsid w:val="00646818"/>
    <w:rsid w:val="00646CE6"/>
    <w:rsid w:val="00647ED8"/>
    <w:rsid w:val="00670002"/>
    <w:rsid w:val="006749D4"/>
    <w:rsid w:val="00675EDB"/>
    <w:rsid w:val="006767F7"/>
    <w:rsid w:val="006854E4"/>
    <w:rsid w:val="0069162D"/>
    <w:rsid w:val="006A1DCE"/>
    <w:rsid w:val="006A495A"/>
    <w:rsid w:val="006B386A"/>
    <w:rsid w:val="006B6694"/>
    <w:rsid w:val="006C02AA"/>
    <w:rsid w:val="006C6F1A"/>
    <w:rsid w:val="006D2D6B"/>
    <w:rsid w:val="006D7F66"/>
    <w:rsid w:val="006E25BD"/>
    <w:rsid w:val="006E6785"/>
    <w:rsid w:val="006E6E20"/>
    <w:rsid w:val="006F320C"/>
    <w:rsid w:val="006F6D0A"/>
    <w:rsid w:val="00700DA5"/>
    <w:rsid w:val="007042BF"/>
    <w:rsid w:val="00705960"/>
    <w:rsid w:val="007157D6"/>
    <w:rsid w:val="00722B9A"/>
    <w:rsid w:val="0072674C"/>
    <w:rsid w:val="00731E98"/>
    <w:rsid w:val="007339F9"/>
    <w:rsid w:val="00752118"/>
    <w:rsid w:val="00766EC6"/>
    <w:rsid w:val="00766EFB"/>
    <w:rsid w:val="007733E7"/>
    <w:rsid w:val="007764A9"/>
    <w:rsid w:val="0078242F"/>
    <w:rsid w:val="0079485C"/>
    <w:rsid w:val="007A0989"/>
    <w:rsid w:val="007A39D5"/>
    <w:rsid w:val="007B70F2"/>
    <w:rsid w:val="007C58FE"/>
    <w:rsid w:val="007D3BD3"/>
    <w:rsid w:val="007D51D6"/>
    <w:rsid w:val="007E2E41"/>
    <w:rsid w:val="007E342A"/>
    <w:rsid w:val="007E6313"/>
    <w:rsid w:val="007F31BB"/>
    <w:rsid w:val="007F408A"/>
    <w:rsid w:val="007F5FF1"/>
    <w:rsid w:val="007F6F0E"/>
    <w:rsid w:val="00800403"/>
    <w:rsid w:val="00814733"/>
    <w:rsid w:val="00816C5B"/>
    <w:rsid w:val="00857020"/>
    <w:rsid w:val="00862222"/>
    <w:rsid w:val="00866756"/>
    <w:rsid w:val="008A53F4"/>
    <w:rsid w:val="008B63D9"/>
    <w:rsid w:val="008C4C00"/>
    <w:rsid w:val="008C5514"/>
    <w:rsid w:val="008E3B42"/>
    <w:rsid w:val="008E4169"/>
    <w:rsid w:val="00900FF7"/>
    <w:rsid w:val="00904A9E"/>
    <w:rsid w:val="009177DE"/>
    <w:rsid w:val="00920497"/>
    <w:rsid w:val="00924B86"/>
    <w:rsid w:val="0093187B"/>
    <w:rsid w:val="00934479"/>
    <w:rsid w:val="009466F8"/>
    <w:rsid w:val="0095721B"/>
    <w:rsid w:val="009618F1"/>
    <w:rsid w:val="00981A01"/>
    <w:rsid w:val="00986BF4"/>
    <w:rsid w:val="009A12AA"/>
    <w:rsid w:val="009A46DD"/>
    <w:rsid w:val="009A5CF5"/>
    <w:rsid w:val="009B6C3E"/>
    <w:rsid w:val="009C124C"/>
    <w:rsid w:val="009F0111"/>
    <w:rsid w:val="009F21EB"/>
    <w:rsid w:val="009F4D38"/>
    <w:rsid w:val="00A001AD"/>
    <w:rsid w:val="00A50C14"/>
    <w:rsid w:val="00A661D2"/>
    <w:rsid w:val="00AB2F25"/>
    <w:rsid w:val="00AB4673"/>
    <w:rsid w:val="00AB4FDA"/>
    <w:rsid w:val="00AC083E"/>
    <w:rsid w:val="00AC1A48"/>
    <w:rsid w:val="00AC3B74"/>
    <w:rsid w:val="00AE22C2"/>
    <w:rsid w:val="00AF40BA"/>
    <w:rsid w:val="00AF6489"/>
    <w:rsid w:val="00B039C7"/>
    <w:rsid w:val="00B04E43"/>
    <w:rsid w:val="00B05DEF"/>
    <w:rsid w:val="00B070F3"/>
    <w:rsid w:val="00B16E84"/>
    <w:rsid w:val="00B20161"/>
    <w:rsid w:val="00B2080E"/>
    <w:rsid w:val="00B22E90"/>
    <w:rsid w:val="00B260B4"/>
    <w:rsid w:val="00B32D5F"/>
    <w:rsid w:val="00B34707"/>
    <w:rsid w:val="00B4014E"/>
    <w:rsid w:val="00B44F5E"/>
    <w:rsid w:val="00B540A9"/>
    <w:rsid w:val="00B55DEC"/>
    <w:rsid w:val="00B649C7"/>
    <w:rsid w:val="00B73E1B"/>
    <w:rsid w:val="00B77680"/>
    <w:rsid w:val="00B804F5"/>
    <w:rsid w:val="00B84D53"/>
    <w:rsid w:val="00B90A9D"/>
    <w:rsid w:val="00B9186A"/>
    <w:rsid w:val="00BB0DBC"/>
    <w:rsid w:val="00BB6074"/>
    <w:rsid w:val="00BC0D06"/>
    <w:rsid w:val="00BE5E95"/>
    <w:rsid w:val="00C1558E"/>
    <w:rsid w:val="00C17D25"/>
    <w:rsid w:val="00C318E9"/>
    <w:rsid w:val="00C367D4"/>
    <w:rsid w:val="00C455B7"/>
    <w:rsid w:val="00C46EA0"/>
    <w:rsid w:val="00C5136F"/>
    <w:rsid w:val="00C5623C"/>
    <w:rsid w:val="00C60DA7"/>
    <w:rsid w:val="00C66FA1"/>
    <w:rsid w:val="00C8564B"/>
    <w:rsid w:val="00C966C7"/>
    <w:rsid w:val="00CA39B8"/>
    <w:rsid w:val="00CB0EBF"/>
    <w:rsid w:val="00CB2CC6"/>
    <w:rsid w:val="00CB4EE7"/>
    <w:rsid w:val="00CC37AE"/>
    <w:rsid w:val="00CD6EC1"/>
    <w:rsid w:val="00CF6AE1"/>
    <w:rsid w:val="00CF6BDE"/>
    <w:rsid w:val="00CF73DB"/>
    <w:rsid w:val="00D10694"/>
    <w:rsid w:val="00D24F81"/>
    <w:rsid w:val="00D31039"/>
    <w:rsid w:val="00D35921"/>
    <w:rsid w:val="00D35997"/>
    <w:rsid w:val="00D4305F"/>
    <w:rsid w:val="00D430A4"/>
    <w:rsid w:val="00D4697F"/>
    <w:rsid w:val="00D5019A"/>
    <w:rsid w:val="00D6124D"/>
    <w:rsid w:val="00D71F95"/>
    <w:rsid w:val="00D85000"/>
    <w:rsid w:val="00D93018"/>
    <w:rsid w:val="00D935EE"/>
    <w:rsid w:val="00D9499A"/>
    <w:rsid w:val="00DA201F"/>
    <w:rsid w:val="00DA4317"/>
    <w:rsid w:val="00DA483F"/>
    <w:rsid w:val="00DA711E"/>
    <w:rsid w:val="00DB1C05"/>
    <w:rsid w:val="00DB42A2"/>
    <w:rsid w:val="00DB52B1"/>
    <w:rsid w:val="00DB7D21"/>
    <w:rsid w:val="00DC0C7D"/>
    <w:rsid w:val="00DC6193"/>
    <w:rsid w:val="00DD31AD"/>
    <w:rsid w:val="00DE068F"/>
    <w:rsid w:val="00DE50A7"/>
    <w:rsid w:val="00DE73FA"/>
    <w:rsid w:val="00DF11F6"/>
    <w:rsid w:val="00DF120F"/>
    <w:rsid w:val="00E04523"/>
    <w:rsid w:val="00E14AD4"/>
    <w:rsid w:val="00E37ECF"/>
    <w:rsid w:val="00E408CC"/>
    <w:rsid w:val="00E42898"/>
    <w:rsid w:val="00E456F1"/>
    <w:rsid w:val="00E50207"/>
    <w:rsid w:val="00E83CFF"/>
    <w:rsid w:val="00E85526"/>
    <w:rsid w:val="00E939D3"/>
    <w:rsid w:val="00E97CE5"/>
    <w:rsid w:val="00EA0D8D"/>
    <w:rsid w:val="00EA7E36"/>
    <w:rsid w:val="00EC1B9E"/>
    <w:rsid w:val="00EC2F24"/>
    <w:rsid w:val="00ED5F43"/>
    <w:rsid w:val="00EE2FC8"/>
    <w:rsid w:val="00F001AB"/>
    <w:rsid w:val="00F01ADB"/>
    <w:rsid w:val="00F03A23"/>
    <w:rsid w:val="00F2010D"/>
    <w:rsid w:val="00F25134"/>
    <w:rsid w:val="00F27ED2"/>
    <w:rsid w:val="00F333FF"/>
    <w:rsid w:val="00F33E9B"/>
    <w:rsid w:val="00F46F40"/>
    <w:rsid w:val="00F70E91"/>
    <w:rsid w:val="00F74B3B"/>
    <w:rsid w:val="00F823EB"/>
    <w:rsid w:val="00F90676"/>
    <w:rsid w:val="00F9071F"/>
    <w:rsid w:val="00F93B6F"/>
    <w:rsid w:val="00FA10FF"/>
    <w:rsid w:val="00FB4F4E"/>
    <w:rsid w:val="00FD3412"/>
    <w:rsid w:val="00FD636F"/>
    <w:rsid w:val="00FF722D"/>
    <w:rsid w:val="0C5851C0"/>
    <w:rsid w:val="0FD52415"/>
    <w:rsid w:val="21747E3E"/>
    <w:rsid w:val="53A07ED5"/>
    <w:rsid w:val="F777A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批注框文本 Char"/>
    <w:basedOn w:val="8"/>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Char1"/>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470</Words>
  <Characters>2682</Characters>
  <Lines>22</Lines>
  <Paragraphs>6</Paragraphs>
  <TotalTime>7</TotalTime>
  <ScaleCrop>false</ScaleCrop>
  <LinksUpToDate>false</LinksUpToDate>
  <CharactersWithSpaces>3146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2021-08-10T15:55:00Z</dcterms:created>
  <dc:creator>Administrator</dc:creator>
  <cp:lastModifiedBy>WPS_1653028716</cp:lastModifiedBy>
  <cp:lastPrinted>2011-01-07T07:04:00Z</cp:lastPrinted>
  <dcterms:modified xsi:type="dcterms:W3CDTF">2022-10-08T14:59:46Z</dcterms:modified>
  <cp:revision>784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A3A9BE3432764B1086270A065C18C20F</vt:lpwstr>
  </property>
</Properties>
</file>