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60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>
      <w:pPr>
        <w:pStyle w:val="style0"/>
        <w:snapToGrid w:val="false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截至</w:t>
      </w: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/>
          <w:sz w:val="44"/>
          <w:szCs w:val="44"/>
        </w:rPr>
        <w:t>年末发行的新增政府一般债券情况表</w:t>
      </w:r>
    </w:p>
    <w:p>
      <w:pPr>
        <w:pStyle w:val="style0"/>
        <w:snapToGrid w:val="false"/>
        <w:ind w:right="600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金额单位：万元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016"/>
        <w:gridCol w:w="1057"/>
        <w:gridCol w:w="933"/>
        <w:gridCol w:w="1087"/>
        <w:gridCol w:w="1432"/>
        <w:gridCol w:w="852"/>
        <w:gridCol w:w="852"/>
        <w:gridCol w:w="998"/>
        <w:gridCol w:w="784"/>
        <w:gridCol w:w="698"/>
        <w:gridCol w:w="784"/>
        <w:gridCol w:w="876"/>
        <w:gridCol w:w="968"/>
        <w:gridCol w:w="1553"/>
        <w:gridCol w:w="425"/>
      </w:tblGrid>
      <w:tr>
        <w:trPr/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部门名称</w:t>
            </w:r>
          </w:p>
        </w:tc>
        <w:tc>
          <w:tcPr>
            <w:tcW w:w="24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债券信息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债券项目情况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备注</w:t>
            </w:r>
          </w:p>
        </w:tc>
      </w:tr>
      <w:tr>
        <w:tblPrEx/>
        <w:trPr/>
        <w:tc>
          <w:tcPr>
            <w:tcW w:w="180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债券名称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债券编码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债券类型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</w:t>
            </w:r>
          </w:p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规模</w:t>
            </w:r>
          </w:p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发行时间</w:t>
            </w:r>
          </w:p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（年</w:t>
            </w: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/>
                <w:spacing w:val="-20"/>
                <w:sz w:val="24"/>
                <w:szCs w:val="24"/>
              </w:rPr>
              <w:t>日）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</w:t>
            </w:r>
          </w:p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利率</w:t>
            </w:r>
          </w:p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（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%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）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债券</w:t>
            </w:r>
          </w:p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期限</w:t>
            </w:r>
          </w:p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（年）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项目名称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项目所在地区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项目总投资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项目已实现投资</w:t>
            </w:r>
          </w:p>
        </w:tc>
        <w:tc>
          <w:tcPr>
            <w:tcW w:w="523" w:type="pct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0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42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56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14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482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287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287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36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264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其中：债券资金安排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其中：债券资金安排</w:t>
            </w:r>
          </w:p>
        </w:tc>
        <w:tc>
          <w:tcPr>
            <w:tcW w:w="523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>
        <w:tblPrEx/>
        <w:trPr>
          <w:trHeight w:val="567" w:hRule="atLeast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卫健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年广西壮族自治区政府一般债券（二期）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2205414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一般债券</w:t>
            </w:r>
          </w:p>
          <w:bookmarkStart w:id="0" w:name="_GoBack"/>
          <w:bookmarkEnd w:id="0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val="en-US"/>
              </w:rPr>
              <w:t>1010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2022-03-16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2.96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广西公共卫生防控救治能力建设三年行动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计划项目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开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区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1210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790.46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790.46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、水质监测项目已安装完毕并正常使用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CT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项目已建设完毕并正常使用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、剩余资金正在采购中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>
      <w:pPr>
        <w:pStyle w:val="style0"/>
        <w:snapToGrid w:val="false"/>
        <w:spacing w:lineRule="exact" w:line="600"/>
        <w:ind w:left="840" w:hanging="840" w:hangingChars="30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注：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本表由使用一般债券资金的部门逐笔填列后于每年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月底前公开，本次反映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21</w:t>
      </w:r>
      <w:r>
        <w:rPr>
          <w:rFonts w:ascii="Times New Roman" w:eastAsia="仿宋_GB2312" w:hAnsi="Times New Roman"/>
          <w:sz w:val="28"/>
          <w:szCs w:val="28"/>
        </w:rPr>
        <w:t>-202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年末一般债券及对应项目情况。</w:t>
      </w:r>
    </w:p>
    <w:p>
      <w:pPr>
        <w:pStyle w:val="style0"/>
        <w:snapToGrid w:val="false"/>
        <w:spacing w:lineRule="exact" w:line="600"/>
        <w:ind w:firstLine="640" w:firstLineChars="20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  <w:szCs w:val="32"/>
        </w:rPr>
        <w:pict>
          <v:rect id="1026" fillcolor="white" stroked="f" style="position:absolute;margin-left:-19.6pt;margin-top:68.75pt;width:37.5pt;height:56.25pt;z-index:2;mso-position-horizontal-relative:text;mso-position-vertical-relative:text;mso-width-relative:page;mso-height-relative:page;mso-wrap-distance-left:0.0pt;mso-wrap-distance-right:0.0pt;visibility:visible;">
            <v:stroke on="f"/>
            <v:fill opacity="0%"/>
            <v:textbox style="layout-flow:vertical-ideographic;">
              <w:txbxContent>
                <w:p>
                  <w:pPr>
                    <w:pStyle w:val="style0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- 5 -</w:t>
                  </w:r>
                </w:p>
              </w:txbxContent>
            </v:textbox>
          </v:rect>
        </w:pict>
      </w: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项目所在地区按照标准行政区划名称填写。</w:t>
      </w:r>
    </w:p>
    <w:p>
      <w:pPr>
        <w:pStyle w:val="style0"/>
        <w:snapToGrid w:val="false"/>
        <w:spacing w:lineRule="exact" w:line="600"/>
        <w:ind w:firstLine="560" w:firstLineChars="200"/>
        <w:jc w:val="left"/>
        <w:rPr>
          <w:rFonts w:ascii="Times New Roman" w:eastAsia="仿宋_GB2312" w:hAnsi="Times New Roman"/>
          <w:sz w:val="28"/>
          <w:szCs w:val="28"/>
        </w:rPr>
        <w:sectPr>
          <w:pgSz w:w="16838" w:h="11906" w:orient="landscape"/>
          <w:pgMar w:top="1588" w:right="1304" w:bottom="1418" w:left="1247" w:header="851" w:footer="992" w:gutter="0"/>
          <w:cols w:space="425"/>
          <w:titlePg/>
          <w:docGrid w:type="lines" w:linePitch="312"/>
        </w:sectPr>
      </w:pPr>
    </w:p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0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rPr>
      <w:rFonts w:ascii="Calibri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Words>317</Words>
  <Pages>2</Pages>
  <Characters>372</Characters>
  <Application>WPS Office</Application>
  <DocSecurity>0</DocSecurity>
  <Paragraphs>71</Paragraphs>
  <ScaleCrop>false</ScaleCrop>
  <LinksUpToDate>false</LinksUpToDate>
  <CharactersWithSpaces>374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2023-06-29T10:01:00Z</dcterms:created>
  <dc:creator>lenovo</dc:creator>
  <lastModifiedBy>AQM-AL10</lastModifiedBy>
  <dcterms:modified xsi:type="dcterms:W3CDTF">2023-06-30T05:32:46Z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AE19E45E4C6B479BA01AA1C508BD931D_11</vt:lpwstr>
  </property>
</Properties>
</file>