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南宁经济技术开发区城市道路挖掘（施工）</w:t>
      </w:r>
    </w:p>
    <w:tbl>
      <w:tblPr>
        <w:tblStyle w:val="5"/>
        <w:tblpPr w:leftFromText="180" w:rightFromText="180" w:vertAnchor="text" w:horzAnchor="page" w:tblpX="1432" w:tblpY="1207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3717"/>
        <w:gridCol w:w="3720"/>
        <w:gridCol w:w="3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单位或个人</w:t>
            </w:r>
          </w:p>
        </w:tc>
        <w:tc>
          <w:tcPr>
            <w:tcW w:w="3751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挖掘地点</w:t>
            </w:r>
          </w:p>
        </w:tc>
        <w:tc>
          <w:tcPr>
            <w:tcW w:w="124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挖掘原因</w:t>
            </w:r>
          </w:p>
        </w:tc>
        <w:tc>
          <w:tcPr>
            <w:tcW w:w="12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挖掘人行道面积</w:t>
            </w:r>
          </w:p>
        </w:tc>
        <w:tc>
          <w:tcPr>
            <w:tcW w:w="12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挖掘车行道面积</w:t>
            </w:r>
          </w:p>
        </w:tc>
        <w:tc>
          <w:tcPr>
            <w:tcW w:w="12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绿化带</w:t>
            </w:r>
          </w:p>
        </w:tc>
        <w:tc>
          <w:tcPr>
            <w:tcW w:w="12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2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5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施工时间</w:t>
            </w:r>
          </w:p>
        </w:tc>
        <w:tc>
          <w:tcPr>
            <w:tcW w:w="125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2502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经审查，该项目符合《南宁市行政审批局关于进一步优化“获得电力”工程市政园林类行政审批的通知》（南审批规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〔2022〕1号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）关于“免审批”的实施范围，决定给予该项目在经开区城市道路挖掘（施工）“免审批”。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南宁经济技术开发区管理委员会（章）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“免审批”回执单（样式）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注：道路挖掘注意事项详见背面。</w:t>
      </w:r>
    </w:p>
    <w:p>
      <w:pPr>
        <w:spacing w:line="600" w:lineRule="exact"/>
        <w:ind w:firstLine="88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道路挖掘注意事项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一）保护既有地下管线。开挖前，施工单位应勘查挖掘线由和既有地下管线情况，制定地下管线专项防护方案，与相关管线单位配合做好地下管线安全防护工作。施工组织设计中，严格按照各管线单位的管理要求对管线保护采取技术措施；事故应急预案中，明确管线保护的应急救援预案。对开挖区域管线应采取人工开挖探沟勘察；遇到地下管线情况不明的，应尽快联系相关管线单位到现场核查核对，待查明地下管线分布情况后，方可进行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（二）挖掘项目涉及地下综合管廊安全保护区、安全控制区范围内施工的，应根据《南宁市地下综合管廊管理条例》规定，施工前制定安全防护方案、监测方案和安全评估报告抄送管廊建设或运营单位审查。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（三）挖掘项目涉及南宁市城市轨道交通控制保护区外部作业的，应按相关程序征求南宁轨道交通集团意见，获批同意后方可施工。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四）管道（线）工程建设如涉及文物、历史建筑或历史文化名城保护(包括在其保护范围内、建设控制地带内进行建设），应执行有关法规和要求，建设单位应在建设实施前征求文物、自然资源、行政审批、市政园林等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（五）施工过程中，严格按照文明施工的有关规定，对施工范围采取围蔽作业，施工材料、机具等不得超出施工围蔽范围。大型机械施工作业应安排在晚上10时前完成，并采取有效</w:t>
      </w:r>
      <w:bookmarkStart w:id="0" w:name="_GoBack"/>
      <w:bookmarkEnd w:id="0"/>
      <w:r>
        <w:rPr>
          <w:rFonts w:hint="eastAsia" w:ascii="仿宋_GB2312" w:hAnsi="Calibri" w:eastAsia="仿宋_GB2312"/>
          <w:sz w:val="24"/>
          <w:szCs w:val="24"/>
          <w:lang w:eastAsia="zh-CN"/>
        </w:rPr>
        <w:t>措施</w:t>
      </w:r>
      <w:r>
        <w:rPr>
          <w:rFonts w:hint="eastAsia" w:ascii="仿宋_GB2312" w:hAnsi="Calibri" w:eastAsia="仿宋_GB2312"/>
          <w:sz w:val="24"/>
          <w:szCs w:val="24"/>
        </w:rPr>
        <w:t>防止施工噪音和施工产生的粉尘。施工产生的淤泥、废料等要及时清运，施工产生的泥浆水，应经沉淀处理后排入市政污水管道，不得向路面直接排放。道路管理部门应按照城市道路管养权属，督促供电企业严格执行安全、质量、环保等各项管理要求，并开展现场监督检查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（六）如涉及绿化移植的，由城市管理局统一进行移植。项目完工后3个工作日内联系城市管理局统一恢复绿化。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（七）如涉及城市照明设施迁移的，建设单位应在迁移前告知城市管理局到现场查看，并按相关技术标准进行迁移，规范施工行为，避免周围照明设施损毁。完工后城市管理局做好事后监管检查。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八）建设单位对市政道路开展破坏挖掘，应当妥善设置围挡措施并予以美化加固，围挡根据《南宁市建设工程施工围挡标准图集（2021年版)》相关标准进行设置。挖掘完毕后及时清理现场，并按原道路结构恢复路面和原有交通安全设施，恢复完成前不得拆除临时围挡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仿宋_GB2312" w:hAnsi="Calibri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Calibri" w:eastAsia="仿宋_GB2312"/>
          <w:sz w:val="24"/>
          <w:szCs w:val="24"/>
          <w:lang w:val="en-US" w:eastAsia="zh-CN"/>
        </w:rPr>
        <w:t>九</w:t>
      </w:r>
      <w:r>
        <w:rPr>
          <w:rFonts w:hint="eastAsia" w:ascii="仿宋_GB2312" w:hAnsi="Calibri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Calibri" w:eastAsia="仿宋_GB2312"/>
          <w:sz w:val="24"/>
          <w:szCs w:val="24"/>
          <w:lang w:val="en-US" w:eastAsia="zh-CN"/>
        </w:rPr>
        <w:t>严格按照本回执单上注明的时间、地点和范围开展文明施工。</w:t>
      </w:r>
      <w:r>
        <w:rPr>
          <w:rFonts w:hint="eastAsia" w:ascii="仿宋_GB2312" w:eastAsia="仿宋_GB2312"/>
          <w:sz w:val="24"/>
          <w:szCs w:val="24"/>
          <w:vertAlign w:val="baseline"/>
          <w:lang w:val="en-US" w:eastAsia="zh-CN"/>
        </w:rPr>
        <w:t>做好安全措施及导向路标、警示等标志；平整路面，保证车辆双向畅通。不得占用盲道、不得超过申请面积，必须配合城管市容检查工作。必须在现场显著位置悬挂本回执单和公示牌，公示牌应载明项目名称，占用或者挖掘单位及联系方式，占用或者挖掘地点、范围、面积、期限、工作进度情况，投诉监督电话等内容。</w:t>
      </w:r>
      <w:r>
        <w:rPr>
          <w:rFonts w:hint="eastAsia" w:ascii="仿宋_GB2312" w:hAnsi="Calibri" w:eastAsia="仿宋_GB2312"/>
          <w:sz w:val="24"/>
          <w:szCs w:val="24"/>
          <w:lang w:val="en-US" w:eastAsia="zh-CN"/>
        </w:rPr>
        <w:t>必须配合服从现场执法人员的监管，如遇重大活动，须无条件停工并清理施工现场；违反相关法律法规和管理规定的，将依照相关法律法规和管理规定给予处罚。</w:t>
      </w:r>
    </w:p>
    <w:sectPr>
      <w:footerReference r:id="rId3" w:type="default"/>
      <w:type w:val="continuous"/>
      <w:pgSz w:w="16838" w:h="11906" w:orient="landscape"/>
      <w:pgMar w:top="1020" w:right="1080" w:bottom="1020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YzFjMzVlMmNiYTVhMTUyOWNmYjdkYmQ3YmRjOGMifQ=="/>
  </w:docVars>
  <w:rsids>
    <w:rsidRoot w:val="00E3086A"/>
    <w:rsid w:val="00010E8C"/>
    <w:rsid w:val="0011360B"/>
    <w:rsid w:val="0021119A"/>
    <w:rsid w:val="0021397F"/>
    <w:rsid w:val="00296E53"/>
    <w:rsid w:val="002D67CE"/>
    <w:rsid w:val="002F3068"/>
    <w:rsid w:val="00392F16"/>
    <w:rsid w:val="003A5739"/>
    <w:rsid w:val="003B11B8"/>
    <w:rsid w:val="003F14B2"/>
    <w:rsid w:val="00411150"/>
    <w:rsid w:val="004247B5"/>
    <w:rsid w:val="004A41E8"/>
    <w:rsid w:val="004E0095"/>
    <w:rsid w:val="00595BC8"/>
    <w:rsid w:val="00612D67"/>
    <w:rsid w:val="007C7518"/>
    <w:rsid w:val="007D742E"/>
    <w:rsid w:val="007E1232"/>
    <w:rsid w:val="008A2E6E"/>
    <w:rsid w:val="00941C11"/>
    <w:rsid w:val="009909B4"/>
    <w:rsid w:val="00A31D6F"/>
    <w:rsid w:val="00A92064"/>
    <w:rsid w:val="00B30705"/>
    <w:rsid w:val="00B42033"/>
    <w:rsid w:val="00B50B32"/>
    <w:rsid w:val="00BE763F"/>
    <w:rsid w:val="00C20FE5"/>
    <w:rsid w:val="00CF0C69"/>
    <w:rsid w:val="00DE526E"/>
    <w:rsid w:val="00E3086A"/>
    <w:rsid w:val="00E91FC7"/>
    <w:rsid w:val="00F04DB9"/>
    <w:rsid w:val="00F670DA"/>
    <w:rsid w:val="00F71E52"/>
    <w:rsid w:val="03401DE1"/>
    <w:rsid w:val="07DE1D34"/>
    <w:rsid w:val="12C65CD0"/>
    <w:rsid w:val="13ED394E"/>
    <w:rsid w:val="1555186F"/>
    <w:rsid w:val="2159456F"/>
    <w:rsid w:val="22AC19F3"/>
    <w:rsid w:val="319C388A"/>
    <w:rsid w:val="42B62B03"/>
    <w:rsid w:val="4352508A"/>
    <w:rsid w:val="53FC2E3F"/>
    <w:rsid w:val="5A2B428A"/>
    <w:rsid w:val="5ABF8C91"/>
    <w:rsid w:val="5CFF268F"/>
    <w:rsid w:val="5D185C63"/>
    <w:rsid w:val="77F67631"/>
    <w:rsid w:val="7E6709ED"/>
    <w:rsid w:val="BCBFD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2549</Words>
  <Characters>2590</Characters>
  <Lines>35</Lines>
  <Paragraphs>10</Paragraphs>
  <TotalTime>41</TotalTime>
  <ScaleCrop>false</ScaleCrop>
  <LinksUpToDate>false</LinksUpToDate>
  <CharactersWithSpaces>2663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2022-08-10T18:22:00Z</dcterms:created>
  <dc:creator>DELL-02</dc:creator>
  <cp:lastModifiedBy>WPS_1653028716</cp:lastModifiedBy>
  <cp:lastPrinted>2022-12-08T22:17:00Z</cp:lastPrinted>
  <dcterms:modified xsi:type="dcterms:W3CDTF">2023-11-02T16:42:11Z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3C4EBE6354494DD7B6F390DE65F0ECBC</vt:lpwstr>
  </property>
</Properties>
</file>