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五象新区信息化项目管理范畴说明</w:t>
      </w:r>
    </w:p>
    <w:p>
      <w:pPr>
        <w:widowControl/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538"/>
        <w:gridCol w:w="5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开发类项目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1.1.1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跨管委会各部门公共类应用的新建开发及升级改造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支撑跨管委会各部门公共领域相关业务系统的新建开发、续建及升级改造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1.1.2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专业类应用的新建开发及升级改造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支撑管委会各部门专业领域相关业务系统的新建开发、续建及升级改造，以及相关应用服务租赁及软硬件采购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其他纳入情况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1.2.1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信息化应用服务类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定期购买专业信息化应用服务，支撑履行管理和服务职能。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1.2.2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智能建筑类建设及维护服务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无需自定义开发的智能楼宇及物业管理系统，含楼宇空调控制、设备监控、智能照明、能耗计费、停车场管理、车辆管理、门禁、电子巡查、无线对讲、广播等设备与系统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1.2.3</w:t>
            </w:r>
          </w:p>
        </w:tc>
        <w:tc>
          <w:tcPr>
            <w:tcW w:w="2538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特殊情况的专业类设备</w:t>
            </w:r>
          </w:p>
        </w:tc>
        <w:tc>
          <w:tcPr>
            <w:tcW w:w="5407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若传感监控、专业自动化设备、仪器仪表、无人机、机器人等作为从属于信息系统运行的必要支撑设备，其采购及运维服务可包含在对应的信息化项目中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42BBA"/>
    <w:rsid w:val="1E94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2022-01-05T09:53:00Z</dcterms:created>
  <dc:creator>4140代表</dc:creator>
  <cp:lastModifiedBy>4140代表</cp:lastModifiedBy>
  <dcterms:modified xsi:type="dcterms:W3CDTF">2022-01-05T10:04:19Z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4EB8005554ED47F7AC128D9C9B4E6857</vt:lpwstr>
  </property>
</Properties>
</file>