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ascii="黑体" w:eastAsia="黑体" w:hAnsi="黑体" w:cs="黑体" w:hint="default"/>
          <w:b w:val="0"/>
          <w:color w:val="000000"/>
          <w:sz w:val="32"/>
          <w:szCs w:val="32"/>
          <w:lang w:val="en-US" w:eastAsia="zh-CN"/>
        </w:rPr>
      </w:pPr>
      <w:r>
        <w:rPr>
          <w:rFonts w:ascii="黑体" w:eastAsia="黑体" w:hAnsi="黑体" w:cs="黑体" w:hint="eastAsia"/>
          <w:b w:val="0"/>
          <w:color w:val="000000"/>
          <w:sz w:val="32"/>
          <w:szCs w:val="32"/>
          <w:lang w:val="en-US" w:eastAsia="zh-CN"/>
        </w:rPr>
        <w:t>附件4</w:t>
      </w:r>
    </w:p>
    <w:p>
      <w:pPr>
        <w:pStyle w:val="NormalWeb"/>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eastAsia="方正小标宋简体" w:hAnsi="方正小标宋简体" w:cs="方正小标宋简体" w:hint="eastAsia"/>
          <w:bCs/>
          <w:color w:val="auto"/>
          <w:kern w:val="2"/>
          <w:sz w:val="44"/>
          <w:szCs w:val="44"/>
          <w:highlight w:val="none"/>
          <w:lang w:val="en-US" w:eastAsia="zh-CN" w:bidi="ar-SA"/>
        </w:rPr>
      </w:pPr>
      <w:r>
        <w:rPr>
          <w:rFonts w:ascii="仿宋_GB2312" w:eastAsia="仿宋_GB2312" w:hAnsi="仿宋_GB2312" w:cs="仿宋_GB2312" w:hint="eastAsia"/>
          <w:bCs/>
          <w:color w:val="auto"/>
          <w:kern w:val="2"/>
          <w:sz w:val="32"/>
          <w:szCs w:val="32"/>
          <w:highlight w:val="none"/>
          <w:lang w:val="en-US" w:eastAsia="zh-CN" w:bidi="ar-SA"/>
        </w:rPr>
        <w:fldChar w:fldCharType="begin"/>
      </w:r>
      <w:r>
        <w:rPr>
          <w:rFonts w:ascii="仿宋_GB2312" w:eastAsia="仿宋_GB2312" w:hAnsi="仿宋_GB2312" w:cs="仿宋_GB2312" w:hint="eastAsia"/>
          <w:bCs/>
          <w:color w:val="auto"/>
          <w:kern w:val="2"/>
          <w:sz w:val="32"/>
          <w:szCs w:val="32"/>
          <w:highlight w:val="none"/>
          <w:lang w:val="en-US" w:eastAsia="zh-CN" w:bidi="ar-SA"/>
        </w:rPr>
        <w:instrText xml:space="preserve"> HYPERLINK "mailto:请各片区、各单位要高度重视，按照制度创新项目来源的要求，结合自身工作职能，报送拟开展的自贸试验区制度创新项目和拟针对自贸试验区出台的政策文件。请各片区、各单位按照表格和模板要求进行填写（见附件1、附件2），并于2020年11月6日前将电子版发送至我办邮箱gxzmsyq@163.com。" </w:instrText>
      </w:r>
      <w:r>
        <w:rPr>
          <w:rFonts w:ascii="仿宋_GB2312" w:eastAsia="仿宋_GB2312" w:hAnsi="仿宋_GB2312" w:cs="仿宋_GB2312" w:hint="eastAsia"/>
          <w:bCs/>
          <w:color w:val="auto"/>
          <w:kern w:val="2"/>
          <w:sz w:val="32"/>
          <w:szCs w:val="32"/>
          <w:highlight w:val="none"/>
          <w:lang w:val="en-US" w:eastAsia="zh-CN" w:bidi="ar-SA"/>
        </w:rPr>
        <w:fldChar w:fldCharType="separate"/>
      </w:r>
      <w:r>
        <w:rPr>
          <w:rFonts w:ascii="方正小标宋简体" w:eastAsia="方正小标宋简体" w:hAnsi="方正小标宋简体" w:cs="方正小标宋简体" w:hint="eastAsia"/>
          <w:color w:val="auto"/>
          <w:kern w:val="0"/>
          <w:sz w:val="44"/>
          <w:szCs w:val="44"/>
          <w:highlight w:val="none"/>
          <w:lang w:val="en-US" w:eastAsia="zh-CN" w:bidi="ar"/>
        </w:rPr>
        <w:t>各有关单位名单</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between w:val="none" w:sz="0" w:space="0" w:color="auto"/>
        </w:pBdr>
        <w:tabs>
          <w:tab w:val="left" w:pos="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eastAsia="仿宋_GB2312" w:hAnsi="仿宋_GB2312" w:cs="仿宋_GB2312" w:hint="eastAsia"/>
          <w:sz w:val="32"/>
          <w:szCs w:val="32"/>
          <w:highlight w:val="none"/>
          <w:vertAlign w:val="baseline"/>
          <w:lang w:val="en-GB" w:eastAsia="zh-CN"/>
        </w:rPr>
      </w:pP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between w:val="none" w:sz="0" w:space="0" w:color="auto"/>
        </w:pBdr>
        <w:tabs>
          <w:tab w:val="left" w:pos="0"/>
        </w:tabs>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eastAsia="仿宋_GB2312" w:hAnsi="仿宋_GB2312" w:cs="仿宋_GB2312" w:hint="eastAsia"/>
          <w:bCs/>
          <w:color w:val="auto"/>
          <w:kern w:val="2"/>
          <w:sz w:val="32"/>
          <w:szCs w:val="32"/>
          <w:highlight w:val="none"/>
          <w:lang w:val="en-US" w:eastAsia="zh-CN" w:bidi="ar-SA"/>
        </w:rPr>
      </w:pPr>
      <w:r>
        <w:rPr>
          <w:rFonts w:ascii="仿宋_GB2312" w:hAnsi="仿宋_GB2312" w:cs="仿宋_GB2312" w:hint="eastAsia"/>
          <w:color w:val="auto"/>
          <w:sz w:val="32"/>
          <w:szCs w:val="32"/>
          <w:highlight w:val="none"/>
          <w:vertAlign w:val="baseline"/>
          <w:lang w:val="en-US" w:eastAsia="zh-CN"/>
        </w:rPr>
        <w:t>自治区高级人民法院、自治区司法厅、自治区住房城乡建设厅、自治区市场监管局,南宁海关,</w:t>
      </w:r>
      <w:r>
        <w:rPr>
          <w:rFonts w:ascii="仿宋_GB2312" w:hAnsi="仿宋_GB2312" w:cs="仿宋_GB2312" w:hint="eastAsia"/>
          <w:color w:val="auto"/>
          <w:sz w:val="32"/>
          <w:szCs w:val="32"/>
          <w:highlight w:val="none"/>
          <w:vertAlign w:val="baseline"/>
          <w:lang w:val="en-GB" w:eastAsia="zh-CN"/>
        </w:rPr>
        <w:t>人民银行广西壮族自治区分行、国家外汇管理局广西壮族自治区分局、国家金融监督管理总局广西监管局</w:t>
      </w:r>
      <w:r>
        <w:rPr>
          <w:rFonts w:ascii="仿宋_GB2312" w:hAnsi="仿宋_GB2312" w:cs="仿宋_GB2312" w:hint="eastAsia"/>
          <w:color w:val="auto"/>
          <w:sz w:val="32"/>
          <w:szCs w:val="32"/>
          <w:highlight w:val="none"/>
          <w:vertAlign w:val="baseline"/>
          <w:lang w:val="en-US" w:eastAsia="zh-CN"/>
        </w:rPr>
        <w:t>,广西贸促会；</w:t>
      </w:r>
    </w:p>
    <w:p>
      <w:pPr>
        <w:keepNext w:val="0"/>
        <w:keepLines w:val="0"/>
        <w:pageBreakBefore w:val="0"/>
        <w:widowControl/>
        <w:numPr>
          <w:numId w:val="0"/>
        </w:numPr>
        <w:suppressLineNumbers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cs="仿宋_GB2312" w:hint="eastAsia"/>
          <w:color w:val="auto"/>
          <w:sz w:val="32"/>
          <w:szCs w:val="32"/>
          <w:highlight w:val="none"/>
          <w:vertAlign w:val="baseline"/>
          <w:lang w:val="en-US" w:eastAsia="zh-CN"/>
        </w:rPr>
      </w:pPr>
      <w:r>
        <w:rPr>
          <w:rFonts w:ascii="仿宋_GB2312" w:eastAsia="仿宋_GB2312" w:hAnsi="仿宋_GB2312" w:cs="仿宋_GB2312" w:hint="eastAsia"/>
          <w:color w:val="auto"/>
          <w:sz w:val="32"/>
          <w:szCs w:val="32"/>
          <w:highlight w:val="none"/>
          <w:vertAlign w:val="baseline"/>
          <w:lang w:val="en-US" w:eastAsia="zh-CN"/>
        </w:rPr>
        <w:t>市委金融办</w:t>
      </w:r>
      <w:r>
        <w:rPr>
          <w:rFonts w:ascii="仿宋_GB2312" w:hAnsi="仿宋_GB2312" w:cs="仿宋_GB2312" w:hint="eastAsia"/>
          <w:color w:val="auto"/>
          <w:sz w:val="32"/>
          <w:szCs w:val="32"/>
          <w:highlight w:val="none"/>
          <w:vertAlign w:val="baseline"/>
          <w:lang w:val="en-US" w:eastAsia="zh-CN"/>
        </w:rPr>
        <w:t>、</w:t>
      </w:r>
      <w:r>
        <w:rPr>
          <w:rFonts w:ascii="仿宋_GB2312" w:eastAsia="仿宋_GB2312" w:hAnsi="仿宋_GB2312" w:cs="仿宋_GB2312" w:hint="eastAsia"/>
          <w:color w:val="auto"/>
          <w:sz w:val="32"/>
          <w:szCs w:val="32"/>
          <w:highlight w:val="none"/>
          <w:vertAlign w:val="baseline"/>
          <w:lang w:val="en-US" w:eastAsia="zh-CN"/>
        </w:rPr>
        <w:t>市政务服务局、市数据局</w:t>
      </w:r>
      <w:r>
        <w:rPr>
          <w:rFonts w:ascii="仿宋_GB2312" w:hAnsi="仿宋_GB2312" w:cs="仿宋_GB2312" w:hint="eastAsia"/>
          <w:color w:val="auto"/>
          <w:sz w:val="32"/>
          <w:szCs w:val="32"/>
          <w:highlight w:val="none"/>
          <w:vertAlign w:val="baseline"/>
          <w:lang w:val="en-US" w:eastAsia="zh-CN"/>
        </w:rPr>
        <w:t>；</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eastAsia="仿宋_GB2312" w:hAnsi="仿宋_GB2312" w:cs="仿宋_GB2312" w:hint="eastAsia"/>
          <w:sz w:val="32"/>
          <w:szCs w:val="32"/>
          <w:highlight w:val="none"/>
          <w:lang w:val="en-US" w:eastAsia="zh-CN"/>
        </w:rPr>
      </w:pPr>
      <w:r>
        <w:rPr>
          <w:rFonts w:ascii="仿宋_GB2312" w:hAnsi="仿宋_GB2312" w:cs="仿宋_GB2312" w:hint="eastAsia"/>
          <w:color w:val="auto"/>
          <w:sz w:val="32"/>
          <w:szCs w:val="32"/>
          <w:highlight w:val="none"/>
          <w:vertAlign w:val="baseline"/>
          <w:lang w:val="en-GB" w:eastAsia="zh-CN"/>
        </w:rPr>
        <w:t>邮储银行广西分行、招商银行南宁分行、</w:t>
      </w:r>
      <w:r>
        <w:rPr>
          <w:rFonts w:ascii="仿宋_GB2312" w:eastAsia="仿宋_GB2312" w:hAnsi="仿宋_GB2312" w:cs="仿宋_GB2312" w:hint="eastAsia"/>
          <w:color w:val="auto"/>
          <w:sz w:val="32"/>
          <w:szCs w:val="32"/>
          <w:highlight w:val="none"/>
          <w:vertAlign w:val="baseline"/>
          <w:lang w:val="en-US" w:eastAsia="zh-CN"/>
        </w:rPr>
        <w:t>广西北部湾银行股份有限公司、</w:t>
      </w:r>
      <w:r>
        <w:rPr>
          <w:rFonts w:ascii="仿宋_GB2312" w:hAnsi="仿宋_GB2312" w:cs="仿宋_GB2312" w:hint="eastAsia"/>
          <w:color w:val="auto"/>
          <w:sz w:val="32"/>
          <w:szCs w:val="32"/>
          <w:highlight w:val="none"/>
          <w:vertAlign w:val="baseline"/>
          <w:lang w:val="en-US" w:eastAsia="zh-CN"/>
        </w:rPr>
        <w:t>桂林银行股份有限公司、</w:t>
      </w:r>
      <w:r>
        <w:rPr>
          <w:rFonts w:ascii="仿宋_GB2312" w:eastAsia="仿宋_GB2312" w:hAnsi="仿宋_GB2312" w:cs="仿宋_GB2312" w:hint="eastAsia"/>
          <w:color w:val="auto"/>
          <w:sz w:val="32"/>
          <w:szCs w:val="32"/>
          <w:highlight w:val="none"/>
          <w:vertAlign w:val="baseline"/>
          <w:lang w:val="en-GB" w:eastAsia="zh-CN"/>
        </w:rPr>
        <w:t>广西北部湾大数据交易中心有限公司、</w:t>
      </w:r>
      <w:r>
        <w:rPr>
          <w:rFonts w:ascii="仿宋_GB2312" w:hAnsi="仿宋_GB2312" w:cs="仿宋_GB2312" w:hint="eastAsia"/>
          <w:color w:val="auto"/>
          <w:sz w:val="32"/>
          <w:szCs w:val="32"/>
          <w:highlight w:val="none"/>
          <w:vertAlign w:val="baseline"/>
          <w:lang w:val="en-GB" w:eastAsia="zh-CN"/>
        </w:rPr>
        <w:t>广西电网有限责任公司、中通供应链管理有限公司、</w:t>
      </w:r>
      <w:r>
        <w:rPr>
          <w:rFonts w:ascii="仿宋_GB2312" w:hAnsi="仿宋_GB2312" w:cs="仿宋_GB2312" w:hint="eastAsia"/>
          <w:color w:val="auto"/>
          <w:sz w:val="32"/>
          <w:szCs w:val="32"/>
          <w:highlight w:val="none"/>
          <w:vertAlign w:val="baseline"/>
          <w:lang w:val="en-US" w:eastAsia="zh-CN"/>
        </w:rPr>
        <w:t>广西启迪创新跨境电子商务有限公司、南宁峰值文化传播有限公司</w:t>
      </w:r>
      <w:r>
        <w:rPr>
          <w:rFonts w:ascii="仿宋_GB2312" w:hAnsi="仿宋_GB2312" w:cs="仿宋_GB2312" w:hint="eastAsia"/>
          <w:color w:val="auto"/>
          <w:sz w:val="32"/>
          <w:szCs w:val="32"/>
          <w:highlight w:val="none"/>
          <w:vertAlign w:val="baseline"/>
          <w:lang w:val="en-GB" w:eastAsia="zh-CN"/>
        </w:rPr>
        <w:t>、南宁双宇物流有限公司、广西建工集团有限责任公司、广西路冠科技投资发展有限责任公司、华蓝设计(集团)有限公司、广西大学</w:t>
      </w:r>
      <w:r>
        <w:rPr>
          <w:rFonts w:ascii="仿宋_GB2312" w:hAnsi="仿宋_GB2312" w:cs="仿宋_GB2312" w:hint="eastAsia"/>
          <w:color w:val="auto"/>
          <w:sz w:val="32"/>
          <w:szCs w:val="32"/>
          <w:highlight w:val="none"/>
          <w:vertAlign w:val="baseline"/>
          <w:lang w:val="en-US" w:eastAsia="zh-CN"/>
        </w:rPr>
        <w:t>。</w:t>
      </w:r>
      <w:r>
        <w:rPr>
          <w:rFonts w:ascii="仿宋_GB2312" w:eastAsia="仿宋_GB2312" w:hAnsi="仿宋_GB2312" w:cs="仿宋_GB2312" w:hint="eastAsia"/>
          <w:bCs/>
          <w:color w:val="auto"/>
          <w:kern w:val="2"/>
          <w:sz w:val="32"/>
          <w:szCs w:val="32"/>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600" w:lineRule="exact"/>
        <w:textAlignment w:val="auto"/>
      </w:pPr>
      <w:bookmarkStart w:id="0" w:name="_GoBack"/>
      <w:bookmarkEnd w:id="0"/>
    </w:p>
    <w:sectPr>
      <w:headerReference w:type="default" r:id="rId5"/>
      <w:footerReference w:type="default" r:id="rId6"/>
      <w:pgSz w:w="11906" w:h="16838"/>
      <w:pgMar w:top="1871" w:right="1418" w:bottom="1985" w:left="1418" w:header="851" w:footer="737" w:gutter="0"/>
      <w:pgBorders>
        <w:top w:val="none" w:sz="0" w:space="0" w:color="auto"/>
        <w:left w:val="none" w:sz="0" w:space="0" w:color="auto"/>
        <w:bottom w:val="none" w:sz="0" w:space="0" w:color="auto"/>
        <w:right w:val="none" w:sz="0" w:space="0" w:color="auto"/>
      </w:pgBorders>
      <w:pgNumType w:fmt="decimal"/>
      <w:cols w:num="1" w:space="720"/>
      <w:titlePg/>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height:2in;margin-left:0;margin-top:0;mso-height-relative:page;mso-position-horizontal:outside;mso-position-horizontal-relative:margin;mso-width-relative:page;mso-wrap-style:none;position:absolute;width:2in;z-index:251660288" coordsize="21600,21600" filled="f" stroked="f">
              <o:lock v:ext="edit" aspectratio="f"/>
              <v:textbox style="mso-fit-shape-to-text:t" inset="0,0,0,0">
                <w:txbxContent>
                  <w:p>
                    <w:pPr>
                      <w:pStyle w:val="Footer"/>
                    </w:pPr>
                    <w:r>
                      <w:t xml:space="preserve">— </w:t>
                    </w:r>
                    <w:r>
                      <w:fldChar w:fldCharType="begin"/>
                    </w:r>
                    <w:r>
                      <w:instrText xml:space="preserve"> PAGE  \* MERGEFORMAT </w:instrText>
                    </w:r>
                    <w:r>
                      <w:fldChar w:fldCharType="separate"/>
                    </w:r>
                    <w:r>
                      <w:t>- 1 -</w:t>
                    </w:r>
                    <w:r>
                      <w:fldChar w:fldCharType="end"/>
                    </w:r>
                    <w:r>
                      <w:t xml:space="preserve"> —</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height:0;margin-left:0;margin-top:0;mso-position-horizontal-relative:page;mso-position-vertical-relative:page;position:absolute;width:0;z-index:251658240" filled="f" stroked="f">
          <v:path strokeok="f" textboxrect="0,0,21600,21600"/>
          <v:textbox>
            <w:txbxContent>
              <w:p>
                <w:r>
                  <w:t>ImpTraceLabel=PD94bWwgdmVyc2lvbj0nMS4wJyBlbmNvZGluZz0nVVRGLTgnPz48dHJhY2U+PGNvbnRlbnQ+PC9jb250ZW50PjxhY2NvdW50PmMyaGh2dmlpZ2I4cDJzN3B2d2ZtZG08L2FjY291bnQ+PG1hY2hpbmVDb2RlPkxDVDg5NkowMTQ2ODYKPC9tYWNoaW5lQ29kZT48dGltZT4yMDI1LTA0LTI0IDE3OjM4OjQ1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ZWViNjBlNzdiNzRiMWUzMWY4ZGNjNzhhYjY1Z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itle"/>
    <w:qFormat/>
    <w:pPr>
      <w:widowControl w:val="0"/>
      <w:spacing w:after="200" w:line="276" w:lineRule="auto"/>
      <w:jc w:val="both"/>
    </w:pPr>
    <w:rPr>
      <w:rFonts w:ascii="Times New Roman" w:eastAsia="仿宋_GB2312" w:hAnsi="Times New Roman" w:cs="Times New Roman"/>
      <w:kern w:val="2"/>
      <w:sz w:val="32"/>
      <w:szCs w:val="3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itle">
    <w:name w:val="Title"/>
    <w:basedOn w:val="Normal"/>
    <w:next w:val="Normal"/>
    <w:qFormat/>
    <w:pPr>
      <w:spacing w:before="240" w:after="60"/>
      <w:jc w:val="center"/>
      <w:outlineLvl w:val="0"/>
    </w:pPr>
    <w:rPr>
      <w:rFonts w:ascii="Cambria" w:hAnsi="Cambria" w:cs="Times New Roman"/>
      <w:b/>
      <w:kern w:val="0"/>
      <w:sz w:val="32"/>
      <w:szCs w:val="20"/>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964</Characters>
  <Application>Microsoft Office Word</Application>
  <DocSecurity>0</DocSecurity>
  <Lines>0</Lines>
  <Paragraphs>0</Paragraphs>
  <ScaleCrop>false</ScaleCrop>
  <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Miaaaaa_</dc:creator>
  <cp:lastModifiedBy>gxxc</cp:lastModifiedBy>
  <cp:revision>1</cp:revision>
  <cp:lastPrinted>2025-04-22T09:02:00Z</cp:lastPrinted>
  <dcterms:created xsi:type="dcterms:W3CDTF">2024-10-15T10:09:00Z</dcterms:created>
  <dcterms:modified xsi:type="dcterms:W3CDTF">2025-04-24T16:42:12Z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1CB1E1CFAEF846CFA351B1A99FBFBD95_12</vt:lpwstr>
  </property>
  <property fmtid="{D5CDD505-2E9C-101B-9397-08002B2CF9AE}" pid="3" name="KSOProductBuildVer">
    <vt:lpwstr>2052-11.8.2.10624</vt:lpwstr>
  </property>
</Properties>
</file>